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1914D4" w14:textId="10F03F4B" w:rsidR="00184167" w:rsidRDefault="00A15C9C" w:rsidP="009A32ED">
      <w:pPr>
        <w:pStyle w:val="Rubrik1"/>
      </w:pPr>
      <w:r w:rsidRPr="00A15C9C">
        <w:t>PONV - profylax och behandling vuxna, ANS</w:t>
      </w:r>
      <w:r w:rsidR="00A264BE" w:rsidRPr="005A627D">
        <w:t xml:space="preserve"> </w:t>
      </w:r>
      <w:bookmarkStart w:id="0" w:name="_Toc321146591"/>
    </w:p>
    <w:p w14:paraId="6C214D74" w14:textId="77777777" w:rsidR="00D00342" w:rsidRDefault="00D00342" w:rsidP="00D00342">
      <w:pPr>
        <w:pStyle w:val="Rubrik2"/>
        <w:ind w:right="-143"/>
      </w:pPr>
      <w:bookmarkStart w:id="1" w:name="_Toc100327184"/>
      <w:bookmarkStart w:id="2" w:name="_Toc106874287"/>
      <w:bookmarkStart w:id="3" w:name="_Toc121217103"/>
      <w:bookmarkEnd w:id="0"/>
      <w:r>
        <w:t>Förändringar sedan föregående version</w:t>
      </w:r>
      <w:bookmarkEnd w:id="1"/>
      <w:bookmarkEnd w:id="2"/>
      <w:bookmarkEnd w:id="3"/>
    </w:p>
    <w:p w14:paraId="54A55C8A" w14:textId="54E40E97" w:rsidR="00D00342" w:rsidRPr="0090553F" w:rsidRDefault="001D5670" w:rsidP="00D00342">
      <w:pPr>
        <w:ind w:right="-143"/>
      </w:pPr>
      <w:bookmarkStart w:id="4" w:name="_Toc72840807"/>
      <w:r>
        <w:t>Förnyat giltighetsdatum.</w:t>
      </w:r>
      <w:r w:rsidR="00EF38D4">
        <w:t xml:space="preserve"> </w:t>
      </w:r>
    </w:p>
    <w:p w14:paraId="66DC0EA5" w14:textId="77777777" w:rsidR="00D00342" w:rsidRDefault="00D00342" w:rsidP="00D00342">
      <w:pPr>
        <w:pStyle w:val="Rubrik2"/>
        <w:ind w:right="-143"/>
      </w:pPr>
      <w:bookmarkStart w:id="5" w:name="_Toc100327186"/>
      <w:bookmarkStart w:id="6" w:name="_Toc106874289"/>
      <w:bookmarkStart w:id="7" w:name="_Toc121217106"/>
      <w:bookmarkEnd w:id="4"/>
      <w:r>
        <w:t>Bakgrund och syfte</w:t>
      </w:r>
      <w:bookmarkEnd w:id="5"/>
      <w:bookmarkEnd w:id="6"/>
      <w:bookmarkEnd w:id="7"/>
      <w:r>
        <w:t xml:space="preserve"> </w:t>
      </w:r>
    </w:p>
    <w:p w14:paraId="232ABB17" w14:textId="77777777" w:rsidR="00D00342" w:rsidRPr="00B9357A" w:rsidRDefault="00D00342" w:rsidP="00D00342">
      <w:pPr>
        <w:pStyle w:val="MellanrubrikVGR"/>
        <w:rPr>
          <w:rFonts w:eastAsia="Cambria"/>
          <w:noProof/>
        </w:rPr>
      </w:pPr>
      <w:bookmarkStart w:id="8" w:name="_Toc100327192"/>
      <w:bookmarkStart w:id="9" w:name="_Toc106874291"/>
      <w:bookmarkStart w:id="10" w:name="_Toc121217112"/>
      <w:r w:rsidRPr="00B9357A">
        <w:t xml:space="preserve">Postoperativt illamående och kräkningar </w:t>
      </w:r>
      <w:r w:rsidRPr="00B9357A">
        <w:rPr>
          <w:rFonts w:eastAsia="Cambria"/>
          <w:noProof/>
        </w:rPr>
        <w:t xml:space="preserve">(postoperative nausea and vomiting - PONV). </w:t>
      </w:r>
    </w:p>
    <w:p w14:paraId="39583174" w14:textId="77777777" w:rsidR="00D00342" w:rsidRPr="00E14D84" w:rsidRDefault="00D00342" w:rsidP="0091319D">
      <w:pPr>
        <w:spacing w:after="0"/>
        <w:ind w:right="565"/>
      </w:pPr>
      <w:r w:rsidRPr="00B9357A">
        <w:t>Illamående och kräkning är, utöver smärta, de vanligaste problemen för patienten i det postoperativa förloppet. PONV upplevs ofta till och med som ett värre problem än smärtan.</w:t>
      </w:r>
      <w:r>
        <w:t xml:space="preserve"> </w:t>
      </w:r>
      <w:r w:rsidRPr="00B9357A">
        <w:t>Det är extra viktigt att förebygga denna biverkan i en dagkirurgisk verksamhet där PONV även kan förorsaka fördröjd hemgång och oplanerad inskrivning på vårdavdelning.</w:t>
      </w:r>
    </w:p>
    <w:p w14:paraId="076E0FA7" w14:textId="77777777" w:rsidR="00D00342" w:rsidRDefault="00D00342" w:rsidP="00D00342">
      <w:pPr>
        <w:pStyle w:val="Rubrik2"/>
        <w:ind w:right="-143"/>
        <w:rPr>
          <w:color w:val="auto"/>
        </w:rPr>
      </w:pPr>
      <w:r w:rsidRPr="00065A6B">
        <w:rPr>
          <w:color w:val="auto"/>
        </w:rPr>
        <w:t>Utförande</w:t>
      </w:r>
      <w:bookmarkEnd w:id="8"/>
      <w:bookmarkEnd w:id="9"/>
      <w:bookmarkEnd w:id="10"/>
    </w:p>
    <w:p w14:paraId="245B2B59" w14:textId="495416EF" w:rsidR="00D00342" w:rsidRPr="00E14D84" w:rsidRDefault="00D00342" w:rsidP="00D00342">
      <w:r w:rsidRPr="00B9357A">
        <w:t>Standardiserad rutin. Ansvarig anestesiolog avgör. Beakta kontraindikationer/varningar enligt FASS!</w:t>
      </w:r>
    </w:p>
    <w:p w14:paraId="589AB937" w14:textId="77777777" w:rsidR="00D00342" w:rsidRPr="00E14D84" w:rsidRDefault="00D00342" w:rsidP="00D00342">
      <w:pPr>
        <w:pStyle w:val="Rubrik3"/>
      </w:pPr>
      <w:r w:rsidRPr="00B9357A">
        <w:t>Riskfaktorer för PONV</w:t>
      </w:r>
    </w:p>
    <w:p w14:paraId="42C0628D" w14:textId="77777777" w:rsidR="00D00342" w:rsidRPr="00B9357A" w:rsidRDefault="00D00342" w:rsidP="00D00342">
      <w:pPr>
        <w:pStyle w:val="MellanrubrikVGR"/>
      </w:pPr>
      <w:r w:rsidRPr="00B9357A">
        <w:t xml:space="preserve">Patientrelaterade </w:t>
      </w:r>
    </w:p>
    <w:p w14:paraId="69918074" w14:textId="77777777" w:rsidR="00D00342" w:rsidRPr="0091319D" w:rsidRDefault="00D00342" w:rsidP="0091319D">
      <w:pPr>
        <w:pStyle w:val="Punktlista"/>
      </w:pPr>
      <w:r w:rsidRPr="0091319D">
        <w:t>Kvinnligt kön</w:t>
      </w:r>
    </w:p>
    <w:p w14:paraId="0DF9DC0D" w14:textId="77777777" w:rsidR="00D00342" w:rsidRPr="0091319D" w:rsidRDefault="00D00342" w:rsidP="0091319D">
      <w:pPr>
        <w:pStyle w:val="Punktlista"/>
      </w:pPr>
      <w:r w:rsidRPr="0091319D">
        <w:t>Tidigare PONV</w:t>
      </w:r>
    </w:p>
    <w:p w14:paraId="457BA681" w14:textId="77777777" w:rsidR="00D00342" w:rsidRPr="0091319D" w:rsidRDefault="00D00342" w:rsidP="0091319D">
      <w:pPr>
        <w:pStyle w:val="Punktlista"/>
      </w:pPr>
      <w:r w:rsidRPr="0091319D">
        <w:t xml:space="preserve">Benägenhet för rörelsesjuka </w:t>
      </w:r>
      <w:bookmarkStart w:id="11" w:name="_Hlk8974069"/>
    </w:p>
    <w:bookmarkEnd w:id="11"/>
    <w:p w14:paraId="33AF7D27" w14:textId="77777777" w:rsidR="00D00342" w:rsidRPr="0091319D" w:rsidRDefault="00D00342" w:rsidP="0091319D">
      <w:pPr>
        <w:pStyle w:val="Punktlista"/>
      </w:pPr>
      <w:r w:rsidRPr="0091319D">
        <w:t>Icke rökare</w:t>
      </w:r>
    </w:p>
    <w:p w14:paraId="6E611649" w14:textId="77777777" w:rsidR="00D00342" w:rsidRPr="00E14D84" w:rsidRDefault="00D00342" w:rsidP="0091319D">
      <w:pPr>
        <w:pStyle w:val="Punktlista"/>
      </w:pPr>
      <w:r w:rsidRPr="0091319D">
        <w:t>Ålder</w:t>
      </w:r>
      <w:r w:rsidRPr="00B9357A">
        <w:t xml:space="preserve"> &lt;50 år</w:t>
      </w:r>
    </w:p>
    <w:p w14:paraId="1DA0D58C" w14:textId="77777777" w:rsidR="00D00342" w:rsidRPr="00B9357A" w:rsidRDefault="00D00342" w:rsidP="00D00342">
      <w:pPr>
        <w:pStyle w:val="MellanrubrikVGR"/>
      </w:pPr>
      <w:r w:rsidRPr="00B9357A">
        <w:lastRenderedPageBreak/>
        <w:t xml:space="preserve">Anestesirelaterade </w:t>
      </w:r>
    </w:p>
    <w:p w14:paraId="3E2D2C68" w14:textId="77777777" w:rsidR="00D00342" w:rsidRPr="0091319D" w:rsidRDefault="00D00342" w:rsidP="0091319D">
      <w:pPr>
        <w:pStyle w:val="Punktlista"/>
      </w:pPr>
      <w:r w:rsidRPr="0091319D">
        <w:t>Generell anestesi kontra regional anestesi</w:t>
      </w:r>
    </w:p>
    <w:p w14:paraId="660D75BC" w14:textId="77777777" w:rsidR="00D00342" w:rsidRPr="0091319D" w:rsidRDefault="00D00342" w:rsidP="0091319D">
      <w:pPr>
        <w:pStyle w:val="Punktlista"/>
      </w:pPr>
      <w:r w:rsidRPr="0091319D">
        <w:t>Inhalationsanestetika, lustgas</w:t>
      </w:r>
    </w:p>
    <w:p w14:paraId="2D6A92FA" w14:textId="77777777" w:rsidR="00D00342" w:rsidRPr="0091319D" w:rsidRDefault="00D00342" w:rsidP="0091319D">
      <w:pPr>
        <w:pStyle w:val="Punktlista"/>
      </w:pPr>
      <w:r w:rsidRPr="0091319D">
        <w:t xml:space="preserve">Postoperativa opioider </w:t>
      </w:r>
    </w:p>
    <w:p w14:paraId="6C9546F3" w14:textId="77777777" w:rsidR="00D00342" w:rsidRPr="00E14D84" w:rsidRDefault="00D00342" w:rsidP="0091319D">
      <w:pPr>
        <w:pStyle w:val="Punktlista"/>
      </w:pPr>
      <w:r w:rsidRPr="0091319D">
        <w:t>Anestesins längd: 30-minuters ökning medför 60 % ökning av PONV</w:t>
      </w:r>
      <w:r w:rsidRPr="00B9357A">
        <w:t>-risken</w:t>
      </w:r>
    </w:p>
    <w:p w14:paraId="35CFD914" w14:textId="77777777" w:rsidR="00D00342" w:rsidRPr="00B9357A" w:rsidRDefault="00D00342" w:rsidP="00D00342">
      <w:pPr>
        <w:pStyle w:val="MellanrubrikVGR"/>
      </w:pPr>
      <w:r w:rsidRPr="00B9357A">
        <w:t xml:space="preserve">Kirurgirelaterade </w:t>
      </w:r>
    </w:p>
    <w:p w14:paraId="01C7B766" w14:textId="77777777" w:rsidR="00D00342" w:rsidRPr="00E14D84" w:rsidRDefault="00D00342" w:rsidP="0091319D">
      <w:r w:rsidRPr="00B9357A">
        <w:t xml:space="preserve">Typ av operation: </w:t>
      </w:r>
      <w:proofErr w:type="spellStart"/>
      <w:r w:rsidRPr="00B9357A">
        <w:t>cholecystektomi</w:t>
      </w:r>
      <w:proofErr w:type="spellEnd"/>
      <w:r w:rsidRPr="00B9357A">
        <w:t xml:space="preserve">, </w:t>
      </w:r>
      <w:proofErr w:type="spellStart"/>
      <w:r w:rsidRPr="00B9357A">
        <w:t>laparoskopiska</w:t>
      </w:r>
      <w:proofErr w:type="spellEnd"/>
      <w:r w:rsidRPr="00B9357A">
        <w:t xml:space="preserve"> ingrepp, gynekologiska ingrepp</w:t>
      </w:r>
    </w:p>
    <w:p w14:paraId="65D38371" w14:textId="77777777" w:rsidR="00D00342" w:rsidRPr="00B9357A" w:rsidRDefault="00D00342" w:rsidP="00D00342">
      <w:pPr>
        <w:pStyle w:val="MellanrubrikVGR"/>
      </w:pPr>
      <w:r w:rsidRPr="00B9357A">
        <w:t>Allmän strategi för att minska risken för PONV</w:t>
      </w:r>
    </w:p>
    <w:p w14:paraId="7E667984" w14:textId="77777777" w:rsidR="00D00342" w:rsidRPr="0091319D" w:rsidRDefault="00D00342" w:rsidP="0091319D">
      <w:pPr>
        <w:pStyle w:val="Punktlista"/>
      </w:pPr>
      <w:r w:rsidRPr="0091319D">
        <w:t>Preoperativ riskbedömning och planering</w:t>
      </w:r>
    </w:p>
    <w:p w14:paraId="3C50AA46" w14:textId="77777777" w:rsidR="00D00342" w:rsidRPr="0091319D" w:rsidRDefault="00D00342" w:rsidP="0091319D">
      <w:pPr>
        <w:pStyle w:val="Punktlista"/>
      </w:pPr>
      <w:r w:rsidRPr="0091319D">
        <w:t xml:space="preserve">Undvik generell anestesi, välj regional anestesi </w:t>
      </w:r>
      <w:proofErr w:type="gramStart"/>
      <w:r w:rsidRPr="0091319D">
        <w:t>istället</w:t>
      </w:r>
      <w:proofErr w:type="gramEnd"/>
      <w:r w:rsidRPr="0091319D">
        <w:t xml:space="preserve"> där det är tillämpligt</w:t>
      </w:r>
    </w:p>
    <w:p w14:paraId="7DA119DD" w14:textId="77777777" w:rsidR="00D00342" w:rsidRPr="0091319D" w:rsidRDefault="00D00342" w:rsidP="0091319D">
      <w:pPr>
        <w:pStyle w:val="Punktlista"/>
      </w:pPr>
      <w:r w:rsidRPr="0091319D">
        <w:t>Undvik inhalationsanestetika, lustgas</w:t>
      </w:r>
    </w:p>
    <w:p w14:paraId="286A3CB5" w14:textId="77777777" w:rsidR="00D00342" w:rsidRPr="0091319D" w:rsidRDefault="00D00342" w:rsidP="0056522E">
      <w:pPr>
        <w:pStyle w:val="Punktlista"/>
        <w:ind w:right="-2"/>
      </w:pPr>
      <w:r w:rsidRPr="0091319D">
        <w:t xml:space="preserve">Använd TCI/TIVA, anestesi med </w:t>
      </w:r>
      <w:proofErr w:type="spellStart"/>
      <w:r w:rsidRPr="0091319D">
        <w:t>Propofol</w:t>
      </w:r>
      <w:proofErr w:type="spellEnd"/>
      <w:r w:rsidRPr="0091319D">
        <w:t xml:space="preserve"> minskar risken för PONV</w:t>
      </w:r>
    </w:p>
    <w:p w14:paraId="0EA7A454" w14:textId="77777777" w:rsidR="00D00342" w:rsidRPr="0091319D" w:rsidRDefault="00D00342" w:rsidP="0091319D">
      <w:pPr>
        <w:pStyle w:val="Punktlista"/>
      </w:pPr>
      <w:r w:rsidRPr="0091319D">
        <w:t>Minimera intraoperativ och speciellt postoperativ opioid användning, använd multimodal analgesi, regional teknik</w:t>
      </w:r>
    </w:p>
    <w:p w14:paraId="5057E350" w14:textId="77777777" w:rsidR="00D00342" w:rsidRPr="00E14D84" w:rsidRDefault="00D00342" w:rsidP="0091319D">
      <w:pPr>
        <w:pStyle w:val="Punktlista"/>
      </w:pPr>
      <w:r w:rsidRPr="0091319D">
        <w:t>Adekvat</w:t>
      </w:r>
      <w:r w:rsidRPr="00B9357A">
        <w:t xml:space="preserve"> vätsketillförsel perioperativt</w:t>
      </w:r>
    </w:p>
    <w:p w14:paraId="56B841C3" w14:textId="77777777" w:rsidR="00D00342" w:rsidRPr="00E14D84" w:rsidRDefault="00D00342" w:rsidP="00D00342">
      <w:pPr>
        <w:pStyle w:val="Rubrik3"/>
      </w:pPr>
      <w:r w:rsidRPr="00B9357A">
        <w:t>PONV-profylax</w:t>
      </w:r>
    </w:p>
    <w:p w14:paraId="75BFBD8A" w14:textId="77777777" w:rsidR="00D00342" w:rsidRPr="00B9357A" w:rsidRDefault="00D00342" w:rsidP="00D00342">
      <w:r w:rsidRPr="00B9357A">
        <w:t xml:space="preserve">Vid preoperativ bedömning skattas de viktigaste riskfaktorerna enligt en riskskala (förenklad </w:t>
      </w:r>
      <w:proofErr w:type="spellStart"/>
      <w:r w:rsidRPr="00B9357A">
        <w:t>Apfel</w:t>
      </w:r>
      <w:proofErr w:type="spellEnd"/>
      <w:r w:rsidRPr="00B9357A">
        <w:t xml:space="preserve"> score) och summeras för bedömning av en risknivå för PONV. Ordination av profylax baseras på risknivån.</w:t>
      </w:r>
      <w:r w:rsidRPr="00B9357A">
        <w:rPr>
          <w:b/>
        </w:rPr>
        <w:t xml:space="preserve"> </w:t>
      </w:r>
      <w:r w:rsidRPr="00B9357A">
        <w:t>En kombination av läkemedel som verkar på olika receptorer är att föredra i stället för att öka dosen av ett enskilt läkemedel.</w:t>
      </w:r>
    </w:p>
    <w:p w14:paraId="57D73FF5" w14:textId="77777777" w:rsidR="00D00342" w:rsidRPr="00B9357A" w:rsidRDefault="00D00342" w:rsidP="0056522E">
      <w:pPr>
        <w:pStyle w:val="Rubrik3"/>
        <w:spacing w:before="0"/>
      </w:pPr>
      <w:r w:rsidRPr="00B9357A">
        <w:t>Riskskala för PONV, vuxna</w:t>
      </w:r>
    </w:p>
    <w:tbl>
      <w:tblPr>
        <w:tblW w:w="5564" w:type="dxa"/>
        <w:tblInd w:w="65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20" w:firstRow="1" w:lastRow="0" w:firstColumn="0" w:lastColumn="0" w:noHBand="0" w:noVBand="1"/>
      </w:tblPr>
      <w:tblGrid>
        <w:gridCol w:w="3580"/>
        <w:gridCol w:w="1984"/>
      </w:tblGrid>
      <w:tr w:rsidR="00D00342" w:rsidRPr="00B9357A" w14:paraId="36C3CB0F" w14:textId="77777777" w:rsidTr="0056522E">
        <w:tc>
          <w:tcPr>
            <w:tcW w:w="3580" w:type="dxa"/>
            <w:tcBorders>
              <w:top w:val="single" w:sz="12" w:space="0" w:color="auto"/>
              <w:left w:val="single" w:sz="12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77BD7856" w14:textId="77777777" w:rsidR="00D00342" w:rsidRPr="00B9357A" w:rsidRDefault="00D00342" w:rsidP="007A0C04">
            <w:pPr>
              <w:spacing w:after="0"/>
              <w:ind w:left="254" w:right="0"/>
              <w:rPr>
                <w:b/>
              </w:rPr>
            </w:pPr>
            <w:r w:rsidRPr="00B9357A">
              <w:rPr>
                <w:b/>
                <w:bCs/>
              </w:rPr>
              <w:t>Riskfaktorer för PONV</w:t>
            </w:r>
          </w:p>
        </w:tc>
        <w:tc>
          <w:tcPr>
            <w:tcW w:w="1984" w:type="dxa"/>
            <w:tcBorders>
              <w:top w:val="single" w:sz="12" w:space="0" w:color="auto"/>
              <w:left w:val="outset" w:sz="6" w:space="0" w:color="auto"/>
              <w:bottom w:val="outset" w:sz="6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BE6F62" w14:textId="77777777" w:rsidR="00D00342" w:rsidRPr="00B9357A" w:rsidRDefault="00D00342" w:rsidP="007A0C04">
            <w:pPr>
              <w:spacing w:after="0"/>
              <w:ind w:left="-11" w:right="-30"/>
              <w:jc w:val="center"/>
              <w:rPr>
                <w:b/>
              </w:rPr>
            </w:pPr>
            <w:r w:rsidRPr="00B9357A">
              <w:rPr>
                <w:b/>
                <w:bCs/>
              </w:rPr>
              <w:t>Poäng</w:t>
            </w:r>
          </w:p>
        </w:tc>
      </w:tr>
      <w:tr w:rsidR="00D00342" w:rsidRPr="00B9357A" w14:paraId="6C3322C3" w14:textId="77777777" w:rsidTr="0056522E">
        <w:tc>
          <w:tcPr>
            <w:tcW w:w="3580" w:type="dxa"/>
            <w:tcBorders>
              <w:top w:val="outset" w:sz="6" w:space="0" w:color="auto"/>
              <w:left w:val="single" w:sz="12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1051CABB" w14:textId="77777777" w:rsidR="00D00342" w:rsidRPr="00B9357A" w:rsidRDefault="00D00342" w:rsidP="007A0C04">
            <w:pPr>
              <w:spacing w:after="0"/>
              <w:ind w:left="254" w:right="0"/>
            </w:pPr>
            <w:r w:rsidRPr="00B9357A">
              <w:t>Kvinnlig kön</w:t>
            </w: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12" w:space="0" w:color="auto"/>
            </w:tcBorders>
            <w:shd w:val="clear" w:color="auto" w:fill="auto"/>
            <w:hideMark/>
          </w:tcPr>
          <w:p w14:paraId="2CDB17F7" w14:textId="77777777" w:rsidR="00D00342" w:rsidRPr="00B9357A" w:rsidRDefault="00D00342" w:rsidP="007A0C04">
            <w:pPr>
              <w:spacing w:after="0"/>
              <w:ind w:left="-11" w:right="-30"/>
              <w:jc w:val="center"/>
            </w:pPr>
            <w:r w:rsidRPr="00B9357A">
              <w:t>1</w:t>
            </w:r>
          </w:p>
        </w:tc>
      </w:tr>
      <w:tr w:rsidR="00D00342" w:rsidRPr="00B9357A" w14:paraId="2FF91B52" w14:textId="77777777" w:rsidTr="0056522E">
        <w:tc>
          <w:tcPr>
            <w:tcW w:w="3580" w:type="dxa"/>
            <w:tcBorders>
              <w:top w:val="outset" w:sz="6" w:space="0" w:color="auto"/>
              <w:left w:val="single" w:sz="12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00C99059" w14:textId="77777777" w:rsidR="00D00342" w:rsidRPr="00B9357A" w:rsidRDefault="00D00342" w:rsidP="007A0C04">
            <w:pPr>
              <w:spacing w:after="0"/>
              <w:ind w:left="254" w:right="0"/>
            </w:pPr>
            <w:r w:rsidRPr="00B9357A">
              <w:t>Icke-rökare</w:t>
            </w: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12" w:space="0" w:color="auto"/>
            </w:tcBorders>
            <w:shd w:val="clear" w:color="auto" w:fill="auto"/>
            <w:hideMark/>
          </w:tcPr>
          <w:p w14:paraId="4FB36366" w14:textId="77777777" w:rsidR="00D00342" w:rsidRPr="00B9357A" w:rsidRDefault="00D00342" w:rsidP="007A0C04">
            <w:pPr>
              <w:spacing w:after="0"/>
              <w:ind w:left="-11" w:right="-30"/>
              <w:jc w:val="center"/>
            </w:pPr>
            <w:r w:rsidRPr="00B9357A">
              <w:t>1</w:t>
            </w:r>
          </w:p>
        </w:tc>
      </w:tr>
      <w:tr w:rsidR="00D00342" w:rsidRPr="00B9357A" w14:paraId="1CC3E234" w14:textId="77777777" w:rsidTr="0056522E">
        <w:tc>
          <w:tcPr>
            <w:tcW w:w="3580" w:type="dxa"/>
            <w:tcBorders>
              <w:top w:val="outset" w:sz="6" w:space="0" w:color="auto"/>
              <w:left w:val="single" w:sz="12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0299E0E0" w14:textId="77777777" w:rsidR="00D00342" w:rsidRPr="00B9357A" w:rsidRDefault="00D00342" w:rsidP="007A0C04">
            <w:pPr>
              <w:spacing w:after="0"/>
              <w:ind w:left="254" w:right="0"/>
            </w:pPr>
            <w:r w:rsidRPr="00B9357A">
              <w:t>PONV anamnes</w:t>
            </w: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12" w:space="0" w:color="auto"/>
            </w:tcBorders>
            <w:shd w:val="clear" w:color="auto" w:fill="auto"/>
            <w:hideMark/>
          </w:tcPr>
          <w:p w14:paraId="64549ACF" w14:textId="77777777" w:rsidR="00D00342" w:rsidRPr="00B9357A" w:rsidRDefault="00D00342" w:rsidP="007A0C04">
            <w:pPr>
              <w:spacing w:after="0"/>
              <w:ind w:left="-11" w:right="-30"/>
              <w:jc w:val="center"/>
            </w:pPr>
            <w:r w:rsidRPr="00B9357A">
              <w:t>1</w:t>
            </w:r>
          </w:p>
        </w:tc>
      </w:tr>
      <w:tr w:rsidR="00D00342" w:rsidRPr="00B9357A" w14:paraId="5642DBA9" w14:textId="77777777" w:rsidTr="0056522E">
        <w:trPr>
          <w:trHeight w:val="105"/>
        </w:trPr>
        <w:tc>
          <w:tcPr>
            <w:tcW w:w="3580" w:type="dxa"/>
            <w:tcBorders>
              <w:top w:val="outset" w:sz="6" w:space="0" w:color="auto"/>
              <w:left w:val="single" w:sz="12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21C997B2" w14:textId="77777777" w:rsidR="00D00342" w:rsidRPr="00B9357A" w:rsidRDefault="00D00342" w:rsidP="007A0C04">
            <w:pPr>
              <w:spacing w:after="0"/>
              <w:ind w:left="254" w:right="0"/>
            </w:pPr>
            <w:r w:rsidRPr="00B9357A">
              <w:t>Opioider postoperativt</w:t>
            </w: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12" w:space="0" w:color="auto"/>
            </w:tcBorders>
            <w:shd w:val="clear" w:color="auto" w:fill="auto"/>
            <w:hideMark/>
          </w:tcPr>
          <w:p w14:paraId="4DCD40FC" w14:textId="77777777" w:rsidR="00D00342" w:rsidRPr="00B9357A" w:rsidRDefault="00D00342" w:rsidP="007A0C04">
            <w:pPr>
              <w:spacing w:after="0"/>
              <w:ind w:left="-11" w:right="-30"/>
              <w:jc w:val="center"/>
            </w:pPr>
            <w:r w:rsidRPr="00B9357A">
              <w:t>1</w:t>
            </w:r>
          </w:p>
        </w:tc>
      </w:tr>
      <w:tr w:rsidR="00D00342" w:rsidRPr="00B9357A" w14:paraId="132EB1E0" w14:textId="77777777" w:rsidTr="0056522E">
        <w:trPr>
          <w:trHeight w:val="105"/>
        </w:trPr>
        <w:tc>
          <w:tcPr>
            <w:tcW w:w="3580" w:type="dxa"/>
            <w:tcBorders>
              <w:top w:val="outset" w:sz="6" w:space="0" w:color="auto"/>
              <w:left w:val="single" w:sz="12" w:space="0" w:color="auto"/>
              <w:bottom w:val="single" w:sz="12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5DF1D39C" w14:textId="77777777" w:rsidR="00D00342" w:rsidRPr="00B9357A" w:rsidRDefault="00D00342" w:rsidP="007A0C04">
            <w:pPr>
              <w:spacing w:after="0"/>
              <w:ind w:left="254" w:right="0"/>
              <w:rPr>
                <w:b/>
              </w:rPr>
            </w:pPr>
            <w:r w:rsidRPr="00B9357A">
              <w:rPr>
                <w:b/>
              </w:rPr>
              <w:t>Summa riskpoäng</w:t>
            </w: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214FF31F" w14:textId="77777777" w:rsidR="00D00342" w:rsidRPr="00B9357A" w:rsidRDefault="00D00342" w:rsidP="007A0C04">
            <w:pPr>
              <w:spacing w:after="0"/>
              <w:ind w:left="-11" w:right="-30"/>
              <w:jc w:val="center"/>
              <w:rPr>
                <w:b/>
              </w:rPr>
            </w:pPr>
            <w:r w:rsidRPr="00B9357A">
              <w:rPr>
                <w:b/>
              </w:rPr>
              <w:t>0 - 4</w:t>
            </w:r>
          </w:p>
        </w:tc>
      </w:tr>
    </w:tbl>
    <w:p w14:paraId="016A880A" w14:textId="77777777" w:rsidR="00D00342" w:rsidRPr="00B9357A" w:rsidRDefault="00D00342" w:rsidP="00D00342">
      <w:pPr>
        <w:spacing w:after="0"/>
        <w:jc w:val="center"/>
        <w:rPr>
          <w:b/>
        </w:rPr>
      </w:pPr>
    </w:p>
    <w:p w14:paraId="6EF19ACE" w14:textId="77777777" w:rsidR="00D00342" w:rsidRDefault="00D00342" w:rsidP="00D00342">
      <w:pPr>
        <w:pStyle w:val="Rubrik3"/>
      </w:pPr>
      <w:r w:rsidRPr="00B9357A">
        <w:t>Profylax av PONV baserad på risknivån</w:t>
      </w:r>
    </w:p>
    <w:tbl>
      <w:tblPr>
        <w:tblW w:w="9483" w:type="dxa"/>
        <w:tblInd w:w="19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20" w:firstRow="1" w:lastRow="0" w:firstColumn="0" w:lastColumn="0" w:noHBand="0" w:noVBand="1"/>
      </w:tblPr>
      <w:tblGrid>
        <w:gridCol w:w="1403"/>
        <w:gridCol w:w="1701"/>
        <w:gridCol w:w="6379"/>
      </w:tblGrid>
      <w:tr w:rsidR="00D00342" w:rsidRPr="00E14D84" w14:paraId="36548A3F" w14:textId="77777777" w:rsidTr="007A0C04">
        <w:trPr>
          <w:trHeight w:val="248"/>
        </w:trPr>
        <w:tc>
          <w:tcPr>
            <w:tcW w:w="1403" w:type="dxa"/>
            <w:tcBorders>
              <w:top w:val="single" w:sz="12" w:space="0" w:color="auto"/>
              <w:left w:val="single" w:sz="12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45CCD35D" w14:textId="77777777" w:rsidR="00D00342" w:rsidRPr="00E14D84" w:rsidRDefault="00D00342" w:rsidP="007A0C04">
            <w:pPr>
              <w:spacing w:after="0" w:line="259" w:lineRule="auto"/>
              <w:ind w:left="0" w:right="0"/>
              <w:jc w:val="center"/>
              <w:rPr>
                <w:rFonts w:eastAsia="Calibri"/>
                <w:b/>
                <w:bCs/>
                <w:lang w:eastAsia="en-US"/>
              </w:rPr>
            </w:pPr>
            <w:r w:rsidRPr="00E14D84">
              <w:rPr>
                <w:rFonts w:eastAsia="Calibri"/>
                <w:b/>
                <w:bCs/>
                <w:lang w:eastAsia="en-US"/>
              </w:rPr>
              <w:t>Riskpoäng</w:t>
            </w:r>
          </w:p>
        </w:tc>
        <w:tc>
          <w:tcPr>
            <w:tcW w:w="1701" w:type="dxa"/>
            <w:tcBorders>
              <w:top w:val="single" w:sz="12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5DD565D5" w14:textId="77777777" w:rsidR="00D00342" w:rsidRPr="00E14D84" w:rsidRDefault="00D00342" w:rsidP="007A0C04">
            <w:pPr>
              <w:spacing w:after="0" w:line="259" w:lineRule="auto"/>
              <w:ind w:left="0" w:right="0"/>
              <w:jc w:val="center"/>
              <w:rPr>
                <w:rFonts w:eastAsia="Calibri"/>
                <w:b/>
                <w:lang w:eastAsia="en-US"/>
              </w:rPr>
            </w:pPr>
            <w:r w:rsidRPr="00E14D84">
              <w:rPr>
                <w:rFonts w:eastAsia="Calibri"/>
                <w:b/>
                <w:color w:val="222222"/>
                <w:lang w:val="en" w:eastAsia="en-US"/>
              </w:rPr>
              <w:t xml:space="preserve">PONV risk </w:t>
            </w:r>
          </w:p>
        </w:tc>
        <w:tc>
          <w:tcPr>
            <w:tcW w:w="6379" w:type="dxa"/>
            <w:tcBorders>
              <w:top w:val="single" w:sz="12" w:space="0" w:color="auto"/>
              <w:left w:val="outset" w:sz="6" w:space="0" w:color="auto"/>
              <w:bottom w:val="outset" w:sz="6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B08E6B" w14:textId="77777777" w:rsidR="00D00342" w:rsidRPr="00E14D84" w:rsidRDefault="00D00342" w:rsidP="007A0C04">
            <w:pPr>
              <w:spacing w:after="0" w:line="259" w:lineRule="auto"/>
              <w:ind w:left="575" w:right="0"/>
              <w:jc w:val="center"/>
              <w:rPr>
                <w:rFonts w:eastAsia="Calibri"/>
                <w:b/>
                <w:lang w:val="en-US" w:eastAsia="en-US"/>
              </w:rPr>
            </w:pPr>
            <w:proofErr w:type="spellStart"/>
            <w:r w:rsidRPr="00E14D84">
              <w:rPr>
                <w:rFonts w:eastAsia="Calibri"/>
                <w:b/>
                <w:color w:val="222222"/>
                <w:lang w:val="en" w:eastAsia="en-US"/>
              </w:rPr>
              <w:t>Farmakologisk</w:t>
            </w:r>
            <w:proofErr w:type="spellEnd"/>
            <w:r w:rsidRPr="00E14D84">
              <w:rPr>
                <w:rFonts w:eastAsia="Calibri"/>
                <w:b/>
                <w:color w:val="222222"/>
                <w:lang w:val="en" w:eastAsia="en-US"/>
              </w:rPr>
              <w:t xml:space="preserve"> PONV - </w:t>
            </w:r>
            <w:proofErr w:type="spellStart"/>
            <w:r w:rsidRPr="00E14D84">
              <w:rPr>
                <w:rFonts w:eastAsia="Calibri"/>
                <w:b/>
                <w:color w:val="222222"/>
                <w:lang w:val="en" w:eastAsia="en-US"/>
              </w:rPr>
              <w:t>profylax</w:t>
            </w:r>
            <w:proofErr w:type="spellEnd"/>
          </w:p>
        </w:tc>
      </w:tr>
      <w:tr w:rsidR="00D00342" w:rsidRPr="00E14D84" w14:paraId="08A0F1A2" w14:textId="77777777" w:rsidTr="007A0C04">
        <w:trPr>
          <w:trHeight w:val="263"/>
        </w:trPr>
        <w:tc>
          <w:tcPr>
            <w:tcW w:w="1403" w:type="dxa"/>
            <w:tcBorders>
              <w:top w:val="outset" w:sz="6" w:space="0" w:color="auto"/>
              <w:left w:val="single" w:sz="12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64485186" w14:textId="77777777" w:rsidR="00D00342" w:rsidRPr="00E14D84" w:rsidRDefault="00D00342" w:rsidP="007A0C04">
            <w:pPr>
              <w:spacing w:after="0" w:line="259" w:lineRule="auto"/>
              <w:ind w:left="0" w:right="0"/>
              <w:jc w:val="center"/>
              <w:rPr>
                <w:rFonts w:eastAsia="Calibri"/>
                <w:b/>
                <w:lang w:eastAsia="en-US"/>
              </w:rPr>
            </w:pPr>
            <w:r w:rsidRPr="00E14D84">
              <w:rPr>
                <w:rFonts w:eastAsia="Calibri"/>
                <w:b/>
                <w:lang w:eastAsia="en-US"/>
              </w:rPr>
              <w:t>0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456C7C30" w14:textId="77777777" w:rsidR="00D00342" w:rsidRPr="00E14D84" w:rsidRDefault="00D00342" w:rsidP="007A0C04">
            <w:pPr>
              <w:spacing w:after="0" w:line="259" w:lineRule="auto"/>
              <w:ind w:left="0" w:right="0"/>
              <w:jc w:val="center"/>
              <w:rPr>
                <w:rFonts w:eastAsia="Calibri"/>
                <w:lang w:eastAsia="en-US"/>
              </w:rPr>
            </w:pPr>
            <w:r w:rsidRPr="00E14D84">
              <w:rPr>
                <w:rFonts w:eastAsia="Calibri"/>
                <w:lang w:eastAsia="en-US"/>
              </w:rPr>
              <w:t>10% - Låg</w:t>
            </w:r>
          </w:p>
        </w:tc>
        <w:tc>
          <w:tcPr>
            <w:tcW w:w="6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12" w:space="0" w:color="auto"/>
            </w:tcBorders>
            <w:shd w:val="clear" w:color="auto" w:fill="auto"/>
            <w:hideMark/>
          </w:tcPr>
          <w:p w14:paraId="6DE5169A" w14:textId="77777777" w:rsidR="00D00342" w:rsidRPr="00E14D84" w:rsidRDefault="00D00342" w:rsidP="00D00342">
            <w:pPr>
              <w:numPr>
                <w:ilvl w:val="1"/>
                <w:numId w:val="20"/>
              </w:numPr>
              <w:spacing w:after="0" w:line="259" w:lineRule="auto"/>
              <w:ind w:left="575" w:right="0"/>
              <w:contextualSpacing/>
              <w:jc w:val="both"/>
              <w:rPr>
                <w:rFonts w:eastAsia="Calibri"/>
                <w:lang w:eastAsia="en-US"/>
              </w:rPr>
            </w:pPr>
            <w:r w:rsidRPr="00E14D84">
              <w:rPr>
                <w:rFonts w:eastAsia="Calibri"/>
                <w:lang w:eastAsia="en-US"/>
              </w:rPr>
              <w:t>Ingen profylax</w:t>
            </w:r>
          </w:p>
        </w:tc>
      </w:tr>
      <w:tr w:rsidR="00D00342" w:rsidRPr="00E14D84" w14:paraId="3748ED92" w14:textId="77777777" w:rsidTr="007A0C04">
        <w:trPr>
          <w:trHeight w:val="676"/>
        </w:trPr>
        <w:tc>
          <w:tcPr>
            <w:tcW w:w="1403" w:type="dxa"/>
            <w:tcBorders>
              <w:top w:val="outset" w:sz="6" w:space="0" w:color="auto"/>
              <w:left w:val="single" w:sz="12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216285AE" w14:textId="77777777" w:rsidR="00D00342" w:rsidRPr="00E14D84" w:rsidRDefault="00D00342" w:rsidP="007A0C04">
            <w:pPr>
              <w:spacing w:after="0" w:line="259" w:lineRule="auto"/>
              <w:ind w:left="0" w:right="0"/>
              <w:jc w:val="center"/>
              <w:rPr>
                <w:rFonts w:eastAsia="Calibri"/>
                <w:b/>
                <w:lang w:eastAsia="en-US"/>
              </w:rPr>
            </w:pPr>
            <w:r w:rsidRPr="00E14D84">
              <w:rPr>
                <w:rFonts w:eastAsia="Calibri"/>
                <w:b/>
                <w:lang w:eastAsia="en-US"/>
              </w:rPr>
              <w:t>1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auto"/>
          </w:tcPr>
          <w:p w14:paraId="5BAF3608" w14:textId="77777777" w:rsidR="00D00342" w:rsidRPr="00E14D84" w:rsidRDefault="00D00342" w:rsidP="007A0C04">
            <w:pPr>
              <w:spacing w:after="0" w:line="259" w:lineRule="auto"/>
              <w:ind w:left="0" w:right="0"/>
              <w:jc w:val="center"/>
              <w:rPr>
                <w:rFonts w:eastAsia="Calibri"/>
                <w:lang w:eastAsia="en-US"/>
              </w:rPr>
            </w:pPr>
          </w:p>
          <w:p w14:paraId="6BB8B83B" w14:textId="77777777" w:rsidR="00D00342" w:rsidRPr="00E14D84" w:rsidRDefault="00D00342" w:rsidP="007A0C04">
            <w:pPr>
              <w:spacing w:after="0" w:line="259" w:lineRule="auto"/>
              <w:ind w:left="0" w:right="0"/>
              <w:jc w:val="center"/>
              <w:rPr>
                <w:rFonts w:eastAsia="Calibri"/>
                <w:lang w:eastAsia="en-US"/>
              </w:rPr>
            </w:pPr>
            <w:r w:rsidRPr="00E14D84">
              <w:rPr>
                <w:rFonts w:eastAsia="Calibri"/>
                <w:lang w:eastAsia="en-US"/>
              </w:rPr>
              <w:t>20% - Låg</w:t>
            </w:r>
          </w:p>
        </w:tc>
        <w:tc>
          <w:tcPr>
            <w:tcW w:w="6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12" w:space="0" w:color="auto"/>
            </w:tcBorders>
            <w:shd w:val="clear" w:color="auto" w:fill="auto"/>
          </w:tcPr>
          <w:p w14:paraId="28809BC8" w14:textId="77777777" w:rsidR="00D00342" w:rsidRPr="00E14D84" w:rsidRDefault="00D00342" w:rsidP="00D00342">
            <w:pPr>
              <w:numPr>
                <w:ilvl w:val="1"/>
                <w:numId w:val="20"/>
              </w:numPr>
              <w:spacing w:after="0" w:line="240" w:lineRule="auto"/>
              <w:ind w:left="575" w:right="0"/>
              <w:contextualSpacing/>
              <w:rPr>
                <w:rFonts w:eastAsia="Calibri"/>
                <w:lang w:eastAsia="en-US"/>
              </w:rPr>
            </w:pPr>
            <w:proofErr w:type="spellStart"/>
            <w:r w:rsidRPr="00E14D84">
              <w:rPr>
                <w:rFonts w:eastAsia="Calibri"/>
                <w:lang w:eastAsia="en-US"/>
              </w:rPr>
              <w:t>Ondansetron</w:t>
            </w:r>
            <w:proofErr w:type="spellEnd"/>
            <w:r w:rsidRPr="00E14D84">
              <w:rPr>
                <w:rFonts w:eastAsia="Calibri"/>
                <w:lang w:eastAsia="en-US"/>
              </w:rPr>
              <w:t xml:space="preserve"> 4 mg IV efter induktion av anestesi</w:t>
            </w:r>
            <w:r w:rsidRPr="00E14D84">
              <w:rPr>
                <w:rFonts w:eastAsia="Calibri"/>
                <w:color w:val="222222"/>
                <w:lang w:eastAsia="en-US"/>
              </w:rPr>
              <w:t xml:space="preserve"> </w:t>
            </w:r>
          </w:p>
          <w:p w14:paraId="68E5144E" w14:textId="77777777" w:rsidR="00D00342" w:rsidRPr="00E14D84" w:rsidRDefault="00D00342" w:rsidP="00D00342">
            <w:pPr>
              <w:numPr>
                <w:ilvl w:val="1"/>
                <w:numId w:val="20"/>
              </w:numPr>
              <w:spacing w:after="0" w:line="240" w:lineRule="auto"/>
              <w:ind w:left="575" w:right="0"/>
              <w:contextualSpacing/>
              <w:rPr>
                <w:rFonts w:eastAsia="Calibri"/>
                <w:lang w:eastAsia="en-US"/>
              </w:rPr>
            </w:pPr>
            <w:r w:rsidRPr="00E14D84">
              <w:rPr>
                <w:rFonts w:eastAsia="Calibri"/>
                <w:i/>
                <w:color w:val="222222"/>
                <w:lang w:eastAsia="en-US"/>
              </w:rPr>
              <w:t>eller</w:t>
            </w:r>
            <w:r w:rsidRPr="00E14D84">
              <w:rPr>
                <w:rFonts w:eastAsia="Calibri"/>
                <w:color w:val="222222"/>
                <w:lang w:eastAsia="en-US"/>
              </w:rPr>
              <w:t xml:space="preserve"> </w:t>
            </w:r>
            <w:proofErr w:type="spellStart"/>
            <w:r w:rsidRPr="00E14D84">
              <w:rPr>
                <w:rFonts w:eastAsia="Calibri"/>
                <w:color w:val="222222"/>
                <w:lang w:eastAsia="en-US"/>
              </w:rPr>
              <w:t>Betapred</w:t>
            </w:r>
            <w:proofErr w:type="spellEnd"/>
            <w:r w:rsidRPr="00E14D84">
              <w:rPr>
                <w:rFonts w:eastAsia="Calibri"/>
                <w:lang w:eastAsia="en-US"/>
              </w:rPr>
              <w:t xml:space="preserve"> 4 - 8 mg </w:t>
            </w:r>
            <w:r w:rsidRPr="00E14D84">
              <w:rPr>
                <w:rFonts w:eastAsia="Calibri"/>
                <w:bCs/>
                <w:color w:val="222222"/>
                <w:lang w:eastAsia="en-US"/>
              </w:rPr>
              <w:t xml:space="preserve">IV </w:t>
            </w:r>
            <w:r w:rsidRPr="00E14D84">
              <w:rPr>
                <w:rFonts w:eastAsia="Calibri"/>
                <w:lang w:eastAsia="en-US"/>
              </w:rPr>
              <w:t>före induktion av anestesi</w:t>
            </w:r>
          </w:p>
        </w:tc>
      </w:tr>
      <w:tr w:rsidR="00D00342" w:rsidRPr="00E14D84" w14:paraId="25CB3B6F" w14:textId="77777777" w:rsidTr="007A0C04">
        <w:trPr>
          <w:trHeight w:val="588"/>
        </w:trPr>
        <w:tc>
          <w:tcPr>
            <w:tcW w:w="1403" w:type="dxa"/>
            <w:tcBorders>
              <w:top w:val="outset" w:sz="6" w:space="0" w:color="auto"/>
              <w:left w:val="single" w:sz="12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03CECFD6" w14:textId="77777777" w:rsidR="00D00342" w:rsidRPr="00E14D84" w:rsidRDefault="00D00342" w:rsidP="007A0C04">
            <w:pPr>
              <w:spacing w:after="0" w:line="240" w:lineRule="auto"/>
              <w:ind w:left="0" w:right="0"/>
              <w:jc w:val="center"/>
              <w:rPr>
                <w:rFonts w:eastAsia="Calibri"/>
                <w:b/>
                <w:lang w:eastAsia="en-US"/>
              </w:rPr>
            </w:pPr>
            <w:r w:rsidRPr="00E14D84">
              <w:rPr>
                <w:rFonts w:eastAsia="Calibri"/>
                <w:b/>
                <w:lang w:eastAsia="en-US"/>
              </w:rPr>
              <w:t>2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3007F765" w14:textId="77777777" w:rsidR="00D00342" w:rsidRPr="00E14D84" w:rsidRDefault="00D00342" w:rsidP="007A0C04">
            <w:pPr>
              <w:spacing w:after="0" w:line="240" w:lineRule="auto"/>
              <w:ind w:left="0" w:right="0"/>
              <w:jc w:val="center"/>
              <w:rPr>
                <w:rFonts w:eastAsia="Calibri"/>
                <w:lang w:eastAsia="en-US"/>
              </w:rPr>
            </w:pPr>
          </w:p>
          <w:p w14:paraId="3CAAAF70" w14:textId="77777777" w:rsidR="00D00342" w:rsidRPr="00E14D84" w:rsidRDefault="00D00342" w:rsidP="007A0C04">
            <w:pPr>
              <w:spacing w:after="0" w:line="240" w:lineRule="auto"/>
              <w:ind w:left="0" w:right="0"/>
              <w:jc w:val="center"/>
              <w:rPr>
                <w:rFonts w:eastAsia="Calibri"/>
                <w:lang w:eastAsia="en-US"/>
              </w:rPr>
            </w:pPr>
            <w:r w:rsidRPr="00E14D84">
              <w:rPr>
                <w:rFonts w:eastAsia="Calibri"/>
                <w:lang w:eastAsia="en-US"/>
              </w:rPr>
              <w:t>40% -Måttlig</w:t>
            </w:r>
          </w:p>
        </w:tc>
        <w:tc>
          <w:tcPr>
            <w:tcW w:w="6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12" w:space="0" w:color="auto"/>
            </w:tcBorders>
            <w:shd w:val="clear" w:color="auto" w:fill="auto"/>
            <w:hideMark/>
          </w:tcPr>
          <w:p w14:paraId="7B193C0B" w14:textId="77777777" w:rsidR="00D00342" w:rsidRPr="00E14D84" w:rsidRDefault="00D00342" w:rsidP="00D00342">
            <w:pPr>
              <w:numPr>
                <w:ilvl w:val="1"/>
                <w:numId w:val="20"/>
              </w:numPr>
              <w:spacing w:after="0" w:line="240" w:lineRule="auto"/>
              <w:ind w:left="575" w:right="0"/>
              <w:contextualSpacing/>
              <w:rPr>
                <w:rFonts w:eastAsia="Calibri"/>
                <w:lang w:eastAsia="en-US"/>
              </w:rPr>
            </w:pPr>
            <w:proofErr w:type="spellStart"/>
            <w:r w:rsidRPr="00E14D84">
              <w:rPr>
                <w:rFonts w:eastAsia="Calibri"/>
                <w:lang w:eastAsia="en-US"/>
              </w:rPr>
              <w:t>Ondansetron</w:t>
            </w:r>
            <w:proofErr w:type="spellEnd"/>
            <w:r w:rsidRPr="00E14D84">
              <w:rPr>
                <w:rFonts w:eastAsia="Calibri"/>
                <w:lang w:eastAsia="en-US"/>
              </w:rPr>
              <w:t xml:space="preserve"> 4 mg </w:t>
            </w:r>
            <w:r w:rsidRPr="00E14D84">
              <w:rPr>
                <w:rFonts w:eastAsia="Calibri"/>
                <w:bCs/>
                <w:color w:val="222222"/>
                <w:lang w:eastAsia="en-US"/>
              </w:rPr>
              <w:t xml:space="preserve">IV </w:t>
            </w:r>
            <w:r w:rsidRPr="00E14D84">
              <w:rPr>
                <w:rFonts w:eastAsia="Calibri"/>
                <w:lang w:eastAsia="en-US"/>
              </w:rPr>
              <w:t>efter induktion</w:t>
            </w:r>
          </w:p>
          <w:p w14:paraId="12216277" w14:textId="77777777" w:rsidR="00D00342" w:rsidRPr="00E14D84" w:rsidRDefault="00D00342" w:rsidP="00D00342">
            <w:pPr>
              <w:numPr>
                <w:ilvl w:val="1"/>
                <w:numId w:val="20"/>
              </w:numPr>
              <w:spacing w:after="0" w:line="240" w:lineRule="auto"/>
              <w:ind w:left="575" w:right="0"/>
              <w:contextualSpacing/>
              <w:rPr>
                <w:rFonts w:eastAsia="Calibri"/>
                <w:lang w:eastAsia="en-US"/>
              </w:rPr>
            </w:pPr>
            <w:r w:rsidRPr="00E14D84">
              <w:rPr>
                <w:rFonts w:eastAsia="Calibri"/>
                <w:b/>
                <w:i/>
                <w:color w:val="222222"/>
                <w:lang w:eastAsia="en-US"/>
              </w:rPr>
              <w:t xml:space="preserve">+/- </w:t>
            </w:r>
            <w:proofErr w:type="spellStart"/>
            <w:r w:rsidRPr="00E14D84">
              <w:rPr>
                <w:rFonts w:eastAsia="Calibri"/>
                <w:color w:val="222222"/>
                <w:lang w:eastAsia="en-US"/>
              </w:rPr>
              <w:t>Betapred</w:t>
            </w:r>
            <w:proofErr w:type="spellEnd"/>
            <w:r w:rsidRPr="00E14D84">
              <w:rPr>
                <w:rFonts w:eastAsia="Calibri"/>
                <w:lang w:eastAsia="en-US"/>
              </w:rPr>
              <w:t xml:space="preserve"> 4 - 8 mg </w:t>
            </w:r>
            <w:r w:rsidRPr="00E14D84">
              <w:rPr>
                <w:rFonts w:eastAsia="Calibri"/>
                <w:bCs/>
                <w:color w:val="222222"/>
                <w:lang w:eastAsia="en-US"/>
              </w:rPr>
              <w:t xml:space="preserve">IV </w:t>
            </w:r>
            <w:r w:rsidRPr="00E14D84">
              <w:rPr>
                <w:rFonts w:eastAsia="Calibri"/>
                <w:lang w:eastAsia="en-US"/>
              </w:rPr>
              <w:t>före induktion</w:t>
            </w:r>
          </w:p>
        </w:tc>
      </w:tr>
      <w:tr w:rsidR="00D00342" w:rsidRPr="00E14D84" w14:paraId="77457110" w14:textId="77777777" w:rsidTr="007A0C04">
        <w:trPr>
          <w:trHeight w:val="526"/>
        </w:trPr>
        <w:tc>
          <w:tcPr>
            <w:tcW w:w="1403" w:type="dxa"/>
            <w:tcBorders>
              <w:top w:val="outset" w:sz="6" w:space="0" w:color="auto"/>
              <w:left w:val="single" w:sz="12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00B3E0C1" w14:textId="77777777" w:rsidR="00D00342" w:rsidRPr="00E14D84" w:rsidRDefault="00D00342" w:rsidP="007A0C04">
            <w:pPr>
              <w:spacing w:after="0" w:line="259" w:lineRule="auto"/>
              <w:ind w:left="0" w:right="0"/>
              <w:jc w:val="center"/>
              <w:rPr>
                <w:rFonts w:eastAsia="Calibri"/>
                <w:b/>
                <w:lang w:eastAsia="en-US"/>
              </w:rPr>
            </w:pPr>
            <w:r w:rsidRPr="00E14D84">
              <w:rPr>
                <w:rFonts w:eastAsia="Calibri"/>
                <w:b/>
                <w:lang w:eastAsia="en-US"/>
              </w:rPr>
              <w:t>3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0FC1EDE9" w14:textId="77777777" w:rsidR="00D00342" w:rsidRPr="00E14D84" w:rsidRDefault="00D00342" w:rsidP="007A0C04">
            <w:pPr>
              <w:spacing w:after="0" w:line="259" w:lineRule="auto"/>
              <w:ind w:left="0" w:right="0"/>
              <w:jc w:val="center"/>
              <w:rPr>
                <w:rFonts w:eastAsia="Calibri"/>
                <w:lang w:eastAsia="en-US"/>
              </w:rPr>
            </w:pPr>
          </w:p>
          <w:p w14:paraId="1DD0B40D" w14:textId="77777777" w:rsidR="00D00342" w:rsidRPr="00E14D84" w:rsidRDefault="00D00342" w:rsidP="007A0C04">
            <w:pPr>
              <w:spacing w:after="0" w:line="259" w:lineRule="auto"/>
              <w:ind w:left="0" w:right="0"/>
              <w:jc w:val="center"/>
              <w:rPr>
                <w:rFonts w:eastAsia="Calibri"/>
                <w:lang w:eastAsia="en-US"/>
              </w:rPr>
            </w:pPr>
            <w:r w:rsidRPr="00E14D84">
              <w:rPr>
                <w:rFonts w:eastAsia="Calibri"/>
                <w:lang w:eastAsia="en-US"/>
              </w:rPr>
              <w:t>60% - Måttlig</w:t>
            </w:r>
          </w:p>
        </w:tc>
        <w:tc>
          <w:tcPr>
            <w:tcW w:w="6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12" w:space="0" w:color="auto"/>
            </w:tcBorders>
            <w:shd w:val="clear" w:color="auto" w:fill="auto"/>
            <w:hideMark/>
          </w:tcPr>
          <w:p w14:paraId="6A9822BC" w14:textId="77777777" w:rsidR="00D00342" w:rsidRPr="00E14D84" w:rsidRDefault="00D00342" w:rsidP="00D00342">
            <w:pPr>
              <w:numPr>
                <w:ilvl w:val="1"/>
                <w:numId w:val="20"/>
              </w:numPr>
              <w:spacing w:after="0" w:line="240" w:lineRule="auto"/>
              <w:ind w:left="575" w:right="0"/>
              <w:contextualSpacing/>
              <w:rPr>
                <w:rFonts w:eastAsia="Calibri"/>
                <w:lang w:eastAsia="en-US"/>
              </w:rPr>
            </w:pPr>
            <w:proofErr w:type="spellStart"/>
            <w:r w:rsidRPr="00E14D84">
              <w:rPr>
                <w:rFonts w:eastAsia="Calibri"/>
                <w:color w:val="222222"/>
                <w:lang w:eastAsia="en-US"/>
              </w:rPr>
              <w:t>Betapred</w:t>
            </w:r>
            <w:proofErr w:type="spellEnd"/>
            <w:r w:rsidRPr="00E14D84">
              <w:rPr>
                <w:rFonts w:eastAsia="Calibri"/>
                <w:lang w:eastAsia="en-US"/>
              </w:rPr>
              <w:t xml:space="preserve"> 8 mg</w:t>
            </w:r>
            <w:r w:rsidRPr="00E14D84">
              <w:rPr>
                <w:rFonts w:eastAsia="Calibri"/>
                <w:bCs/>
                <w:color w:val="222222"/>
                <w:lang w:eastAsia="en-US"/>
              </w:rPr>
              <w:t xml:space="preserve"> IV före</w:t>
            </w:r>
            <w:r w:rsidRPr="00E14D84">
              <w:rPr>
                <w:rFonts w:eastAsia="Calibri"/>
                <w:lang w:eastAsia="en-US"/>
              </w:rPr>
              <w:t xml:space="preserve"> induktion</w:t>
            </w:r>
          </w:p>
          <w:p w14:paraId="69797DD8" w14:textId="77777777" w:rsidR="00D00342" w:rsidRPr="00E14D84" w:rsidRDefault="00D00342" w:rsidP="00D00342">
            <w:pPr>
              <w:numPr>
                <w:ilvl w:val="1"/>
                <w:numId w:val="20"/>
              </w:numPr>
              <w:spacing w:after="0" w:line="240" w:lineRule="auto"/>
              <w:ind w:left="575" w:right="0"/>
              <w:contextualSpacing/>
              <w:rPr>
                <w:rFonts w:eastAsia="Calibri"/>
                <w:lang w:eastAsia="en-US"/>
              </w:rPr>
            </w:pPr>
            <w:r w:rsidRPr="00E14D84">
              <w:rPr>
                <w:rFonts w:eastAsia="Calibri"/>
                <w:b/>
                <w:i/>
                <w:lang w:eastAsia="en-US"/>
              </w:rPr>
              <w:t>+</w:t>
            </w:r>
            <w:r w:rsidRPr="00E14D84">
              <w:rPr>
                <w:rFonts w:eastAsia="Calibri"/>
                <w:i/>
                <w:lang w:eastAsia="en-US"/>
              </w:rPr>
              <w:t xml:space="preserve"> </w:t>
            </w:r>
            <w:proofErr w:type="spellStart"/>
            <w:r w:rsidRPr="00E14D84">
              <w:rPr>
                <w:rFonts w:eastAsia="Calibri"/>
                <w:lang w:eastAsia="en-US"/>
              </w:rPr>
              <w:t>Ondansetron</w:t>
            </w:r>
            <w:proofErr w:type="spellEnd"/>
            <w:r w:rsidRPr="00E14D84">
              <w:rPr>
                <w:rFonts w:eastAsia="Calibri"/>
                <w:lang w:eastAsia="en-US"/>
              </w:rPr>
              <w:t xml:space="preserve"> 4 mg </w:t>
            </w:r>
            <w:r w:rsidRPr="00E14D84">
              <w:rPr>
                <w:rFonts w:eastAsia="Calibri"/>
                <w:bCs/>
                <w:color w:val="222222"/>
                <w:lang w:eastAsia="en-US"/>
              </w:rPr>
              <w:t>IV efter induktion</w:t>
            </w:r>
          </w:p>
          <w:p w14:paraId="74DDAD12" w14:textId="77777777" w:rsidR="00D00342" w:rsidRPr="00E14D84" w:rsidRDefault="00D00342" w:rsidP="00D00342">
            <w:pPr>
              <w:numPr>
                <w:ilvl w:val="1"/>
                <w:numId w:val="20"/>
              </w:numPr>
              <w:spacing w:after="0" w:line="240" w:lineRule="auto"/>
              <w:ind w:left="575" w:right="0"/>
              <w:contextualSpacing/>
              <w:rPr>
                <w:rFonts w:eastAsia="Calibri"/>
                <w:lang w:eastAsia="en-US"/>
              </w:rPr>
            </w:pPr>
            <w:r w:rsidRPr="00E14D84">
              <w:rPr>
                <w:rFonts w:eastAsia="Calibri"/>
                <w:b/>
                <w:i/>
                <w:lang w:eastAsia="en-US"/>
              </w:rPr>
              <w:t xml:space="preserve">+/- </w:t>
            </w:r>
            <w:proofErr w:type="spellStart"/>
            <w:r w:rsidRPr="00E14D84">
              <w:rPr>
                <w:rFonts w:eastAsia="Calibri"/>
                <w:lang w:eastAsia="en-US"/>
              </w:rPr>
              <w:t>Droperidol</w:t>
            </w:r>
            <w:proofErr w:type="spellEnd"/>
            <w:r w:rsidRPr="00E14D84">
              <w:rPr>
                <w:rFonts w:eastAsia="Calibri"/>
                <w:lang w:eastAsia="en-US"/>
              </w:rPr>
              <w:t xml:space="preserve"> 0,5 – 0,625 mg </w:t>
            </w:r>
            <w:r w:rsidRPr="00E14D84">
              <w:rPr>
                <w:rFonts w:eastAsia="Calibri"/>
                <w:bCs/>
                <w:color w:val="222222"/>
                <w:lang w:eastAsia="en-US"/>
              </w:rPr>
              <w:t>IV närmare operationsslut</w:t>
            </w:r>
          </w:p>
        </w:tc>
      </w:tr>
      <w:tr w:rsidR="00D00342" w:rsidRPr="00E14D84" w14:paraId="3C51DAE0" w14:textId="77777777" w:rsidTr="007A0C04">
        <w:trPr>
          <w:trHeight w:val="722"/>
        </w:trPr>
        <w:tc>
          <w:tcPr>
            <w:tcW w:w="1403" w:type="dxa"/>
            <w:tcBorders>
              <w:top w:val="outset" w:sz="6" w:space="0" w:color="auto"/>
              <w:left w:val="single" w:sz="12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3E0F77D0" w14:textId="77777777" w:rsidR="00D00342" w:rsidRPr="00E14D84" w:rsidRDefault="00D00342" w:rsidP="007A0C04">
            <w:pPr>
              <w:spacing w:after="0" w:line="259" w:lineRule="auto"/>
              <w:ind w:left="0" w:right="0"/>
              <w:jc w:val="center"/>
              <w:rPr>
                <w:rFonts w:eastAsia="Calibri"/>
                <w:b/>
                <w:lang w:eastAsia="en-US"/>
              </w:rPr>
            </w:pPr>
            <w:r w:rsidRPr="00E14D84">
              <w:rPr>
                <w:rFonts w:eastAsia="Calibri"/>
                <w:b/>
                <w:lang w:eastAsia="en-US"/>
              </w:rPr>
              <w:t>4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727429EC" w14:textId="77777777" w:rsidR="00D00342" w:rsidRPr="00E14D84" w:rsidRDefault="00D00342" w:rsidP="007A0C04">
            <w:pPr>
              <w:spacing w:after="0" w:line="259" w:lineRule="auto"/>
              <w:ind w:left="0" w:right="0"/>
              <w:jc w:val="center"/>
              <w:rPr>
                <w:rFonts w:eastAsia="Calibri"/>
                <w:lang w:eastAsia="en-US"/>
              </w:rPr>
            </w:pPr>
          </w:p>
          <w:p w14:paraId="6D7927E3" w14:textId="77777777" w:rsidR="00D00342" w:rsidRPr="00E14D84" w:rsidRDefault="00D00342" w:rsidP="007A0C04">
            <w:pPr>
              <w:spacing w:after="0" w:line="259" w:lineRule="auto"/>
              <w:ind w:left="0" w:right="0"/>
              <w:jc w:val="center"/>
              <w:rPr>
                <w:rFonts w:eastAsia="Calibri"/>
                <w:lang w:eastAsia="en-US"/>
              </w:rPr>
            </w:pPr>
            <w:r w:rsidRPr="00E14D84">
              <w:rPr>
                <w:rFonts w:eastAsia="Calibri"/>
                <w:lang w:eastAsia="en-US"/>
              </w:rPr>
              <w:t>80% - Hög</w:t>
            </w:r>
          </w:p>
        </w:tc>
        <w:tc>
          <w:tcPr>
            <w:tcW w:w="6379" w:type="dxa"/>
            <w:tcBorders>
              <w:top w:val="outset" w:sz="6" w:space="0" w:color="auto"/>
              <w:left w:val="outset" w:sz="6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hideMark/>
          </w:tcPr>
          <w:p w14:paraId="5BFC11B2" w14:textId="77777777" w:rsidR="00D00342" w:rsidRPr="00E14D84" w:rsidRDefault="00D00342" w:rsidP="00D00342">
            <w:pPr>
              <w:numPr>
                <w:ilvl w:val="0"/>
                <w:numId w:val="21"/>
              </w:numPr>
              <w:spacing w:after="0" w:line="240" w:lineRule="auto"/>
              <w:ind w:left="575" w:right="0"/>
              <w:contextualSpacing/>
              <w:rPr>
                <w:rFonts w:eastAsia="Calibri"/>
                <w:lang w:val="en-US" w:eastAsia="en-US"/>
              </w:rPr>
            </w:pPr>
            <w:proofErr w:type="spellStart"/>
            <w:r w:rsidRPr="00E14D84">
              <w:rPr>
                <w:rFonts w:eastAsia="Calibri"/>
                <w:lang w:val="en-US" w:eastAsia="en-US"/>
              </w:rPr>
              <w:t>Betapred</w:t>
            </w:r>
            <w:proofErr w:type="spellEnd"/>
            <w:r w:rsidRPr="00E14D84">
              <w:rPr>
                <w:rFonts w:eastAsia="Calibri"/>
                <w:lang w:val="en-US" w:eastAsia="en-US"/>
              </w:rPr>
              <w:t xml:space="preserve"> 8 mg </w:t>
            </w:r>
            <w:r w:rsidRPr="00E14D84">
              <w:rPr>
                <w:rFonts w:eastAsia="Calibri"/>
                <w:bCs/>
                <w:color w:val="222222"/>
                <w:lang w:val="en" w:eastAsia="en-US"/>
              </w:rPr>
              <w:t xml:space="preserve">IV </w:t>
            </w:r>
            <w:proofErr w:type="spellStart"/>
            <w:r w:rsidRPr="00E14D84">
              <w:rPr>
                <w:rFonts w:eastAsia="Calibri"/>
                <w:bCs/>
                <w:color w:val="222222"/>
                <w:lang w:val="en" w:eastAsia="en-US"/>
              </w:rPr>
              <w:t>före</w:t>
            </w:r>
            <w:proofErr w:type="spellEnd"/>
            <w:r w:rsidRPr="00E14D84">
              <w:rPr>
                <w:rFonts w:eastAsia="Calibri"/>
                <w:bCs/>
                <w:color w:val="222222"/>
                <w:lang w:val="en" w:eastAsia="en-US"/>
              </w:rPr>
              <w:t xml:space="preserve"> </w:t>
            </w:r>
            <w:proofErr w:type="spellStart"/>
            <w:r w:rsidRPr="00E14D84">
              <w:rPr>
                <w:rFonts w:eastAsia="Calibri"/>
                <w:bCs/>
                <w:color w:val="222222"/>
                <w:lang w:val="en" w:eastAsia="en-US"/>
              </w:rPr>
              <w:t>induktion</w:t>
            </w:r>
            <w:proofErr w:type="spellEnd"/>
          </w:p>
          <w:p w14:paraId="703FB898" w14:textId="77777777" w:rsidR="00D00342" w:rsidRPr="00E14D84" w:rsidRDefault="00D00342" w:rsidP="00D00342">
            <w:pPr>
              <w:numPr>
                <w:ilvl w:val="0"/>
                <w:numId w:val="21"/>
              </w:numPr>
              <w:spacing w:after="0" w:line="240" w:lineRule="auto"/>
              <w:ind w:left="575" w:right="0"/>
              <w:contextualSpacing/>
              <w:rPr>
                <w:rFonts w:eastAsia="Calibri"/>
                <w:lang w:eastAsia="en-US"/>
              </w:rPr>
            </w:pPr>
            <w:r w:rsidRPr="00E14D84">
              <w:rPr>
                <w:rFonts w:eastAsia="Calibri"/>
                <w:b/>
                <w:i/>
                <w:lang w:eastAsia="en-US"/>
              </w:rPr>
              <w:t>+</w:t>
            </w:r>
            <w:r w:rsidRPr="00E14D84">
              <w:rPr>
                <w:rFonts w:eastAsia="Calibri"/>
                <w:lang w:eastAsia="en-US"/>
              </w:rPr>
              <w:t xml:space="preserve"> </w:t>
            </w:r>
            <w:proofErr w:type="spellStart"/>
            <w:r w:rsidRPr="00E14D84">
              <w:rPr>
                <w:rFonts w:eastAsia="Calibri"/>
                <w:lang w:eastAsia="en-US"/>
              </w:rPr>
              <w:t>Ondansetron</w:t>
            </w:r>
            <w:proofErr w:type="spellEnd"/>
            <w:r w:rsidRPr="00E14D84">
              <w:rPr>
                <w:rFonts w:eastAsia="Calibri"/>
                <w:lang w:eastAsia="en-US"/>
              </w:rPr>
              <w:t xml:space="preserve"> 4 mg </w:t>
            </w:r>
            <w:r w:rsidRPr="00E14D84">
              <w:rPr>
                <w:rFonts w:eastAsia="Calibri"/>
                <w:bCs/>
                <w:color w:val="222222"/>
                <w:lang w:eastAsia="en-US"/>
              </w:rPr>
              <w:t>IV efter induktion</w:t>
            </w:r>
          </w:p>
          <w:p w14:paraId="5799A4BD" w14:textId="77777777" w:rsidR="00D00342" w:rsidRPr="00E14D84" w:rsidRDefault="00D00342" w:rsidP="00D00342">
            <w:pPr>
              <w:numPr>
                <w:ilvl w:val="0"/>
                <w:numId w:val="21"/>
              </w:numPr>
              <w:spacing w:after="0" w:line="240" w:lineRule="auto"/>
              <w:ind w:left="575" w:right="0"/>
              <w:contextualSpacing/>
              <w:rPr>
                <w:rFonts w:eastAsia="Calibri"/>
                <w:i/>
                <w:lang w:eastAsia="en-US"/>
              </w:rPr>
            </w:pPr>
            <w:r w:rsidRPr="00E14D84">
              <w:rPr>
                <w:rFonts w:eastAsia="Calibri"/>
                <w:b/>
                <w:i/>
                <w:color w:val="222222"/>
                <w:lang w:eastAsia="en-US"/>
              </w:rPr>
              <w:t>+</w:t>
            </w:r>
            <w:r w:rsidRPr="00E14D84">
              <w:rPr>
                <w:rFonts w:eastAsia="Calibri"/>
                <w:i/>
                <w:color w:val="222222"/>
                <w:lang w:eastAsia="en-US"/>
              </w:rPr>
              <w:t xml:space="preserve"> </w:t>
            </w:r>
            <w:proofErr w:type="spellStart"/>
            <w:r w:rsidRPr="00E14D84">
              <w:rPr>
                <w:rFonts w:eastAsia="Calibri"/>
                <w:color w:val="222222"/>
                <w:lang w:eastAsia="en-US"/>
              </w:rPr>
              <w:t>Droperidol</w:t>
            </w:r>
            <w:proofErr w:type="spellEnd"/>
            <w:r w:rsidRPr="00E14D84">
              <w:rPr>
                <w:rFonts w:eastAsia="Calibri"/>
                <w:lang w:eastAsia="en-US"/>
              </w:rPr>
              <w:t xml:space="preserve"> 0,5 - 0,625 mg </w:t>
            </w:r>
            <w:r w:rsidRPr="00E14D84">
              <w:rPr>
                <w:rFonts w:eastAsia="Calibri"/>
                <w:bCs/>
                <w:color w:val="222222"/>
                <w:lang w:eastAsia="en-US"/>
              </w:rPr>
              <w:t>IV närmare operationsslut</w:t>
            </w:r>
          </w:p>
        </w:tc>
      </w:tr>
      <w:tr w:rsidR="00D00342" w:rsidRPr="00E14D84" w14:paraId="4D74CAE3" w14:textId="77777777" w:rsidTr="007A0C0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5"/>
        </w:trPr>
        <w:tc>
          <w:tcPr>
            <w:tcW w:w="9483" w:type="dxa"/>
            <w:gridSpan w:val="3"/>
            <w:tcBorders>
              <w:left w:val="single" w:sz="12" w:space="0" w:color="auto"/>
              <w:right w:val="single" w:sz="12" w:space="0" w:color="auto"/>
            </w:tcBorders>
          </w:tcPr>
          <w:p w14:paraId="2B4692A7" w14:textId="77777777" w:rsidR="00D00342" w:rsidRPr="00E14D84" w:rsidRDefault="00D00342" w:rsidP="007A0C04">
            <w:pPr>
              <w:spacing w:after="0" w:line="259" w:lineRule="auto"/>
              <w:ind w:left="0" w:right="0"/>
              <w:rPr>
                <w:rFonts w:eastAsia="Calibri"/>
                <w:lang w:eastAsia="en-US"/>
              </w:rPr>
            </w:pPr>
            <w:proofErr w:type="spellStart"/>
            <w:r w:rsidRPr="00E14D84">
              <w:rPr>
                <w:rFonts w:eastAsia="Calibri"/>
                <w:lang w:eastAsia="en-US"/>
              </w:rPr>
              <w:t>Propofol</w:t>
            </w:r>
            <w:proofErr w:type="spellEnd"/>
            <w:r w:rsidRPr="00E14D84">
              <w:rPr>
                <w:rFonts w:eastAsia="Calibri"/>
                <w:lang w:eastAsia="en-US"/>
              </w:rPr>
              <w:t>-baserad intravenös anestesi minskar risken för PONV</w:t>
            </w:r>
          </w:p>
        </w:tc>
      </w:tr>
      <w:tr w:rsidR="00D00342" w:rsidRPr="00E14D84" w14:paraId="30AE1916" w14:textId="77777777" w:rsidTr="007A0C0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5"/>
        </w:trPr>
        <w:tc>
          <w:tcPr>
            <w:tcW w:w="9483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498457A" w14:textId="77777777" w:rsidR="00D00342" w:rsidRPr="00E14D84" w:rsidRDefault="00D00342" w:rsidP="007A0C04">
            <w:pPr>
              <w:spacing w:after="0" w:line="259" w:lineRule="auto"/>
              <w:ind w:left="0" w:right="0"/>
              <w:rPr>
                <w:rFonts w:eastAsia="Calibri"/>
                <w:lang w:eastAsia="en-US"/>
              </w:rPr>
            </w:pPr>
            <w:r w:rsidRPr="00E14D84">
              <w:rPr>
                <w:rFonts w:eastAsia="Calibri"/>
                <w:lang w:eastAsia="en-US"/>
              </w:rPr>
              <w:t xml:space="preserve">TENS kan med fördel kombineras med farmakologisk profylax </w:t>
            </w:r>
            <w:r>
              <w:rPr>
                <w:rFonts w:eastAsia="Calibri"/>
                <w:lang w:eastAsia="en-US"/>
              </w:rPr>
              <w:t>–</w:t>
            </w:r>
            <w:r w:rsidRPr="00E14D84">
              <w:rPr>
                <w:rFonts w:eastAsia="Calibri"/>
                <w:lang w:eastAsia="en-US"/>
              </w:rPr>
              <w:t xml:space="preserve"> se</w:t>
            </w:r>
            <w:r>
              <w:rPr>
                <w:rFonts w:eastAsia="Calibri"/>
                <w:lang w:eastAsia="en-US"/>
              </w:rPr>
              <w:t xml:space="preserve"> </w:t>
            </w:r>
            <w:hyperlink r:id="rId11" w:history="1">
              <w:r w:rsidRPr="004A6D1C">
                <w:rPr>
                  <w:rStyle w:val="Hyperlnk"/>
                </w:rPr>
                <w:t>TENS vid PONV och preoperativ smärta</w:t>
              </w:r>
            </w:hyperlink>
            <w:r w:rsidRPr="00E14D84">
              <w:rPr>
                <w:rFonts w:eastAsia="Calibri"/>
                <w:lang w:eastAsia="en-US"/>
              </w:rPr>
              <w:t>.</w:t>
            </w:r>
          </w:p>
        </w:tc>
      </w:tr>
    </w:tbl>
    <w:p w14:paraId="3B3F0B1D" w14:textId="77777777" w:rsidR="00D00342" w:rsidRPr="00E14D84" w:rsidRDefault="00D00342" w:rsidP="00D00342">
      <w:pPr>
        <w:pStyle w:val="Rubrik3"/>
      </w:pPr>
      <w:r w:rsidRPr="00B9357A">
        <w:t>PONV – behandling</w:t>
      </w:r>
    </w:p>
    <w:p w14:paraId="7C9A3CD6" w14:textId="77777777" w:rsidR="00D00342" w:rsidRPr="00B9357A" w:rsidRDefault="00D00342" w:rsidP="008D5675">
      <w:pPr>
        <w:pStyle w:val="MellanrubrikVGR"/>
        <w:spacing w:before="0"/>
        <w:rPr>
          <w:sz w:val="28"/>
          <w:szCs w:val="28"/>
        </w:rPr>
      </w:pPr>
      <w:r w:rsidRPr="00B9357A">
        <w:t>Exkludera medicinska och kirurgiska orsaker</w:t>
      </w:r>
    </w:p>
    <w:p w14:paraId="441CCDC3" w14:textId="77777777" w:rsidR="00D00342" w:rsidRPr="002B6F7D" w:rsidRDefault="00D00342" w:rsidP="0060166E">
      <w:pPr>
        <w:pStyle w:val="Punktlista"/>
        <w:spacing w:line="276" w:lineRule="auto"/>
      </w:pPr>
      <w:r w:rsidRPr="002B6F7D">
        <w:t xml:space="preserve">Mekaniska orsaker </w:t>
      </w:r>
      <w:proofErr w:type="gramStart"/>
      <w:r w:rsidRPr="002B6F7D">
        <w:t>t.ex.</w:t>
      </w:r>
      <w:proofErr w:type="gramEnd"/>
      <w:r w:rsidRPr="002B6F7D">
        <w:t xml:space="preserve"> blod i ventrikeln.</w:t>
      </w:r>
    </w:p>
    <w:p w14:paraId="200E7A99" w14:textId="77777777" w:rsidR="00D00342" w:rsidRPr="002B6F7D" w:rsidRDefault="00D00342" w:rsidP="0060166E">
      <w:pPr>
        <w:pStyle w:val="Punktlista"/>
        <w:spacing w:line="276" w:lineRule="auto"/>
      </w:pPr>
      <w:proofErr w:type="spellStart"/>
      <w:r w:rsidRPr="002B6F7D">
        <w:t>Dehydrering</w:t>
      </w:r>
      <w:proofErr w:type="spellEnd"/>
      <w:r w:rsidRPr="002B6F7D">
        <w:t>/</w:t>
      </w:r>
      <w:proofErr w:type="spellStart"/>
      <w:r w:rsidRPr="002B6F7D">
        <w:t>hypovolemi</w:t>
      </w:r>
      <w:proofErr w:type="spellEnd"/>
    </w:p>
    <w:p w14:paraId="6682015E" w14:textId="77777777" w:rsidR="00D00342" w:rsidRPr="002B6F7D" w:rsidRDefault="00D00342" w:rsidP="0060166E">
      <w:pPr>
        <w:pStyle w:val="Punktlista"/>
        <w:spacing w:line="276" w:lineRule="auto"/>
      </w:pPr>
      <w:r w:rsidRPr="002B6F7D">
        <w:t>Hypotermi</w:t>
      </w:r>
    </w:p>
    <w:p w14:paraId="247B5F6C" w14:textId="77777777" w:rsidR="00D00342" w:rsidRPr="002B6F7D" w:rsidRDefault="00D00342" w:rsidP="0060166E">
      <w:pPr>
        <w:pStyle w:val="Punktlista"/>
        <w:spacing w:line="276" w:lineRule="auto"/>
      </w:pPr>
      <w:r w:rsidRPr="002B6F7D">
        <w:t>Hypotension</w:t>
      </w:r>
    </w:p>
    <w:p w14:paraId="2C0877C5" w14:textId="77777777" w:rsidR="00D00342" w:rsidRPr="00B9357A" w:rsidRDefault="00D00342" w:rsidP="0060166E">
      <w:pPr>
        <w:pStyle w:val="Punktlista"/>
        <w:spacing w:line="276" w:lineRule="auto"/>
        <w:rPr>
          <w:b/>
        </w:rPr>
      </w:pPr>
      <w:r w:rsidRPr="002B6F7D">
        <w:t>Otillräcklig</w:t>
      </w:r>
      <w:r w:rsidRPr="00B9357A">
        <w:t xml:space="preserve"> smärtlindring</w:t>
      </w:r>
    </w:p>
    <w:p w14:paraId="5BE7899F" w14:textId="77777777" w:rsidR="00D00342" w:rsidRPr="00B9357A" w:rsidRDefault="00D00342" w:rsidP="00296CD8">
      <w:pPr>
        <w:pStyle w:val="MellanrubrikVGR"/>
        <w:spacing w:before="0"/>
      </w:pPr>
      <w:r w:rsidRPr="00B9357A">
        <w:t>Farmakologisk behandling</w:t>
      </w:r>
    </w:p>
    <w:p w14:paraId="5C97766C" w14:textId="77777777" w:rsidR="00D00342" w:rsidRPr="00B9357A" w:rsidRDefault="00D00342" w:rsidP="00D00342">
      <w:pPr>
        <w:rPr>
          <w:b/>
        </w:rPr>
      </w:pPr>
      <w:r w:rsidRPr="00B9357A">
        <w:t xml:space="preserve">Använd i första hand </w:t>
      </w:r>
      <w:proofErr w:type="spellStart"/>
      <w:r w:rsidRPr="00B9357A">
        <w:t>antiemetika</w:t>
      </w:r>
      <w:proofErr w:type="spellEnd"/>
      <w:r w:rsidRPr="00B9357A">
        <w:t xml:space="preserve"> från annan klass än tidigare given som profylax.</w:t>
      </w:r>
      <w:r w:rsidRPr="00B9357A">
        <w:rPr>
          <w:b/>
        </w:rPr>
        <w:t xml:space="preserve"> </w:t>
      </w:r>
      <w:r w:rsidRPr="00B9357A">
        <w:t xml:space="preserve">En profylaktisk </w:t>
      </w:r>
      <w:proofErr w:type="spellStart"/>
      <w:r w:rsidRPr="00B9357A">
        <w:t>antiemetik</w:t>
      </w:r>
      <w:proofErr w:type="spellEnd"/>
      <w:r w:rsidRPr="00B9357A">
        <w:t xml:space="preserve"> kan upprepas en gång om 6 timmar postoperativt (förutom </w:t>
      </w:r>
      <w:proofErr w:type="spellStart"/>
      <w:r w:rsidRPr="00B9357A">
        <w:t>Betapred</w:t>
      </w:r>
      <w:proofErr w:type="spellEnd"/>
      <w:r w:rsidRPr="00B9357A">
        <w:t xml:space="preserve"> som endast ges 1 gång).</w:t>
      </w:r>
    </w:p>
    <w:p w14:paraId="39A6E906" w14:textId="77777777" w:rsidR="00D00342" w:rsidRPr="002B6F7D" w:rsidRDefault="00D00342" w:rsidP="002B6F7D">
      <w:pPr>
        <w:pStyle w:val="Punktlista"/>
      </w:pPr>
      <w:proofErr w:type="spellStart"/>
      <w:r w:rsidRPr="002B6F7D">
        <w:t>Droperidol</w:t>
      </w:r>
      <w:proofErr w:type="spellEnd"/>
      <w:r w:rsidRPr="002B6F7D">
        <w:t xml:space="preserve"> 0,5 - 0,625 mg IV. Cave! Förlängt QT - intervall</w:t>
      </w:r>
    </w:p>
    <w:p w14:paraId="53465236" w14:textId="77777777" w:rsidR="00D00342" w:rsidRPr="002B6F7D" w:rsidRDefault="00D00342" w:rsidP="002B6F7D">
      <w:pPr>
        <w:pStyle w:val="Punktlista"/>
      </w:pPr>
      <w:proofErr w:type="spellStart"/>
      <w:r w:rsidRPr="002B6F7D">
        <w:t>Ondansetron</w:t>
      </w:r>
      <w:proofErr w:type="spellEnd"/>
      <w:r w:rsidRPr="002B6F7D">
        <w:t xml:space="preserve"> 2 - 4 mg IV. Cave! Förlängt QT - intervall</w:t>
      </w:r>
    </w:p>
    <w:p w14:paraId="4BCCC2F3" w14:textId="77777777" w:rsidR="00D00342" w:rsidRPr="00E14D84" w:rsidRDefault="00D00342" w:rsidP="002B6F7D">
      <w:pPr>
        <w:pStyle w:val="Punktlista"/>
        <w:rPr>
          <w:b/>
        </w:rPr>
      </w:pPr>
      <w:proofErr w:type="spellStart"/>
      <w:r w:rsidRPr="002B6F7D">
        <w:t>Betapred</w:t>
      </w:r>
      <w:proofErr w:type="spellEnd"/>
      <w:r w:rsidRPr="00B9357A">
        <w:t xml:space="preserve"> 4 - 8 mg IV, om inte givet tidigare</w:t>
      </w:r>
    </w:p>
    <w:p w14:paraId="095FBC3F" w14:textId="77777777" w:rsidR="00D00342" w:rsidRPr="00B9357A" w:rsidRDefault="00D00342" w:rsidP="00D00342">
      <w:pPr>
        <w:spacing w:after="0" w:line="276" w:lineRule="auto"/>
        <w:rPr>
          <w:u w:val="single"/>
        </w:rPr>
      </w:pPr>
      <w:r w:rsidRPr="00B9357A">
        <w:rPr>
          <w:u w:val="single"/>
        </w:rPr>
        <w:t xml:space="preserve">Ytterligare </w:t>
      </w:r>
      <w:proofErr w:type="spellStart"/>
      <w:r w:rsidRPr="00B9357A">
        <w:rPr>
          <w:u w:val="single"/>
        </w:rPr>
        <w:t>rescue</w:t>
      </w:r>
      <w:proofErr w:type="spellEnd"/>
      <w:r w:rsidRPr="00B9357A">
        <w:rPr>
          <w:u w:val="single"/>
        </w:rPr>
        <w:t xml:space="preserve"> </w:t>
      </w:r>
      <w:proofErr w:type="spellStart"/>
      <w:r w:rsidRPr="00B9357A">
        <w:rPr>
          <w:u w:val="single"/>
        </w:rPr>
        <w:t>antiemetika</w:t>
      </w:r>
      <w:proofErr w:type="spellEnd"/>
    </w:p>
    <w:p w14:paraId="38C579CE" w14:textId="77777777" w:rsidR="00D00342" w:rsidRPr="002B6F7D" w:rsidRDefault="00D00342" w:rsidP="002B6F7D">
      <w:pPr>
        <w:pStyle w:val="Punktlista"/>
      </w:pPr>
      <w:proofErr w:type="spellStart"/>
      <w:r w:rsidRPr="002B6F7D">
        <w:t>Propofol</w:t>
      </w:r>
      <w:proofErr w:type="spellEnd"/>
      <w:r w:rsidRPr="002B6F7D">
        <w:t xml:space="preserve"> 20 mg IV (kort effekt)</w:t>
      </w:r>
    </w:p>
    <w:p w14:paraId="0ADEA12A" w14:textId="77777777" w:rsidR="00D00342" w:rsidRPr="002B6F7D" w:rsidRDefault="00D00342" w:rsidP="002B6F7D">
      <w:pPr>
        <w:pStyle w:val="Punktlista"/>
      </w:pPr>
      <w:proofErr w:type="spellStart"/>
      <w:r w:rsidRPr="002B6F7D">
        <w:t>Midazolam</w:t>
      </w:r>
      <w:proofErr w:type="spellEnd"/>
      <w:r w:rsidRPr="002B6F7D">
        <w:t xml:space="preserve"> 1 – 2 mg IV</w:t>
      </w:r>
    </w:p>
    <w:p w14:paraId="4A078EF7" w14:textId="004DBA2A" w:rsidR="00D00342" w:rsidRPr="008D5675" w:rsidRDefault="00D00342" w:rsidP="008D5675">
      <w:pPr>
        <w:pStyle w:val="Punktlista"/>
      </w:pPr>
      <w:r w:rsidRPr="002B6F7D">
        <w:t>Klonidin</w:t>
      </w:r>
      <w:r w:rsidRPr="00B9357A">
        <w:t xml:space="preserve"> 75 µg IV</w:t>
      </w:r>
    </w:p>
    <w:p w14:paraId="1F04761F" w14:textId="77777777" w:rsidR="00D00342" w:rsidRDefault="00D00342" w:rsidP="00D00342">
      <w:pPr>
        <w:pStyle w:val="Rubrik2"/>
        <w:rPr>
          <w:lang w:val="en-US"/>
        </w:rPr>
      </w:pPr>
      <w:r w:rsidRPr="00E14D84">
        <w:lastRenderedPageBreak/>
        <w:t>Referenser</w:t>
      </w:r>
    </w:p>
    <w:p w14:paraId="09343551" w14:textId="7D3A58FC" w:rsidR="00D00342" w:rsidRPr="00E14D84" w:rsidRDefault="00D00342" w:rsidP="00296CD8">
      <w:pPr>
        <w:pStyle w:val="Liststycke"/>
        <w:rPr>
          <w:b/>
          <w:lang w:val="en-US"/>
        </w:rPr>
      </w:pPr>
      <w:r w:rsidRPr="00B9357A">
        <w:rPr>
          <w:lang w:val="en-US"/>
        </w:rPr>
        <w:t>Consensus Guidelines for the Management of Postoperative Nausea and Vomiting.</w:t>
      </w:r>
      <w:r>
        <w:rPr>
          <w:b/>
          <w:lang w:val="en-US"/>
        </w:rPr>
        <w:t xml:space="preserve"> </w:t>
      </w:r>
      <w:r w:rsidRPr="00B9357A">
        <w:rPr>
          <w:color w:val="222222"/>
          <w:lang w:val="en-US"/>
        </w:rPr>
        <w:t xml:space="preserve">Society for Ambulatory Anesthesia, </w:t>
      </w:r>
      <w:proofErr w:type="spellStart"/>
      <w:r w:rsidRPr="00B9357A">
        <w:rPr>
          <w:color w:val="222222"/>
          <w:lang w:val="en-US"/>
        </w:rPr>
        <w:t>Anesth</w:t>
      </w:r>
      <w:proofErr w:type="spellEnd"/>
      <w:r w:rsidRPr="00B9357A">
        <w:rPr>
          <w:color w:val="222222"/>
          <w:lang w:val="en-US"/>
        </w:rPr>
        <w:t xml:space="preserve"> </w:t>
      </w:r>
      <w:proofErr w:type="spellStart"/>
      <w:r w:rsidRPr="00B9357A">
        <w:rPr>
          <w:color w:val="222222"/>
          <w:lang w:val="en-US"/>
        </w:rPr>
        <w:t>Analg</w:t>
      </w:r>
      <w:proofErr w:type="spellEnd"/>
      <w:r w:rsidRPr="00B9357A">
        <w:rPr>
          <w:color w:val="222222"/>
          <w:lang w:val="en-US"/>
        </w:rPr>
        <w:t xml:space="preserve"> 2014; 118:85–113.</w:t>
      </w:r>
    </w:p>
    <w:p w14:paraId="32EE24CA" w14:textId="67166998" w:rsidR="00D00342" w:rsidRPr="00B9357A" w:rsidRDefault="00D00342" w:rsidP="00296CD8">
      <w:pPr>
        <w:pStyle w:val="Liststycke"/>
        <w:rPr>
          <w:color w:val="222222"/>
          <w:lang w:val="en-US"/>
        </w:rPr>
      </w:pPr>
      <w:r w:rsidRPr="00B9357A">
        <w:rPr>
          <w:color w:val="222222"/>
          <w:lang w:val="en-US"/>
        </w:rPr>
        <w:t>Current Concepts in the Management of Postoperative Nausea and Vomiting.</w:t>
      </w:r>
      <w:r>
        <w:rPr>
          <w:color w:val="222222"/>
          <w:lang w:val="en-US"/>
        </w:rPr>
        <w:t xml:space="preserve"> </w:t>
      </w:r>
      <w:r w:rsidRPr="00B9357A">
        <w:rPr>
          <w:color w:val="222222"/>
          <w:lang w:val="en-US"/>
        </w:rPr>
        <w:t xml:space="preserve">Chatterjee S, et al. </w:t>
      </w:r>
      <w:r w:rsidRPr="00B9357A">
        <w:rPr>
          <w:iCs/>
          <w:color w:val="222222"/>
          <w:lang w:val="en-US"/>
        </w:rPr>
        <w:t>Anesthesiology Research and Practice</w:t>
      </w:r>
      <w:r w:rsidRPr="00B9357A">
        <w:rPr>
          <w:color w:val="222222"/>
          <w:lang w:val="en-US"/>
        </w:rPr>
        <w:t xml:space="preserve">. </w:t>
      </w:r>
      <w:r w:rsidRPr="00B9357A">
        <w:rPr>
          <w:rStyle w:val="cit"/>
          <w:lang w:val="en"/>
        </w:rPr>
        <w:t>2011: 748031.</w:t>
      </w:r>
    </w:p>
    <w:p w14:paraId="75063458" w14:textId="4EBAD4D0" w:rsidR="00D00342" w:rsidRPr="00E14D84" w:rsidRDefault="00D00342" w:rsidP="00296CD8">
      <w:pPr>
        <w:pStyle w:val="Liststycke"/>
        <w:rPr>
          <w:color w:val="222222"/>
          <w:lang w:val="en"/>
        </w:rPr>
      </w:pPr>
      <w:r w:rsidRPr="00B9357A">
        <w:rPr>
          <w:color w:val="222222"/>
          <w:lang w:val="en"/>
        </w:rPr>
        <w:t xml:space="preserve">PONV Prophylaxis Guidelines. Stanford Medicine: Anesthesia Research and Education, 2014 </w:t>
      </w:r>
      <w:r w:rsidRPr="00B9357A">
        <w:rPr>
          <w:color w:val="222222"/>
        </w:rPr>
        <w:t>(</w:t>
      </w:r>
      <w:hyperlink r:id="rId12" w:history="1">
        <w:r w:rsidRPr="00B9357A">
          <w:rPr>
            <w:rStyle w:val="Hyperlnk"/>
          </w:rPr>
          <w:t>http://ether.stanford.edu/</w:t>
        </w:r>
      </w:hyperlink>
      <w:r w:rsidRPr="00B9357A">
        <w:rPr>
          <w:color w:val="222222"/>
        </w:rPr>
        <w:t>)</w:t>
      </w:r>
    </w:p>
    <w:p w14:paraId="5AC5931E" w14:textId="4FD5948F" w:rsidR="00EA4368" w:rsidRPr="00D00342" w:rsidRDefault="00D00342" w:rsidP="00296CD8">
      <w:pPr>
        <w:pStyle w:val="Liststycke"/>
        <w:rPr>
          <w:color w:val="222222"/>
        </w:rPr>
      </w:pPr>
      <w:r w:rsidRPr="00B9357A">
        <w:rPr>
          <w:color w:val="222222"/>
        </w:rPr>
        <w:t>Postoperativt illamående och kräkning - dokumentation, profylax och behandling</w:t>
      </w:r>
      <w:r>
        <w:rPr>
          <w:color w:val="222222"/>
        </w:rPr>
        <w:t>.</w:t>
      </w:r>
      <w:r w:rsidRPr="00B9357A">
        <w:rPr>
          <w:color w:val="222222"/>
        </w:rPr>
        <w:t xml:space="preserve"> </w:t>
      </w:r>
      <w:proofErr w:type="spellStart"/>
      <w:r w:rsidRPr="00B9357A">
        <w:rPr>
          <w:color w:val="222222"/>
          <w:lang w:val="en-US"/>
        </w:rPr>
        <w:t>Stockholms</w:t>
      </w:r>
      <w:proofErr w:type="spellEnd"/>
      <w:r w:rsidRPr="00B9357A">
        <w:rPr>
          <w:color w:val="222222"/>
          <w:lang w:val="en-US"/>
        </w:rPr>
        <w:t xml:space="preserve"> </w:t>
      </w:r>
      <w:proofErr w:type="spellStart"/>
      <w:r w:rsidRPr="00B9357A">
        <w:rPr>
          <w:color w:val="222222"/>
          <w:lang w:val="en-US"/>
        </w:rPr>
        <w:t>läns</w:t>
      </w:r>
      <w:proofErr w:type="spellEnd"/>
      <w:r w:rsidRPr="00B9357A">
        <w:rPr>
          <w:color w:val="222222"/>
          <w:lang w:val="en-US"/>
        </w:rPr>
        <w:t xml:space="preserve"> </w:t>
      </w:r>
      <w:proofErr w:type="spellStart"/>
      <w:r w:rsidRPr="00B9357A">
        <w:rPr>
          <w:color w:val="222222"/>
          <w:lang w:val="en-US"/>
        </w:rPr>
        <w:t>landsting</w:t>
      </w:r>
      <w:proofErr w:type="spellEnd"/>
      <w:r w:rsidRPr="00B9357A">
        <w:rPr>
          <w:color w:val="222222"/>
          <w:lang w:val="en-US"/>
        </w:rPr>
        <w:t>, 2012</w:t>
      </w:r>
    </w:p>
    <w:sectPr w:rsidR="00EA4368" w:rsidRPr="00D00342" w:rsidSect="00B96AFF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410832" w14:textId="77777777" w:rsidR="00054D7C" w:rsidRDefault="00054D7C">
      <w:r>
        <w:separator/>
      </w:r>
    </w:p>
  </w:endnote>
  <w:endnote w:type="continuationSeparator" w:id="0">
    <w:p w14:paraId="0A4B3F2B" w14:textId="77777777" w:rsidR="00054D7C" w:rsidRDefault="00054D7C">
      <w:r>
        <w:continuationSeparator/>
      </w:r>
    </w:p>
  </w:endnote>
  <w:endnote w:type="continuationNotice" w:id="1">
    <w:p w14:paraId="6C81F419" w14:textId="77777777" w:rsidR="00054D7C" w:rsidRDefault="00054D7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66F4EBFA" w:rsidR="00C50EE5" w:rsidRPr="00831C35" w:rsidRDefault="00EF38D4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EndPr/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0450CB" w14:textId="77777777" w:rsidR="00054D7C" w:rsidRDefault="00054D7C"/>
  </w:footnote>
  <w:footnote w:type="continuationSeparator" w:id="0">
    <w:p w14:paraId="0744D2EE" w14:textId="77777777" w:rsidR="00054D7C" w:rsidRDefault="00054D7C">
      <w:r>
        <w:continuationSeparator/>
      </w:r>
    </w:p>
  </w:footnote>
  <w:footnote w:type="continuationNotice" w:id="1">
    <w:p w14:paraId="5DAE9C52" w14:textId="77777777" w:rsidR="00054D7C" w:rsidRDefault="00054D7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7D3A8082"/>
    <w:lvl w:ilvl="0" w:tplc="963AB0BC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  <w:b w:val="0"/>
        <w:bCs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F64A5C"/>
    <w:multiLevelType w:val="hybridMultilevel"/>
    <w:tmpl w:val="5D7E1C80"/>
    <w:lvl w:ilvl="0" w:tplc="041D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C2461F9"/>
    <w:multiLevelType w:val="hybridMultilevel"/>
    <w:tmpl w:val="181ADD3C"/>
    <w:lvl w:ilvl="0" w:tplc="041D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9"/>
  </w:num>
  <w:num w:numId="2" w16cid:durableId="1367871050">
    <w:abstractNumId w:val="14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7"/>
  </w:num>
  <w:num w:numId="6" w16cid:durableId="444931515">
    <w:abstractNumId w:val="2"/>
  </w:num>
  <w:num w:numId="7" w16cid:durableId="739910959">
    <w:abstractNumId w:val="11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3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2"/>
  </w:num>
  <w:num w:numId="17" w16cid:durableId="256527698">
    <w:abstractNumId w:val="5"/>
  </w:num>
  <w:num w:numId="18" w16cid:durableId="1090539201">
    <w:abstractNumId w:val="10"/>
  </w:num>
  <w:num w:numId="19" w16cid:durableId="1846439597">
    <w:abstractNumId w:val="18"/>
  </w:num>
  <w:num w:numId="20" w16cid:durableId="685866787">
    <w:abstractNumId w:val="16"/>
  </w:num>
  <w:num w:numId="21" w16cid:durableId="527716323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15D2"/>
    <w:rsid w:val="000051D5"/>
    <w:rsid w:val="00006D2A"/>
    <w:rsid w:val="00010D47"/>
    <w:rsid w:val="00016CF0"/>
    <w:rsid w:val="00030DDD"/>
    <w:rsid w:val="000313BB"/>
    <w:rsid w:val="00033ED5"/>
    <w:rsid w:val="00050500"/>
    <w:rsid w:val="00054A05"/>
    <w:rsid w:val="00054D7C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D5670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96CD8"/>
    <w:rsid w:val="002A1C4F"/>
    <w:rsid w:val="002A7450"/>
    <w:rsid w:val="002B0B30"/>
    <w:rsid w:val="002B0C78"/>
    <w:rsid w:val="002B6F7D"/>
    <w:rsid w:val="002C0C02"/>
    <w:rsid w:val="002C1277"/>
    <w:rsid w:val="002C60AD"/>
    <w:rsid w:val="002D0E0E"/>
    <w:rsid w:val="002D6023"/>
    <w:rsid w:val="002E263F"/>
    <w:rsid w:val="002E6F81"/>
    <w:rsid w:val="002F08BA"/>
    <w:rsid w:val="002F22E4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363A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916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4969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22E"/>
    <w:rsid w:val="00565CD0"/>
    <w:rsid w:val="00567820"/>
    <w:rsid w:val="0057277B"/>
    <w:rsid w:val="005770AD"/>
    <w:rsid w:val="00581414"/>
    <w:rsid w:val="00582490"/>
    <w:rsid w:val="00595C14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166E"/>
    <w:rsid w:val="0060596B"/>
    <w:rsid w:val="00606D97"/>
    <w:rsid w:val="00614E64"/>
    <w:rsid w:val="006160F5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0B3C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0E0"/>
    <w:rsid w:val="008A4EB9"/>
    <w:rsid w:val="008A74C0"/>
    <w:rsid w:val="008B1694"/>
    <w:rsid w:val="008C4B27"/>
    <w:rsid w:val="008C7F0C"/>
    <w:rsid w:val="008C7F2A"/>
    <w:rsid w:val="008D124E"/>
    <w:rsid w:val="008D4B13"/>
    <w:rsid w:val="008D567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319D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5C9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6335"/>
    <w:rsid w:val="00BE7978"/>
    <w:rsid w:val="00C01F0D"/>
    <w:rsid w:val="00C07DDB"/>
    <w:rsid w:val="00C25984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1FD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342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A4368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EF38D4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customStyle="1" w:styleId="cit">
    <w:name w:val="cit"/>
    <w:basedOn w:val="Standardstycketeckensnitt"/>
    <w:rsid w:val="00D0034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ettings" Target="settings.xml" Id="rId7" /><Relationship Type="http://schemas.openxmlformats.org/officeDocument/2006/relationships/hyperlink" Target="http://ether.stanford.edu/" TargetMode="External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styles" Target="styles.xml" Id="rId6" /><Relationship Type="http://schemas.openxmlformats.org/officeDocument/2006/relationships/hyperlink" Target="https://mellanarkiv-offentlig.vgregion.se/alfresco/s/archive/stream/public/v1/source/available/sofia/sv9761-782711715-775/surrogate/TENS%20vid%20PONV%20postoperativ%20sm%c3%a4rta%20Dagkir%20Op%20verk.pdf" TargetMode="External" Id="rId11" /><Relationship Type="http://schemas.openxmlformats.org/officeDocument/2006/relationships/numbering" Target="numbering.xml" Id="rId5" /><Relationship Type="http://schemas.openxmlformats.org/officeDocument/2006/relationships/footer" Target="footer2.xml" Id="rId15" /><Relationship Type="http://schemas.openxmlformats.org/officeDocument/2006/relationships/endnotes" Target="endnotes.xml" Id="rId10" /><Relationship Type="http://schemas.openxmlformats.org/officeDocument/2006/relationships/theme" Target="theme/theme1.xml" Id="rId19" /><Relationship Type="http://schemas.openxmlformats.org/officeDocument/2006/relationships/footnotes" Target="footnote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570</Words>
  <Characters>3656</Characters>
  <Application>Microsoft Office Word</Application>
  <DocSecurity>0</DocSecurity>
  <Lines>30</Lines>
  <Paragraphs>8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4218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PONV - profylax och behandling vuxna, ANS</dc:title>
  <dc:subject/>
  <dc:creator/>
  <keywords/>
  <lastModifiedBy/>
  <revision>1</revision>
  <dcterms:created xsi:type="dcterms:W3CDTF">2025-05-15T09:51:00.0000000Z</dcterms:created>
  <dcterms:modified xsi:type="dcterms:W3CDTF">2025-05-15T10:03:00.0000000Z</dcterms:modified>
</coreProperties>
</file>