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C6C0C" w:rsidP="001F4D74" w:rsidRDefault="001F4D74" w14:paraId="40AA233F" w14:textId="15E5678D">
      <w:pPr>
        <w:rPr>
          <w:rFonts w:ascii="Calibri" w:hAnsi="Calibri" w:eastAsia="MS Gothic"/>
          <w:bCs/>
          <w:kern w:val="32"/>
          <w:sz w:val="48"/>
          <w:szCs w:val="32"/>
        </w:rPr>
      </w:pPr>
      <w:r w:rsidRPr="001F4D74">
        <w:rPr>
          <w:rFonts w:ascii="Calibri" w:hAnsi="Calibri" w:eastAsia="MS Gothic"/>
          <w:bCs/>
          <w:kern w:val="32"/>
          <w:sz w:val="48"/>
          <w:szCs w:val="32"/>
        </w:rPr>
        <w:t>Postop - Illamående, PONV</w:t>
      </w:r>
    </w:p>
    <w:p w:rsidRPr="00CE07B8" w:rsidR="004861BA" w:rsidP="004861BA" w:rsidRDefault="004861BA" w14:paraId="50C4AE30" w14:textId="77777777">
      <w:pPr>
        <w:pStyle w:val="Rubrik2"/>
      </w:pPr>
      <w:r w:rsidRPr="00CE07B8">
        <w:t xml:space="preserve">Bakgrund </w:t>
      </w:r>
    </w:p>
    <w:p w:rsidRPr="00CE07B8" w:rsidR="004861BA" w:rsidP="004861BA" w:rsidRDefault="004861BA" w14:paraId="5F22CD17" w14:textId="5B30BAB6">
      <w:pPr>
        <w:spacing w:after="160"/>
      </w:pPr>
      <w:r w:rsidRPr="00CE07B8">
        <w:t>Underbehandlad smärta såväl som överdosering av opioider ger illamående.</w:t>
      </w:r>
      <w:r>
        <w:t xml:space="preserve"> </w:t>
      </w:r>
      <w:r w:rsidRPr="00CE07B8">
        <w:t>Viktigt med noga planerad grundsmärtlindring för att förhindra smärtgenombrott som kräver stora doser kortverkande opiater.</w:t>
      </w:r>
      <w:r w:rsidRPr="00CE07B8">
        <w:br/>
      </w:r>
      <w:r w:rsidRPr="00CE07B8">
        <w:t>Illamående bör behandlas tidigt, överväg profylaktisk behandling om PONV</w:t>
      </w:r>
      <w:r>
        <w:t xml:space="preserve"> </w:t>
      </w:r>
      <w:r w:rsidRPr="00CE07B8">
        <w:t>(postoperative nausea and vomiting) finns i anamnesen.</w:t>
      </w:r>
    </w:p>
    <w:p w:rsidRPr="00CE07B8" w:rsidR="004861BA" w:rsidP="00A815E8" w:rsidRDefault="004861BA" w14:paraId="5522C305" w14:textId="77777777">
      <w:pPr>
        <w:pStyle w:val="Rubrik2"/>
      </w:pPr>
      <w:r w:rsidRPr="00CE07B8">
        <w:t>Arbetsbeskrivning</w:t>
      </w:r>
    </w:p>
    <w:p w:rsidRPr="00CE07B8" w:rsidR="004861BA" w:rsidP="00A815E8" w:rsidRDefault="004861BA" w14:paraId="31A08496" w14:textId="77777777">
      <w:pPr>
        <w:spacing w:before="100" w:beforeAutospacing="1" w:after="100" w:afterAutospacing="1" w:line="240" w:lineRule="auto"/>
        <w:rPr>
          <w:color w:val="000000"/>
        </w:rPr>
      </w:pPr>
      <w:r w:rsidRPr="00CE07B8">
        <w:rPr>
          <w:color w:val="000000"/>
        </w:rPr>
        <w:t xml:space="preserve">Särskild risk för postoperativt illamående ses hos individer med: </w:t>
      </w:r>
    </w:p>
    <w:p w:rsidRPr="00CE07B8" w:rsidR="004861BA" w:rsidP="00A815E8" w:rsidRDefault="004861BA" w14:paraId="760B4C4D" w14:textId="77777777">
      <w:pPr>
        <w:pStyle w:val="Punktlista"/>
        <w:spacing w:line="240" w:lineRule="auto"/>
        <w:ind w:left="1418"/>
      </w:pPr>
      <w:r w:rsidRPr="00CE07B8">
        <w:t>Anamnes på rörelssjuka</w:t>
      </w:r>
    </w:p>
    <w:p w:rsidRPr="00CE07B8" w:rsidR="004861BA" w:rsidP="00A815E8" w:rsidRDefault="004861BA" w14:paraId="2A7B0FB3" w14:textId="77777777">
      <w:pPr>
        <w:pStyle w:val="Punktlista"/>
        <w:spacing w:line="240" w:lineRule="auto"/>
        <w:ind w:left="1418"/>
      </w:pPr>
      <w:r w:rsidRPr="00CE07B8">
        <w:t>Tidigare illamående efter narkos</w:t>
      </w:r>
    </w:p>
    <w:p w:rsidRPr="00CE07B8" w:rsidR="004861BA" w:rsidP="004861BA" w:rsidRDefault="004861BA" w14:paraId="4E1604E4" w14:textId="77777777">
      <w:pPr>
        <w:pStyle w:val="Punktlista"/>
        <w:ind w:left="1418"/>
      </w:pPr>
      <w:r w:rsidRPr="00CE07B8">
        <w:t>Kvinnligt kön</w:t>
      </w:r>
    </w:p>
    <w:p w:rsidRPr="00CE07B8" w:rsidR="004861BA" w:rsidP="004861BA" w:rsidRDefault="004861BA" w14:paraId="3DC687E1" w14:textId="77777777">
      <w:pPr>
        <w:pStyle w:val="Punktlista"/>
        <w:ind w:left="1418"/>
      </w:pPr>
      <w:r w:rsidRPr="00CE07B8">
        <w:t>Barn, unga (högre vagustonus)</w:t>
      </w:r>
    </w:p>
    <w:p w:rsidRPr="00CE07B8" w:rsidR="004861BA" w:rsidP="004861BA" w:rsidRDefault="004861BA" w14:paraId="04578F8B" w14:textId="77777777">
      <w:pPr>
        <w:pStyle w:val="Punktlista"/>
        <w:ind w:left="1418"/>
      </w:pPr>
      <w:r w:rsidRPr="00CE07B8">
        <w:t>Övervikt</w:t>
      </w:r>
    </w:p>
    <w:p w:rsidRPr="00CE07B8" w:rsidR="004861BA" w:rsidP="004861BA" w:rsidRDefault="004861BA" w14:paraId="2E2A81F1" w14:textId="77777777">
      <w:pPr>
        <w:pStyle w:val="Punktlista"/>
        <w:ind w:left="1418"/>
      </w:pPr>
      <w:r w:rsidRPr="00CE07B8">
        <w:t>Långvarig preoperativ svält</w:t>
      </w:r>
    </w:p>
    <w:p w:rsidRPr="00CE07B8" w:rsidR="004861BA" w:rsidP="004861BA" w:rsidRDefault="004861BA" w14:paraId="2FC7C81A" w14:textId="77777777">
      <w:pPr>
        <w:pStyle w:val="Punktlista"/>
        <w:ind w:left="1418"/>
      </w:pPr>
      <w:r w:rsidRPr="00CE07B8">
        <w:t>Underbehandlad smärta</w:t>
      </w:r>
    </w:p>
    <w:p w:rsidRPr="00CE07B8" w:rsidR="004861BA" w:rsidP="004861BA" w:rsidRDefault="004861BA" w14:paraId="1E546736" w14:textId="77777777">
      <w:pPr>
        <w:pStyle w:val="Punktlista"/>
        <w:ind w:left="1418"/>
      </w:pPr>
      <w:r w:rsidRPr="00CE07B8">
        <w:t>Överdosering av opioid</w:t>
      </w:r>
    </w:p>
    <w:p w:rsidRPr="00CE07B8" w:rsidR="004861BA" w:rsidP="004861BA" w:rsidRDefault="004861BA" w14:paraId="27084D53" w14:textId="77777777">
      <w:pPr>
        <w:pStyle w:val="Punktlista"/>
        <w:ind w:left="1418"/>
      </w:pPr>
      <w:r w:rsidRPr="00CE07B8">
        <w:t>Ileus</w:t>
      </w:r>
    </w:p>
    <w:p w:rsidRPr="00CE07B8" w:rsidR="004861BA" w:rsidP="004861BA" w:rsidRDefault="004861BA" w14:paraId="048B204E" w14:textId="77777777">
      <w:pPr>
        <w:spacing w:before="100" w:beforeAutospacing="1" w:after="100" w:afterAutospacing="1"/>
        <w:rPr>
          <w:color w:val="000000"/>
        </w:rPr>
      </w:pPr>
      <w:r w:rsidRPr="00CE07B8">
        <w:rPr>
          <w:color w:val="000000"/>
        </w:rPr>
        <w:t>Postoperativt illamående kan förekomma till följd av kirurgi, anestesi och komplikationer som:</w:t>
      </w:r>
    </w:p>
    <w:p w:rsidRPr="00CE07B8" w:rsidR="004861BA" w:rsidP="004861BA" w:rsidRDefault="004861BA" w14:paraId="6862F7D2" w14:textId="77777777">
      <w:pPr>
        <w:pStyle w:val="Punktlista"/>
        <w:ind w:left="1418"/>
      </w:pPr>
      <w:r w:rsidRPr="00CE07B8">
        <w:t>Ventrikelfyllnad av luft (svår intubation, esofagusintubation, maskventilation, inkl. dåligt placerad larynxmask) eller nedsvalt blod, slem (svår intubation)</w:t>
      </w:r>
    </w:p>
    <w:p w:rsidRPr="00CE07B8" w:rsidR="004861BA" w:rsidP="004861BA" w:rsidRDefault="004861BA" w14:paraId="37CA28ED" w14:textId="77777777">
      <w:pPr>
        <w:pStyle w:val="Punktlista"/>
        <w:ind w:left="1418"/>
      </w:pPr>
      <w:r w:rsidRPr="00CE07B8">
        <w:t>Efter vissa operationer laparoskopi, tarmkirurgi, gynekologiska ingrepp, strumaop</w:t>
      </w:r>
    </w:p>
    <w:p w:rsidRPr="00CE07B8" w:rsidR="004861BA" w:rsidP="004861BA" w:rsidRDefault="004861BA" w14:paraId="6190ECAE" w14:textId="77777777">
      <w:pPr>
        <w:pStyle w:val="Punktlista"/>
        <w:ind w:left="1418"/>
      </w:pPr>
      <w:r w:rsidRPr="00CE07B8">
        <w:t>Blödning/hypovolemi</w:t>
      </w:r>
    </w:p>
    <w:p w:rsidRPr="00CE07B8" w:rsidR="004861BA" w:rsidP="004861BA" w:rsidRDefault="004861BA" w14:paraId="0FD4AE39" w14:textId="77777777">
      <w:pPr>
        <w:pStyle w:val="Punktlista"/>
        <w:ind w:left="1418"/>
      </w:pPr>
      <w:r w:rsidRPr="00CE07B8">
        <w:t>Intrakraniell tryckstegring</w:t>
      </w:r>
    </w:p>
    <w:p w:rsidRPr="00CE07B8" w:rsidR="004861BA" w:rsidP="004861BA" w:rsidRDefault="004861BA" w14:paraId="6D2C8078" w14:textId="77777777">
      <w:pPr>
        <w:pStyle w:val="Punktlista"/>
        <w:ind w:left="1418"/>
      </w:pPr>
      <w:r w:rsidRPr="00CE07B8">
        <w:t>Cerebral hypoxi</w:t>
      </w:r>
    </w:p>
    <w:p w:rsidRPr="00CE07B8" w:rsidR="004861BA" w:rsidP="004861BA" w:rsidRDefault="004861BA" w14:paraId="5F496B89" w14:textId="77777777">
      <w:pPr>
        <w:pStyle w:val="Punktlista"/>
        <w:ind w:left="1418"/>
      </w:pPr>
      <w:r w:rsidRPr="00CE07B8">
        <w:t>Hypoglykemi</w:t>
      </w:r>
    </w:p>
    <w:p w:rsidRPr="00CE07B8" w:rsidR="004861BA" w:rsidP="004861BA" w:rsidRDefault="004861BA" w14:paraId="1EAF4EFF" w14:textId="77777777">
      <w:pPr>
        <w:spacing w:before="100" w:beforeAutospacing="1" w:after="100" w:afterAutospacing="1"/>
        <w:rPr>
          <w:color w:val="000000"/>
        </w:rPr>
      </w:pPr>
      <w:r w:rsidRPr="00CE07B8">
        <w:rPr>
          <w:color w:val="000000"/>
        </w:rPr>
        <w:t>Läkemedel som kan utlösa kräkning/illamående:</w:t>
      </w:r>
    </w:p>
    <w:p w:rsidRPr="00CE07B8" w:rsidR="004861BA" w:rsidP="004861BA" w:rsidRDefault="004861BA" w14:paraId="46765983" w14:textId="77777777">
      <w:pPr>
        <w:pStyle w:val="Punktlista"/>
        <w:ind w:left="1418"/>
      </w:pPr>
      <w:r w:rsidRPr="00CE07B8">
        <w:t xml:space="preserve">Opioider </w:t>
      </w:r>
    </w:p>
    <w:p w:rsidRPr="00CE07B8" w:rsidR="004861BA" w:rsidP="004861BA" w:rsidRDefault="004861BA" w14:paraId="4554DE5E" w14:textId="77777777">
      <w:pPr>
        <w:pStyle w:val="Punktlista"/>
        <w:ind w:left="1418"/>
      </w:pPr>
      <w:r w:rsidRPr="00CE07B8">
        <w:t>Neostigmin och fysostigmin (Antilirium)</w:t>
      </w:r>
    </w:p>
    <w:p w:rsidRPr="00290291" w:rsidR="004861BA" w:rsidP="00290291" w:rsidRDefault="004861BA" w14:paraId="4BC78376" w14:textId="0BCE1DA6">
      <w:pPr>
        <w:pStyle w:val="Punktlista"/>
        <w:ind w:left="1418"/>
      </w:pPr>
      <w:r w:rsidRPr="00CE07B8">
        <w:t>Ketalar större risk än Pentotal</w:t>
      </w:r>
      <w:r w:rsidRPr="00CE07B8">
        <w:tab/>
      </w:r>
    </w:p>
    <w:p w:rsidRPr="00CE07B8" w:rsidR="004861BA" w:rsidP="00290291" w:rsidRDefault="004861BA" w14:paraId="400B3523" w14:textId="77777777">
      <w:pPr>
        <w:pStyle w:val="Rubrik3"/>
      </w:pPr>
      <w:r w:rsidRPr="00CE07B8">
        <w:t>Komplikation?</w:t>
      </w:r>
    </w:p>
    <w:p w:rsidRPr="00CE07B8" w:rsidR="004861BA" w:rsidP="004861BA" w:rsidRDefault="004861BA" w14:paraId="09024F71" w14:textId="77777777">
      <w:pPr>
        <w:spacing w:after="160"/>
        <w:rPr>
          <w:bCs/>
        </w:rPr>
      </w:pPr>
      <w:r w:rsidRPr="00CE07B8">
        <w:rPr>
          <w:bCs/>
        </w:rPr>
        <w:t>Även om det vanligaste är farmakautlöst illamående hos en eventuellt predisponerad individ skall man alltid fundera över möjlig komplikation innan behandling ges och absolut om behandling inte ger effekt.</w:t>
      </w:r>
    </w:p>
    <w:p w:rsidRPr="00CE07B8" w:rsidR="004861BA" w:rsidP="00A815E8" w:rsidRDefault="004861BA" w14:paraId="149ADC21" w14:textId="38F70FC8">
      <w:pPr>
        <w:spacing w:after="160"/>
      </w:pPr>
      <w:r w:rsidRPr="00CE07B8">
        <w:t>Ta ställning till dosen opiater, är den för hög eller låg?</w:t>
      </w:r>
      <w:r w:rsidR="00A815E8">
        <w:br/>
      </w:r>
      <w:r w:rsidRPr="00CE07B8">
        <w:t>Hb- elektrolyt- och vätskestatus? Hände det något avvikande på operation?</w:t>
      </w:r>
    </w:p>
    <w:p w:rsidRPr="00CE07B8" w:rsidR="004861BA" w:rsidP="004861BA" w:rsidRDefault="004861BA" w14:paraId="13FBA001" w14:textId="77777777">
      <w:pPr>
        <w:spacing w:before="100" w:beforeAutospacing="1" w:after="100" w:afterAutospacing="1"/>
        <w:rPr>
          <w:color w:val="000000"/>
        </w:rPr>
      </w:pPr>
      <w:r w:rsidRPr="00CE07B8">
        <w:rPr>
          <w:bCs/>
          <w:color w:val="000000"/>
        </w:rPr>
        <w:t>Åtgärder för att minska risken för PONV </w:t>
      </w:r>
    </w:p>
    <w:p w:rsidRPr="00CE07B8" w:rsidR="004861BA" w:rsidP="00290291" w:rsidRDefault="004861BA" w14:paraId="3735FAD0" w14:textId="77777777">
      <w:pPr>
        <w:pStyle w:val="Punktlista"/>
        <w:ind w:left="1418"/>
      </w:pPr>
      <w:r w:rsidRPr="00CE07B8">
        <w:t>Evakuera luft ur magsäcken (</w:t>
      </w:r>
      <w:proofErr w:type="gramStart"/>
      <w:r w:rsidRPr="00CE07B8">
        <w:t>pre.op</w:t>
      </w:r>
      <w:proofErr w:type="gramEnd"/>
      <w:r w:rsidRPr="00CE07B8">
        <w:t>/  på operation)</w:t>
      </w:r>
    </w:p>
    <w:p w:rsidRPr="00CE07B8" w:rsidR="004861BA" w:rsidP="00290291" w:rsidRDefault="004861BA" w14:paraId="2CE3DD19" w14:textId="77777777">
      <w:pPr>
        <w:pStyle w:val="Punktlista"/>
        <w:ind w:left="1418"/>
      </w:pPr>
      <w:r w:rsidRPr="00CE07B8">
        <w:t>Adekvat vätsketillförsel</w:t>
      </w:r>
    </w:p>
    <w:p w:rsidRPr="00CE07B8" w:rsidR="004861BA" w:rsidP="00290291" w:rsidRDefault="004861BA" w14:paraId="3CA5D243" w14:textId="77777777">
      <w:pPr>
        <w:pStyle w:val="Punktlista"/>
        <w:ind w:left="1418"/>
      </w:pPr>
      <w:r w:rsidRPr="00CE07B8">
        <w:t>Håll patienten väl syresatt</w:t>
      </w:r>
    </w:p>
    <w:p w:rsidRPr="00CE07B8" w:rsidR="004861BA" w:rsidP="00290291" w:rsidRDefault="004861BA" w14:paraId="40802770" w14:textId="77777777">
      <w:pPr>
        <w:pStyle w:val="Punktlista"/>
        <w:ind w:left="1418"/>
      </w:pPr>
      <w:r w:rsidRPr="00CE07B8">
        <w:t>Undvik om möjligt opioider</w:t>
      </w:r>
    </w:p>
    <w:p w:rsidRPr="00CE07B8" w:rsidR="004861BA" w:rsidP="00290291" w:rsidRDefault="004861BA" w14:paraId="0F75B807" w14:textId="77777777">
      <w:pPr>
        <w:pStyle w:val="Punktlista"/>
        <w:ind w:left="1418"/>
      </w:pPr>
      <w:r w:rsidRPr="00CE07B8">
        <w:t>Använd blockader där det är tillämpligt för att undvika opioidtillförseln per- och postoperativt</w:t>
      </w:r>
    </w:p>
    <w:p w:rsidRPr="00CE07B8" w:rsidR="004861BA" w:rsidP="00290291" w:rsidRDefault="004861BA" w14:paraId="32218AD5" w14:textId="77777777">
      <w:pPr>
        <w:pStyle w:val="Punktlista"/>
        <w:ind w:left="1418"/>
      </w:pPr>
      <w:r w:rsidRPr="00CE07B8">
        <w:t>Opioider kan kombineras med icke-opioider (paracetamol, NSAID)</w:t>
      </w:r>
    </w:p>
    <w:p w:rsidRPr="00CE07B8" w:rsidR="004861BA" w:rsidP="00290291" w:rsidRDefault="004861BA" w14:paraId="4BD7E040" w14:textId="77777777">
      <w:pPr>
        <w:pStyle w:val="Punktlista"/>
        <w:ind w:left="1418"/>
      </w:pPr>
      <w:r w:rsidRPr="00CE07B8">
        <w:t>Använd om möjligt Propofol för induktion och underhåll </w:t>
      </w:r>
    </w:p>
    <w:p w:rsidRPr="00CE07B8" w:rsidR="004861BA" w:rsidP="004861BA" w:rsidRDefault="004861BA" w14:paraId="33C2CD0B" w14:textId="77777777">
      <w:pPr>
        <w:spacing w:after="160"/>
      </w:pPr>
      <w:r w:rsidRPr="00CE07B8">
        <w:t>Farmakologisk behandling:</w:t>
      </w:r>
    </w:p>
    <w:p w:rsidRPr="00CE07B8" w:rsidR="004861BA" w:rsidP="00290291" w:rsidRDefault="004861BA" w14:paraId="5340F803" w14:textId="77777777">
      <w:pPr>
        <w:pStyle w:val="Punktlista"/>
        <w:numPr>
          <w:ilvl w:val="0"/>
          <w:numId w:val="26"/>
        </w:numPr>
        <w:ind w:left="1418"/>
      </w:pPr>
      <w:r w:rsidRPr="00CE07B8">
        <w:t>I samband med premedicinering ges T. Postafen 25 mg.</w:t>
      </w:r>
    </w:p>
    <w:p w:rsidRPr="00CE07B8" w:rsidR="004861BA" w:rsidP="00290291" w:rsidRDefault="004861BA" w14:paraId="7E775CD5" w14:textId="77777777">
      <w:pPr>
        <w:pStyle w:val="Punktlista"/>
        <w:numPr>
          <w:ilvl w:val="0"/>
          <w:numId w:val="26"/>
        </w:numPr>
        <w:ind w:left="1418"/>
      </w:pPr>
      <w:r w:rsidRPr="00CE07B8">
        <w:t>Vid misstanke om vasovagal reaktion och blodtrycksfall med bradykardi ges Inj. Atropin 0,5 mg iv.</w:t>
      </w:r>
    </w:p>
    <w:p w:rsidRPr="00CE07B8" w:rsidR="004861BA" w:rsidP="00290291" w:rsidRDefault="004861BA" w14:paraId="44315E1A" w14:textId="77777777">
      <w:pPr>
        <w:pStyle w:val="Punktlista"/>
        <w:numPr>
          <w:ilvl w:val="0"/>
          <w:numId w:val="26"/>
        </w:numPr>
        <w:ind w:left="1418"/>
      </w:pPr>
      <w:r w:rsidRPr="00CE07B8">
        <w:t xml:space="preserve">Vid postoperativt illamående ges i </w:t>
      </w:r>
      <w:proofErr w:type="gramStart"/>
      <w:r w:rsidRPr="00CE07B8">
        <w:t>1:a</w:t>
      </w:r>
      <w:proofErr w:type="gramEnd"/>
      <w:r w:rsidRPr="00CE07B8">
        <w:t xml:space="preserve"> hand Inj. Ondansetron 4 mg iv</w:t>
      </w:r>
      <w:r>
        <w:t xml:space="preserve">. </w:t>
      </w:r>
      <w:r w:rsidRPr="00900E7F">
        <w:t>Ge ej till fertila kvinnor. Liten ökad risk för missbildning vid administrering under graviditetens första trimester.</w:t>
      </w:r>
    </w:p>
    <w:p w:rsidRPr="00CE07B8" w:rsidR="004861BA" w:rsidP="00290291" w:rsidRDefault="004861BA" w14:paraId="34F3D5B3" w14:textId="77777777">
      <w:pPr>
        <w:pStyle w:val="Punktlista"/>
        <w:numPr>
          <w:ilvl w:val="0"/>
          <w:numId w:val="26"/>
        </w:numPr>
        <w:ind w:left="1418"/>
      </w:pPr>
      <w:r w:rsidRPr="00CE07B8">
        <w:t xml:space="preserve">Vid opiatutlöst illamående bör Inj. Dridol </w:t>
      </w:r>
      <w:r w:rsidRPr="00CE07B8">
        <w:rPr>
          <w:bCs/>
        </w:rPr>
        <w:t>1mg iv övervägas</w:t>
      </w:r>
      <w:r w:rsidRPr="00CE07B8">
        <w:t xml:space="preserve"> men det </w:t>
      </w:r>
      <w:r w:rsidRPr="00CE07B8">
        <w:rPr>
          <w:bCs/>
        </w:rPr>
        <w:t xml:space="preserve">kräver 2 timmars EKG övervakning. </w:t>
      </w:r>
    </w:p>
    <w:p w:rsidRPr="00CE07B8" w:rsidR="004861BA" w:rsidP="00290291" w:rsidRDefault="004861BA" w14:paraId="095A0E18" w14:textId="77777777">
      <w:pPr>
        <w:pStyle w:val="Punktlista"/>
        <w:numPr>
          <w:ilvl w:val="0"/>
          <w:numId w:val="26"/>
        </w:numPr>
        <w:ind w:left="1418"/>
        <w:rPr>
          <w:bCs/>
        </w:rPr>
      </w:pPr>
      <w:r w:rsidRPr="00CE07B8">
        <w:rPr>
          <w:bCs/>
        </w:rPr>
        <w:t>Vid fortsatt illamående är det ofta nödvändigt med polyfarmaci, d.v.s. flera läkemedel samtidigt för att få kontroll.</w:t>
      </w:r>
    </w:p>
    <w:p w:rsidRPr="00CE07B8" w:rsidR="004861BA" w:rsidP="00290291" w:rsidRDefault="004861BA" w14:paraId="5EDB6EEE" w14:textId="77777777">
      <w:pPr>
        <w:pStyle w:val="Punktlista"/>
        <w:numPr>
          <w:ilvl w:val="1"/>
          <w:numId w:val="26"/>
        </w:numPr>
      </w:pPr>
      <w:r w:rsidRPr="00CE07B8">
        <w:t>Inj Primperan 10 mg iv.</w:t>
      </w:r>
    </w:p>
    <w:p w:rsidRPr="00CE07B8" w:rsidR="004861BA" w:rsidP="00290291" w:rsidRDefault="004861BA" w14:paraId="233B93DA" w14:textId="137DCBEF">
      <w:pPr>
        <w:pStyle w:val="Punktlista"/>
        <w:numPr>
          <w:ilvl w:val="1"/>
          <w:numId w:val="26"/>
        </w:numPr>
      </w:pPr>
      <w:r w:rsidRPr="00CE07B8">
        <w:t xml:space="preserve">Inj Betapred </w:t>
      </w:r>
      <w:r w:rsidRPr="00CE07B8" w:rsidR="00A815E8">
        <w:t>2–4</w:t>
      </w:r>
      <w:r w:rsidRPr="00CE07B8">
        <w:t xml:space="preserve"> mg iv. </w:t>
      </w:r>
    </w:p>
    <w:p w:rsidRPr="00CE07B8" w:rsidR="004861BA" w:rsidP="7CF0708C" w:rsidRDefault="004861BA" w14:paraId="3FA3E18B" w14:textId="77777777">
      <w:pPr>
        <w:pStyle w:val="Punktlista"/>
        <w:rPr/>
      </w:pPr>
      <w:r w:rsidR="004861BA">
        <w:rPr/>
        <w:t>Ytterligare Inj. Ondansetron 4 mg iv.</w:t>
      </w:r>
    </w:p>
    <w:p w:rsidRPr="00CE07B8" w:rsidR="004861BA" w:rsidP="7CF0708C" w:rsidRDefault="004861BA" w14:paraId="0D10790D" w14:textId="410DC5BD">
      <w:pPr>
        <w:keepNext w:val="1"/>
        <w:keepLines w:val="1"/>
        <w:spacing w:before="0" w:beforeAutospacing="off" w:after="160" w:afterAutospacing="off"/>
        <w:rPr>
          <w:rFonts w:eastAsia="ＭＳ ゴシック" w:eastAsiaTheme="majorEastAsia"/>
          <w:b w:val="1"/>
          <w:bCs w:val="1"/>
        </w:rPr>
      </w:pPr>
      <w:hyperlink r:id="R523b0c72f0e94c79">
        <w:r w:rsidRPr="7CF0708C" w:rsidR="64436D51">
          <w:rPr>
            <w:rStyle w:val="Hyperl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TENS - profylax och behandling av PONV.docx</w:t>
        </w:r>
      </w:hyperlink>
      <w:r w:rsidRPr="7CF0708C" w:rsidR="004861BA">
        <w:rPr>
          <w:rFonts w:eastAsia="ＭＳ ゴシック" w:eastAsiaTheme="majorEastAsia"/>
          <w:b w:val="1"/>
          <w:bCs w:val="1"/>
        </w:rPr>
        <w:t xml:space="preserve"> prövas i tidigt skede, helst som preoperativ förberedelse</w:t>
      </w:r>
    </w:p>
    <w:p w:rsidRPr="00CE07B8" w:rsidR="004861BA" w:rsidP="004861BA" w:rsidRDefault="004861BA" w14:paraId="4C009C3F" w14:textId="77777777">
      <w:pPr>
        <w:spacing w:after="160"/>
        <w:rPr>
          <w:bCs/>
        </w:rPr>
      </w:pPr>
      <w:r w:rsidRPr="00CE07B8">
        <w:rPr>
          <w:bCs/>
        </w:rPr>
        <w:t>De läkemedel som ej finns som generell ordination, ordineras av ansvarig läkare.</w:t>
      </w:r>
    </w:p>
    <w:p w:rsidRPr="001F4D74" w:rsidR="001F4D74" w:rsidP="001F4D74" w:rsidRDefault="001F4D74" w14:paraId="62660F75" w14:textId="77777777"/>
    <w:sectPr w:rsidRPr="001F4D74" w:rsidR="001F4D74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3419" w:rsidRDefault="00873419" w14:paraId="4F108037" w14:textId="77777777">
      <w:r>
        <w:separator/>
      </w:r>
    </w:p>
  </w:endnote>
  <w:endnote w:type="continuationSeparator" w:id="0">
    <w:p w:rsidR="00873419" w:rsidRDefault="00873419" w14:paraId="5477F330" w14:textId="77777777">
      <w:r>
        <w:continuationSeparator/>
      </w:r>
    </w:p>
  </w:endnote>
  <w:endnote w:type="continuationNotice" w:id="1">
    <w:p w:rsidR="00873419" w:rsidRDefault="00873419" w14:paraId="1776CC6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3419" w:rsidRDefault="00873419" w14:paraId="536C2094" w14:textId="77777777"/>
  </w:footnote>
  <w:footnote w:type="continuationSeparator" w:id="0">
    <w:p w:rsidR="00873419" w:rsidRDefault="00873419" w14:paraId="5FE23AA8" w14:textId="77777777">
      <w:r>
        <w:continuationSeparator/>
      </w:r>
    </w:p>
  </w:footnote>
  <w:footnote w:type="continuationNotice" w:id="1">
    <w:p w:rsidR="00873419" w:rsidRDefault="00873419" w14:paraId="330015E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215BCD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961D39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C5757B"/>
    <w:multiLevelType w:val="hybridMultilevel"/>
    <w:tmpl w:val="888E378E"/>
    <w:lvl w:ilvl="0" w:tplc="B0DA52C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2369FA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8D0875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4C664D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43ED3A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0CA3B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4323B6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3F4A9B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ACC444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B3A3C80"/>
    <w:multiLevelType w:val="hybridMultilevel"/>
    <w:tmpl w:val="826CED78"/>
    <w:lvl w:ilvl="0" w:tplc="3614F1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B622D1C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3B188B1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986CE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9CC00A7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CF9AC7D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9DB232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99AA879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967A464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73D05D9"/>
    <w:multiLevelType w:val="hybridMultilevel"/>
    <w:tmpl w:val="5BDC71D0"/>
    <w:lvl w:ilvl="0" w:tplc="DCD0AC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</w:rPr>
    </w:lvl>
    <w:lvl w:ilvl="1" w:tplc="C41E299C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hint="default" w:ascii="Courier New" w:hAnsi="Courier New" w:cs="Courier New"/>
      </w:rPr>
    </w:lvl>
    <w:lvl w:ilvl="2" w:tplc="AAC48CF6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</w:rPr>
    </w:lvl>
    <w:lvl w:ilvl="3" w:tplc="2C60E04C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</w:rPr>
    </w:lvl>
    <w:lvl w:ilvl="4" w:tplc="4AF2AF9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hint="default" w:ascii="Courier New" w:hAnsi="Courier New" w:cs="Courier New"/>
      </w:rPr>
    </w:lvl>
    <w:lvl w:ilvl="5" w:tplc="09D0C7CC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</w:rPr>
    </w:lvl>
    <w:lvl w:ilvl="6" w:tplc="4FC25FA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</w:rPr>
    </w:lvl>
    <w:lvl w:ilvl="7" w:tplc="5AF4B11E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hint="default" w:ascii="Courier New" w:hAnsi="Courier New" w:cs="Courier New"/>
      </w:rPr>
    </w:lvl>
    <w:lvl w:ilvl="8" w:tplc="47F03264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4041EF2"/>
    <w:multiLevelType w:val="hybridMultilevel"/>
    <w:tmpl w:val="CCB27E6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93A70E4"/>
    <w:multiLevelType w:val="hybridMultilevel"/>
    <w:tmpl w:val="36A000C4"/>
    <w:lvl w:ilvl="0" w:tplc="B55C404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524A50F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6D06FB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AC298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5742E5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71EFDC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522A08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60E20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896D1E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FF06831"/>
    <w:multiLevelType w:val="hybridMultilevel"/>
    <w:tmpl w:val="E09A34C2"/>
    <w:lvl w:ilvl="0" w:tplc="907C57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B812FCD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C400D77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11A440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E323E7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380BFC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79C31C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10E7D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F92DB3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57675DCE"/>
    <w:multiLevelType w:val="hybridMultilevel"/>
    <w:tmpl w:val="53542832"/>
    <w:lvl w:ilvl="0" w:tplc="15D886C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A9BADD96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</w:rPr>
    </w:lvl>
    <w:lvl w:ilvl="2" w:tplc="69E8800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5B845A5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D7E0446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4FDAAE8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BE62CA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A161B7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FD6BFD4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24"/>
  </w:num>
  <w:num w:numId="2">
    <w:abstractNumId w:val="20"/>
  </w:num>
  <w:num w:numId="3">
    <w:abstractNumId w:val="0"/>
  </w:num>
  <w:num w:numId="4">
    <w:abstractNumId w:val="8"/>
  </w:num>
  <w:num w:numId="5">
    <w:abstractNumId w:val="22"/>
  </w:num>
  <w:num w:numId="6">
    <w:abstractNumId w:val="3"/>
  </w:num>
  <w:num w:numId="7">
    <w:abstractNumId w:val="14"/>
  </w:num>
  <w:num w:numId="8">
    <w:abstractNumId w:val="11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9"/>
  </w:num>
  <w:num w:numId="14">
    <w:abstractNumId w:val="12"/>
  </w:num>
  <w:num w:numId="15">
    <w:abstractNumId w:val="9"/>
  </w:num>
  <w:num w:numId="16">
    <w:abstractNumId w:val="18"/>
  </w:num>
  <w:num w:numId="17">
    <w:abstractNumId w:val="6"/>
  </w:num>
  <w:num w:numId="18">
    <w:abstractNumId w:val="13"/>
  </w:num>
  <w:num w:numId="19">
    <w:abstractNumId w:val="23"/>
  </w:num>
  <w:num w:numId="2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</w:num>
  <w:num w:numId="24">
    <w:abstractNumId w:val="21"/>
  </w:num>
  <w:num w:numId="25">
    <w:abstractNumId w:val="7"/>
  </w:num>
  <w:num w:numId="26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4D7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291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61BA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5E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8DB4A90"/>
    <w:rsid w:val="64436D51"/>
    <w:rsid w:val="647B2B65"/>
    <w:rsid w:val="6B2CF8ED"/>
    <w:rsid w:val="7CF07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yperlink" Target="https://vgregion.sharepoint.com/:w:/r/sites/sy-sv-sty-perioperativ-vard--intensivvard-och-transplantation-sv/_layouts/15/Doc.aspx?sourcedoc=%7BEFE68D6C-8932-4D23-95F2-D814D6B2ED61%7D&amp;file=TENS%20-%20profylax%20och%20behandling%20av%20PONV.docx&amp;action=default&amp;mobileredirect=true" TargetMode="External" Id="R523b0c72f0e94c7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Postop - Illamående, PONV</dc:title>
  <dc:subject/>
  <dc:creator/>
  <keywords/>
  <lastModifiedBy>Ulla Rehnberg</lastModifiedBy>
  <revision>18</revision>
  <lastPrinted>2016-03-31T10:56:00.0000000Z</lastPrinted>
  <dcterms:created xsi:type="dcterms:W3CDTF">2021-05-27T09:47:00.0000000Z</dcterms:created>
  <dcterms:modified xsi:type="dcterms:W3CDTF">2024-12-18T12:54:41.0000000Z</dcterms:modified>
</coreProperties>
</file>