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4CAC57" w14:textId="77777777" w:rsidR="00471E71" w:rsidRDefault="00471E71" w:rsidP="00F35B05">
      <w:pPr>
        <w:pStyle w:val="Rubrik2"/>
        <w:sectPr w:rsidR="00471E71" w:rsidSect="00471E7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9C4CB51" w14:textId="66C70BC5" w:rsidR="00AE0B69" w:rsidRDefault="00AE0B69" w:rsidP="00722D7E">
      <w:pPr>
        <w:pStyle w:val="Rubrik1"/>
      </w:pPr>
      <w:r>
        <w:t xml:space="preserve">Preoperativ utsättning och återinsättning av </w:t>
      </w:r>
      <w:proofErr w:type="spellStart"/>
      <w:r>
        <w:t>antikoagulantia</w:t>
      </w:r>
      <w:proofErr w:type="spellEnd"/>
      <w:r w:rsidR="00D762BE">
        <w:t xml:space="preserve"> vid elektiv</w:t>
      </w:r>
      <w:r w:rsidR="00722D7E">
        <w:t xml:space="preserve"> ledplastik</w:t>
      </w:r>
    </w:p>
    <w:p w14:paraId="7706813D" w14:textId="77777777" w:rsidR="00AE0B69" w:rsidRDefault="00AE0B69" w:rsidP="00471E71">
      <w:pPr>
        <w:spacing w:after="0" w:line="276" w:lineRule="auto"/>
        <w:ind w:left="0" w:right="0"/>
        <w:rPr>
          <w:rFonts w:ascii="Arial" w:hAnsi="Arial" w:cs="Arial"/>
          <w:b/>
          <w:color w:val="000000"/>
          <w:sz w:val="28"/>
          <w:szCs w:val="28"/>
        </w:rPr>
      </w:pPr>
    </w:p>
    <w:p w14:paraId="7A7C643D" w14:textId="3DB8D66A" w:rsidR="00471E71" w:rsidRPr="00471E71" w:rsidRDefault="00471E71" w:rsidP="00722D7E">
      <w:pPr>
        <w:pStyle w:val="Rubrik2"/>
      </w:pPr>
      <w:r w:rsidRPr="00471E71">
        <w:t>Bakgrund och syfte</w:t>
      </w:r>
    </w:p>
    <w:p w14:paraId="559B2088" w14:textId="3919A4B6" w:rsidR="00471E71" w:rsidRPr="00471E71" w:rsidRDefault="00471E71" w:rsidP="00722D7E">
      <w:r>
        <w:t xml:space="preserve">Många patienter har behandling med läkemedel som påverkar blödningsbenägenheten/hemostasen. Inför planerad kirurgi skall ställning tas till om dessa läkemedel skall sättas ut, och i så fall när, samt om överbroande behandling med lågmolekylärt heparin (LMH) skall sättas in. </w:t>
      </w:r>
    </w:p>
    <w:p w14:paraId="3B3BF58C" w14:textId="45B61928" w:rsidR="00471E71" w:rsidRPr="00471E71" w:rsidRDefault="00471E71" w:rsidP="00722D7E">
      <w:r>
        <w:t>Syftet med denna rutin är att säkerställa att hanteringen av</w:t>
      </w:r>
      <w:r w:rsidR="54F7C460">
        <w:t xml:space="preserve"> </w:t>
      </w:r>
      <w:proofErr w:type="spellStart"/>
      <w:r>
        <w:t>antikoagulantia</w:t>
      </w:r>
      <w:proofErr w:type="spellEnd"/>
      <w:r>
        <w:t xml:space="preserve"> i samband med proteskirurgi sker på ett säkert och enhetligt sätt.</w:t>
      </w:r>
    </w:p>
    <w:p w14:paraId="0647C42B" w14:textId="77777777" w:rsidR="00471E71" w:rsidRPr="00471E71" w:rsidRDefault="00471E71" w:rsidP="00471E71">
      <w:pPr>
        <w:spacing w:after="0" w:line="240" w:lineRule="auto"/>
        <w:ind w:left="0" w:right="0"/>
        <w:rPr>
          <w:b/>
          <w:color w:val="000000"/>
        </w:rPr>
      </w:pPr>
    </w:p>
    <w:p w14:paraId="0A3D63F7" w14:textId="77777777" w:rsidR="00471E71" w:rsidRPr="00471E71" w:rsidRDefault="00471E71" w:rsidP="00722D7E">
      <w:pPr>
        <w:pStyle w:val="Rubrik2"/>
      </w:pPr>
      <w:r w:rsidRPr="00471E71">
        <w:t>Ansvar</w:t>
      </w:r>
    </w:p>
    <w:p w14:paraId="7030B300" w14:textId="77777777" w:rsidR="00471E71" w:rsidRPr="00471E71" w:rsidRDefault="00471E71" w:rsidP="00722D7E">
      <w:r w:rsidRPr="00471E71">
        <w:t>Det är inskrivande mottagningsläkares ansvar att informera patienten om vilka läkemedel som skall sättas ut inför planerad operation, ta ställning till ev överbroande behandling samt ordinera postoperativ trombosprofylax.</w:t>
      </w:r>
    </w:p>
    <w:p w14:paraId="174FF0A7" w14:textId="77777777" w:rsidR="00471E71" w:rsidRPr="00471E71" w:rsidRDefault="00471E71" w:rsidP="00722D7E">
      <w:r w:rsidRPr="00471E71">
        <w:t>Det är operatörens ansvar att, inför förestående operation, försäkra sig om att aktuellt PK-värde, och ev given preoperativ LMH-behandling, är rimlig. Det är också operatörens ansvar att skjuta upp operationen om antikoagulationen bedöms vara för kraftig samt att se till att lämplig postoperativ trombosprofylax är ordinerad.</w:t>
      </w:r>
    </w:p>
    <w:p w14:paraId="70CFEEA3" w14:textId="77777777" w:rsidR="00471E71" w:rsidRPr="00471E71" w:rsidRDefault="00471E71" w:rsidP="00722D7E">
      <w:pPr>
        <w:rPr>
          <w:b/>
          <w:bCs/>
        </w:rPr>
      </w:pPr>
    </w:p>
    <w:p w14:paraId="24C6D140" w14:textId="5B6643F2" w:rsidR="60119412" w:rsidRDefault="60119412" w:rsidP="60119412">
      <w:pPr>
        <w:spacing w:after="0" w:line="240" w:lineRule="auto"/>
        <w:ind w:left="0" w:right="0"/>
        <w:rPr>
          <w:b/>
          <w:bCs/>
          <w:color w:val="000000" w:themeColor="text2"/>
        </w:rPr>
      </w:pPr>
    </w:p>
    <w:p w14:paraId="2C0C8684" w14:textId="59C50B0E" w:rsidR="00471E71" w:rsidRPr="0021117F" w:rsidRDefault="00471E71" w:rsidP="0021117F">
      <w:pPr>
        <w:pStyle w:val="Rubrik2"/>
      </w:pPr>
      <w:r w:rsidRPr="00471E71">
        <w:lastRenderedPageBreak/>
        <w:t xml:space="preserve">Utsättning av </w:t>
      </w:r>
      <w:proofErr w:type="spellStart"/>
      <w:r w:rsidRPr="00471E71">
        <w:t>antikoagulantia</w:t>
      </w:r>
      <w:proofErr w:type="spellEnd"/>
      <w:r w:rsidRPr="00471E71">
        <w:t xml:space="preserve"> preoperativt</w:t>
      </w:r>
    </w:p>
    <w:p w14:paraId="7791424D" w14:textId="77777777" w:rsidR="00471E71" w:rsidRPr="00471E71" w:rsidRDefault="00471E71" w:rsidP="00722D7E">
      <w:pPr>
        <w:pStyle w:val="Rubrik3"/>
      </w:pPr>
      <w:proofErr w:type="spellStart"/>
      <w:r w:rsidRPr="00471E71">
        <w:t>Waran</w:t>
      </w:r>
      <w:proofErr w:type="spellEnd"/>
      <w:r w:rsidRPr="00471E71">
        <w:t xml:space="preserve"> </w:t>
      </w:r>
    </w:p>
    <w:p w14:paraId="1AA987B3" w14:textId="77777777" w:rsidR="00471E71" w:rsidRPr="00471E71" w:rsidRDefault="00471E71" w:rsidP="00722D7E">
      <w:proofErr w:type="spellStart"/>
      <w:r w:rsidRPr="00471E71">
        <w:t>Waran</w:t>
      </w:r>
      <w:proofErr w:type="spellEnd"/>
      <w:r w:rsidRPr="00471E71">
        <w:t xml:space="preserve"> utsättes vanligen 6 dygn innan den planerade operationen. Överbroande behandling med </w:t>
      </w:r>
      <w:proofErr w:type="spellStart"/>
      <w:r w:rsidRPr="00471E71">
        <w:t>Innohep</w:t>
      </w:r>
      <w:proofErr w:type="spellEnd"/>
      <w:r w:rsidRPr="00471E71">
        <w:t xml:space="preserve"> 4500 IE är standard (gäller dock ej högriskpatienter, se nedan). Utsättning av </w:t>
      </w:r>
      <w:proofErr w:type="spellStart"/>
      <w:r w:rsidRPr="00471E71">
        <w:t>Waran</w:t>
      </w:r>
      <w:proofErr w:type="spellEnd"/>
      <w:r w:rsidRPr="00471E71">
        <w:t xml:space="preserve"> och ordination av </w:t>
      </w:r>
      <w:proofErr w:type="spellStart"/>
      <w:r w:rsidRPr="00471E71">
        <w:t>Innohep</w:t>
      </w:r>
      <w:proofErr w:type="spellEnd"/>
      <w:r w:rsidRPr="00471E71">
        <w:t xml:space="preserve"> sköts av koagulationsmottagningen (som kontaktas av operationskoordinatorn). Inskrivande läkare skall utfärda ett recept på </w:t>
      </w:r>
      <w:proofErr w:type="spellStart"/>
      <w:r w:rsidRPr="00471E71">
        <w:t>Innohep</w:t>
      </w:r>
      <w:proofErr w:type="spellEnd"/>
      <w:r w:rsidRPr="00471E71">
        <w:t xml:space="preserve"> 4500 IE, </w:t>
      </w:r>
      <w:proofErr w:type="gramStart"/>
      <w:r w:rsidRPr="00471E71">
        <w:t xml:space="preserve">10 </w:t>
      </w:r>
      <w:proofErr w:type="spellStart"/>
      <w:r w:rsidRPr="00471E71">
        <w:t>st</w:t>
      </w:r>
      <w:proofErr w:type="spellEnd"/>
      <w:proofErr w:type="gramEnd"/>
      <w:r w:rsidRPr="00471E71">
        <w:t xml:space="preserve"> sprutor.</w:t>
      </w:r>
    </w:p>
    <w:p w14:paraId="74C79E17" w14:textId="2A0837B7" w:rsidR="00471E71" w:rsidRPr="00471E71" w:rsidRDefault="00471E71" w:rsidP="00722D7E">
      <w:r>
        <w:t xml:space="preserve">Efter operationen skall patienten återigen sättas in på </w:t>
      </w:r>
      <w:proofErr w:type="spellStart"/>
      <w:r>
        <w:t>Waran</w:t>
      </w:r>
      <w:proofErr w:type="spellEnd"/>
      <w:r>
        <w:t xml:space="preserve"> inför utskrivning. Koagulationsmottagningen kan/bör då kontaktas för hjälp med ordination, se rubrik Återinsättning nedan.</w:t>
      </w:r>
    </w:p>
    <w:p w14:paraId="4F6685F1" w14:textId="77777777" w:rsidR="00471E71" w:rsidRPr="00471E71" w:rsidRDefault="00471E71" w:rsidP="00722D7E">
      <w:pPr>
        <w:pStyle w:val="Rubrik3"/>
      </w:pPr>
      <w:bookmarkStart w:id="1" w:name="_Hlk30166662"/>
      <w:r w:rsidRPr="00471E71">
        <w:t xml:space="preserve">DOAK (direktverkande orala </w:t>
      </w:r>
      <w:proofErr w:type="spellStart"/>
      <w:r w:rsidRPr="00471E71">
        <w:t>antikoagulantia</w:t>
      </w:r>
      <w:proofErr w:type="spellEnd"/>
      <w:r w:rsidRPr="00471E71">
        <w:t>)</w:t>
      </w:r>
    </w:p>
    <w:p w14:paraId="2B2D3CED" w14:textId="77777777" w:rsidR="00471E71" w:rsidRPr="00471E71" w:rsidRDefault="00471E71" w:rsidP="00722D7E">
      <w:bookmarkStart w:id="2" w:name="_Hlk30166241"/>
      <w:proofErr w:type="spellStart"/>
      <w:r w:rsidRPr="00471E71">
        <w:t>Eliquis</w:t>
      </w:r>
      <w:proofErr w:type="spellEnd"/>
      <w:r w:rsidRPr="00471E71">
        <w:t xml:space="preserve"> (</w:t>
      </w:r>
      <w:proofErr w:type="spellStart"/>
      <w:r w:rsidRPr="00471E71">
        <w:t>Apixaban</w:t>
      </w:r>
      <w:proofErr w:type="spellEnd"/>
      <w:r w:rsidRPr="00471E71">
        <w:t xml:space="preserve">), </w:t>
      </w:r>
      <w:proofErr w:type="spellStart"/>
      <w:r w:rsidRPr="00471E71">
        <w:t>Xarelto</w:t>
      </w:r>
      <w:proofErr w:type="spellEnd"/>
      <w:r w:rsidRPr="00471E71">
        <w:t xml:space="preserve"> (</w:t>
      </w:r>
      <w:proofErr w:type="spellStart"/>
      <w:r w:rsidRPr="00471E71">
        <w:t>Rivaroxaban</w:t>
      </w:r>
      <w:proofErr w:type="spellEnd"/>
      <w:r w:rsidRPr="00471E71">
        <w:t xml:space="preserve">) och </w:t>
      </w:r>
      <w:proofErr w:type="spellStart"/>
      <w:r w:rsidRPr="00471E71">
        <w:t>Pradaxa</w:t>
      </w:r>
      <w:proofErr w:type="spellEnd"/>
      <w:r w:rsidRPr="00471E71">
        <w:t xml:space="preserve"> (</w:t>
      </w:r>
      <w:proofErr w:type="spellStart"/>
      <w:r w:rsidRPr="00471E71">
        <w:t>Dabigatran</w:t>
      </w:r>
      <w:proofErr w:type="spellEnd"/>
      <w:r w:rsidRPr="00471E71">
        <w:t xml:space="preserve">) utsättes 2 dygn inför operationen. </w:t>
      </w:r>
      <w:bookmarkEnd w:id="2"/>
    </w:p>
    <w:p w14:paraId="018729CA" w14:textId="7D585EC9" w:rsidR="00471E71" w:rsidRPr="00471E71" w:rsidRDefault="00471E71" w:rsidP="00722D7E">
      <w:r>
        <w:t xml:space="preserve">Vid njurinsufficiens (GFR </w:t>
      </w:r>
      <w:r w:rsidR="00790480">
        <w:t>15–30</w:t>
      </w:r>
      <w:r>
        <w:t xml:space="preserve"> ml/min) förlängs utsättningstiden till 3 dygn för </w:t>
      </w:r>
      <w:proofErr w:type="spellStart"/>
      <w:r>
        <w:t>Eliquis</w:t>
      </w:r>
      <w:proofErr w:type="spellEnd"/>
      <w:r>
        <w:t xml:space="preserve"> och </w:t>
      </w:r>
      <w:proofErr w:type="spellStart"/>
      <w:r>
        <w:t>Xarelto</w:t>
      </w:r>
      <w:proofErr w:type="spellEnd"/>
      <w:r>
        <w:t xml:space="preserve">, och 4 dygn för </w:t>
      </w:r>
      <w:proofErr w:type="spellStart"/>
      <w:r>
        <w:t>Pradaxa</w:t>
      </w:r>
      <w:proofErr w:type="spellEnd"/>
      <w:r>
        <w:t xml:space="preserve">.  </w:t>
      </w:r>
    </w:p>
    <w:p w14:paraId="395AEE1E" w14:textId="77777777" w:rsidR="00471E71" w:rsidRPr="00471E71" w:rsidRDefault="00471E71" w:rsidP="00722D7E">
      <w:r w:rsidRPr="00471E71">
        <w:t>Överbroande behandling med LMH behövs som regel inte.</w:t>
      </w:r>
    </w:p>
    <w:p w14:paraId="706DD687" w14:textId="77777777" w:rsidR="00471E71" w:rsidRPr="00471E71" w:rsidRDefault="00471E71" w:rsidP="00722D7E">
      <w:r>
        <w:t>NOAK återinsättes normalt morgonen efter operationsdagen, se rubrik Återinsättning nedan.</w:t>
      </w:r>
    </w:p>
    <w:p w14:paraId="6C03392F" w14:textId="77777777" w:rsidR="00471E71" w:rsidRPr="00471E71" w:rsidRDefault="00471E71" w:rsidP="008B2E8D">
      <w:pPr>
        <w:pStyle w:val="Rubrik3"/>
      </w:pPr>
      <w:r w:rsidRPr="00471E71">
        <w:t>Trombocythämmare</w:t>
      </w:r>
    </w:p>
    <w:p w14:paraId="52B5AB85" w14:textId="2B35610A" w:rsidR="00471E71" w:rsidRPr="00471E71" w:rsidRDefault="00471E71" w:rsidP="008B2E8D">
      <w:proofErr w:type="spellStart"/>
      <w:r w:rsidRPr="00471E71">
        <w:t>Brilique</w:t>
      </w:r>
      <w:proofErr w:type="spellEnd"/>
      <w:r w:rsidRPr="00471E71">
        <w:t xml:space="preserve"> (</w:t>
      </w:r>
      <w:proofErr w:type="spellStart"/>
      <w:r w:rsidRPr="00471E71">
        <w:t>Ticagrelor</w:t>
      </w:r>
      <w:proofErr w:type="spellEnd"/>
      <w:r w:rsidRPr="00471E71">
        <w:t xml:space="preserve">), </w:t>
      </w:r>
      <w:proofErr w:type="spellStart"/>
      <w:r w:rsidRPr="00471E71">
        <w:t>Efient</w:t>
      </w:r>
      <w:proofErr w:type="spellEnd"/>
      <w:r w:rsidRPr="00471E71">
        <w:t xml:space="preserve"> (</w:t>
      </w:r>
      <w:proofErr w:type="spellStart"/>
      <w:r w:rsidRPr="00471E71">
        <w:t>Prasugrel</w:t>
      </w:r>
      <w:proofErr w:type="spellEnd"/>
      <w:r w:rsidRPr="00471E71">
        <w:t xml:space="preserve">) och </w:t>
      </w:r>
      <w:proofErr w:type="spellStart"/>
      <w:r w:rsidRPr="00471E71">
        <w:t>Plavix</w:t>
      </w:r>
      <w:proofErr w:type="spellEnd"/>
      <w:r w:rsidRPr="00471E71">
        <w:t xml:space="preserve"> (</w:t>
      </w:r>
      <w:proofErr w:type="spellStart"/>
      <w:r w:rsidRPr="00471E71">
        <w:t>Clopidogrel</w:t>
      </w:r>
      <w:proofErr w:type="spellEnd"/>
      <w:r w:rsidRPr="00471E71">
        <w:t xml:space="preserve">) utsättes </w:t>
      </w:r>
      <w:r w:rsidR="00790480" w:rsidRPr="00471E71">
        <w:t>5–7</w:t>
      </w:r>
      <w:r w:rsidRPr="00471E71">
        <w:t xml:space="preserve"> dygn preoperativt. </w:t>
      </w:r>
    </w:p>
    <w:p w14:paraId="1E81F971" w14:textId="77777777" w:rsidR="00471E71" w:rsidRPr="00471E71" w:rsidRDefault="00471E71" w:rsidP="008B2E8D">
      <w:r>
        <w:t xml:space="preserve">OBS: Pat som har behandling med ovanstående läkemedel räknas som högriskpatient för </w:t>
      </w:r>
      <w:proofErr w:type="spellStart"/>
      <w:r>
        <w:t>tromboembolisk</w:t>
      </w:r>
      <w:proofErr w:type="spellEnd"/>
      <w:r>
        <w:t xml:space="preserve"> händelse. Koagulationsansvarig medicinläkare/kardiolog bör alltid konsulteras huruvida det är lämpligt att patienten opereras under pågående behandling, om det aktuella läkemedlet kan utsättas eller inte, och i så fall när.  </w:t>
      </w:r>
    </w:p>
    <w:p w14:paraId="0D730130" w14:textId="0D17954D" w:rsidR="0D0283DF" w:rsidRDefault="0D0283DF" w:rsidP="0D0283DF">
      <w:pPr>
        <w:spacing w:after="0" w:line="240" w:lineRule="auto"/>
        <w:ind w:left="0" w:right="0"/>
      </w:pPr>
    </w:p>
    <w:p w14:paraId="7B4B1BA5" w14:textId="77777777" w:rsidR="00471E71" w:rsidRPr="00471E71" w:rsidRDefault="00471E71" w:rsidP="008B2E8D">
      <w:bookmarkStart w:id="3" w:name="_Hlk30166102"/>
      <w:r w:rsidRPr="00471E71">
        <w:t xml:space="preserve">Som högriskpatient räknas också patient med antikoagulationsbehandling </w:t>
      </w:r>
      <w:proofErr w:type="spellStart"/>
      <w:r w:rsidRPr="00471E71">
        <w:t>pga</w:t>
      </w:r>
      <w:proofErr w:type="spellEnd"/>
      <w:r w:rsidRPr="00471E71">
        <w:t>:</w:t>
      </w:r>
    </w:p>
    <w:p w14:paraId="0B70809B" w14:textId="77777777" w:rsidR="00471E71" w:rsidRPr="00471E71" w:rsidRDefault="00471E71" w:rsidP="008B2E8D">
      <w:pPr>
        <w:pStyle w:val="Punktlista"/>
      </w:pPr>
      <w:r w:rsidRPr="00471E71">
        <w:t>Mekanisk hjärtklaff</w:t>
      </w:r>
    </w:p>
    <w:p w14:paraId="760270EE" w14:textId="443F9B12" w:rsidR="00471E71" w:rsidRPr="00471E71" w:rsidRDefault="15A3D4A2" w:rsidP="008B2E8D">
      <w:pPr>
        <w:pStyle w:val="Punktlista"/>
      </w:pPr>
      <w:r>
        <w:t>Nyligen genomgången</w:t>
      </w:r>
      <w:r w:rsidR="00471E71">
        <w:t xml:space="preserve"> lungemboli/DVT, hjärtinfarkt eller stroke</w:t>
      </w:r>
      <w:r w:rsidR="68AADF9A">
        <w:t xml:space="preserve"> (inom </w:t>
      </w:r>
      <w:r w:rsidR="00790480">
        <w:t>3–6</w:t>
      </w:r>
      <w:r w:rsidR="68AADF9A">
        <w:t xml:space="preserve"> månader)</w:t>
      </w:r>
    </w:p>
    <w:p w14:paraId="56B34442" w14:textId="77777777" w:rsidR="00471E71" w:rsidRPr="00471E71" w:rsidRDefault="00471E71" w:rsidP="008B2E8D">
      <w:pPr>
        <w:pStyle w:val="Punktlista"/>
      </w:pPr>
      <w:r w:rsidRPr="00471E71">
        <w:t xml:space="preserve">Coronarartärstent (genomgått PCI med </w:t>
      </w:r>
      <w:proofErr w:type="spellStart"/>
      <w:r w:rsidRPr="00471E71">
        <w:t>stentning</w:t>
      </w:r>
      <w:proofErr w:type="spellEnd"/>
      <w:r w:rsidRPr="00471E71">
        <w:t>)</w:t>
      </w:r>
    </w:p>
    <w:p w14:paraId="364E8419" w14:textId="77777777" w:rsidR="00471E71" w:rsidRPr="00471E71" w:rsidRDefault="00471E71" w:rsidP="00471E71">
      <w:pPr>
        <w:spacing w:after="0" w:line="240" w:lineRule="auto"/>
        <w:ind w:left="720" w:right="0"/>
        <w:contextualSpacing/>
      </w:pPr>
    </w:p>
    <w:bookmarkEnd w:id="3"/>
    <w:p w14:paraId="7D2E910A" w14:textId="77777777" w:rsidR="00471E71" w:rsidRPr="00471E71" w:rsidRDefault="00471E71" w:rsidP="008B2E8D">
      <w:proofErr w:type="spellStart"/>
      <w:r>
        <w:t>Brilique</w:t>
      </w:r>
      <w:proofErr w:type="spellEnd"/>
      <w:r>
        <w:t xml:space="preserve">, </w:t>
      </w:r>
      <w:proofErr w:type="spellStart"/>
      <w:r>
        <w:t>Efient</w:t>
      </w:r>
      <w:proofErr w:type="spellEnd"/>
      <w:r>
        <w:t xml:space="preserve"> och </w:t>
      </w:r>
      <w:proofErr w:type="spellStart"/>
      <w:r>
        <w:t>Clopidogrel</w:t>
      </w:r>
      <w:proofErr w:type="spellEnd"/>
      <w:r>
        <w:t xml:space="preserve"> skall </w:t>
      </w:r>
      <w:r w:rsidRPr="099A5CD6">
        <w:rPr>
          <w:i/>
          <w:iCs/>
        </w:rPr>
        <w:t>ej</w:t>
      </w:r>
      <w:r>
        <w:t xml:space="preserve"> kombineras med </w:t>
      </w:r>
      <w:proofErr w:type="spellStart"/>
      <w:r>
        <w:t>Eliquis</w:t>
      </w:r>
      <w:proofErr w:type="spellEnd"/>
      <w:r>
        <w:t>.</w:t>
      </w:r>
    </w:p>
    <w:p w14:paraId="32378225" w14:textId="42D69656" w:rsidR="00471E71" w:rsidRDefault="00471E71">
      <w:proofErr w:type="spellStart"/>
      <w:r w:rsidRPr="099A5CD6">
        <w:rPr>
          <w:b/>
          <w:bCs/>
        </w:rPr>
        <w:lastRenderedPageBreak/>
        <w:t>Trombyl</w:t>
      </w:r>
      <w:proofErr w:type="spellEnd"/>
      <w:r>
        <w:t xml:space="preserve"> i lågdos (75 mg-350 mg) behöver ej sättas ut preoperativt och kan även kombineras med </w:t>
      </w:r>
      <w:proofErr w:type="spellStart"/>
      <w:r>
        <w:t>Eliquis</w:t>
      </w:r>
      <w:proofErr w:type="spellEnd"/>
      <w:r>
        <w:t>.</w:t>
      </w:r>
    </w:p>
    <w:p w14:paraId="1C5FDE81" w14:textId="77777777" w:rsidR="00471E71" w:rsidRPr="00471E71" w:rsidRDefault="00471E71" w:rsidP="008B2E8D">
      <w:pPr>
        <w:pStyle w:val="Rubrik3"/>
      </w:pPr>
      <w:r w:rsidRPr="00471E71">
        <w:t xml:space="preserve">Återinsättning </w:t>
      </w:r>
      <w:proofErr w:type="spellStart"/>
      <w:r w:rsidRPr="00471E71">
        <w:t>antikoagulantia</w:t>
      </w:r>
      <w:proofErr w:type="spellEnd"/>
      <w:r w:rsidRPr="00471E71">
        <w:t xml:space="preserve"> postoperativt</w:t>
      </w:r>
    </w:p>
    <w:p w14:paraId="6823653F" w14:textId="7E12D9E1" w:rsidR="00471E71" w:rsidRPr="00471E71" w:rsidRDefault="00471E71" w:rsidP="008B2E8D">
      <w:r>
        <w:t xml:space="preserve">Postoperativt insättes patienten återigen på samma NOAK-preparat som hen hade innan operationen. Första dosen ges normalt morgonen efter operationsdagen. Direkt postoperativt bör dock endast profylaxdos (motsvarande </w:t>
      </w:r>
      <w:proofErr w:type="spellStart"/>
      <w:r>
        <w:t>Eliquis</w:t>
      </w:r>
      <w:proofErr w:type="spellEnd"/>
      <w:r>
        <w:t xml:space="preserve"> 2,5 mg, 1 x 2) användas. </w:t>
      </w:r>
      <w:proofErr w:type="spellStart"/>
      <w:r>
        <w:t>Fulldos</w:t>
      </w:r>
      <w:proofErr w:type="spellEnd"/>
      <w:r>
        <w:t>/</w:t>
      </w:r>
      <w:r w:rsidR="270D7A0D">
        <w:t>b</w:t>
      </w:r>
      <w:r>
        <w:t>ehandlingsdos NOAK bör inte sättas in förrän hemostasen bedöms vara säkrad, vanligen efter ca 48 timmar</w:t>
      </w:r>
      <w:r w:rsidR="4A7E00E0">
        <w:t>. D</w:t>
      </w:r>
      <w:r>
        <w:t xml:space="preserve">etta gäller framför allt vid knäledsplastik. </w:t>
      </w:r>
    </w:p>
    <w:p w14:paraId="4986237E" w14:textId="6DEED529" w:rsidR="0D0283DF" w:rsidRPr="0021117F" w:rsidRDefault="00471E71" w:rsidP="0021117F">
      <w:proofErr w:type="spellStart"/>
      <w:r w:rsidRPr="099A5CD6">
        <w:rPr>
          <w:color w:val="000000" w:themeColor="text2"/>
        </w:rPr>
        <w:t>Waran</w:t>
      </w:r>
      <w:proofErr w:type="spellEnd"/>
      <w:r w:rsidRPr="099A5CD6">
        <w:rPr>
          <w:color w:val="000000" w:themeColor="text2"/>
        </w:rPr>
        <w:t xml:space="preserve"> återinsätts vanligen </w:t>
      </w:r>
      <w:r w:rsidR="00790480" w:rsidRPr="099A5CD6">
        <w:rPr>
          <w:color w:val="000000" w:themeColor="text2"/>
        </w:rPr>
        <w:t>1–2</w:t>
      </w:r>
      <w:r w:rsidRPr="099A5CD6">
        <w:rPr>
          <w:color w:val="000000" w:themeColor="text2"/>
        </w:rPr>
        <w:t xml:space="preserve"> dagar efter operation. Koagulationsmottagningen kan/bör då kontaktas för hjälp med </w:t>
      </w:r>
      <w:proofErr w:type="spellStart"/>
      <w:r w:rsidRPr="099A5CD6">
        <w:rPr>
          <w:color w:val="000000" w:themeColor="text2"/>
        </w:rPr>
        <w:t>waranordination</w:t>
      </w:r>
      <w:proofErr w:type="spellEnd"/>
      <w:r w:rsidRPr="099A5CD6">
        <w:rPr>
          <w:color w:val="000000" w:themeColor="text2"/>
        </w:rPr>
        <w:t xml:space="preserve"> samt utsättning av </w:t>
      </w:r>
      <w:proofErr w:type="spellStart"/>
      <w:r w:rsidRPr="099A5CD6">
        <w:rPr>
          <w:color w:val="000000" w:themeColor="text2"/>
        </w:rPr>
        <w:t>Innohep</w:t>
      </w:r>
      <w:proofErr w:type="spellEnd"/>
      <w:r w:rsidRPr="099A5CD6">
        <w:rPr>
          <w:color w:val="000000" w:themeColor="text2"/>
        </w:rPr>
        <w:t>.</w:t>
      </w:r>
      <w:bookmarkEnd w:id="1"/>
    </w:p>
    <w:p w14:paraId="74279751" w14:textId="47C03059" w:rsidR="099A5CD6" w:rsidRDefault="099A5CD6" w:rsidP="099A5CD6">
      <w:pPr>
        <w:rPr>
          <w:color w:val="000000" w:themeColor="text2"/>
        </w:rPr>
      </w:pPr>
    </w:p>
    <w:p w14:paraId="0F288DDA" w14:textId="77777777" w:rsidR="00471E71" w:rsidRPr="00471E71" w:rsidRDefault="00471E71" w:rsidP="008B2E8D">
      <w:pPr>
        <w:pStyle w:val="Rubrik3"/>
        <w:rPr>
          <w:sz w:val="16"/>
          <w:szCs w:val="16"/>
        </w:rPr>
      </w:pPr>
      <w:r w:rsidRPr="00471E71">
        <w:t xml:space="preserve">Tabell I. Utsättningstider för </w:t>
      </w:r>
      <w:proofErr w:type="spellStart"/>
      <w:r w:rsidRPr="00471E71">
        <w:t>antikoagulantia</w:t>
      </w:r>
      <w:proofErr w:type="spellEnd"/>
      <w:r w:rsidRPr="00471E71">
        <w:rPr>
          <w:sz w:val="16"/>
          <w:szCs w:val="16"/>
        </w:rPr>
        <w:t> </w:t>
      </w:r>
    </w:p>
    <w:p w14:paraId="21D68D2F" w14:textId="77777777" w:rsidR="00471E71" w:rsidRPr="00471E71" w:rsidRDefault="00471E71" w:rsidP="00471E71">
      <w:pPr>
        <w:spacing w:after="0" w:line="240" w:lineRule="auto"/>
        <w:ind w:left="0" w:right="0"/>
        <w:rPr>
          <w:sz w:val="12"/>
          <w:szCs w:val="12"/>
        </w:rPr>
      </w:pPr>
    </w:p>
    <w:tbl>
      <w:tblPr>
        <w:tblW w:w="910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09"/>
        <w:gridCol w:w="1843"/>
        <w:gridCol w:w="1984"/>
        <w:gridCol w:w="2172"/>
      </w:tblGrid>
      <w:tr w:rsidR="00471E71" w:rsidRPr="00471E71" w14:paraId="6209624A" w14:textId="77777777" w:rsidTr="099A5CD6">
        <w:tc>
          <w:tcPr>
            <w:tcW w:w="31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F30543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b/>
                <w:bCs/>
                <w:sz w:val="20"/>
                <w:szCs w:val="20"/>
              </w:rPr>
              <w:t>Substans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1DB63B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b/>
                <w:bCs/>
                <w:sz w:val="20"/>
                <w:szCs w:val="20"/>
              </w:rPr>
              <w:t>Verknings-mekanism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E4B592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b/>
                <w:bCs/>
                <w:sz w:val="20"/>
                <w:szCs w:val="20"/>
              </w:rPr>
              <w:t>Halveringstid</w:t>
            </w:r>
          </w:p>
        </w:tc>
        <w:tc>
          <w:tcPr>
            <w:tcW w:w="21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168E75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Utsättningstid före </w:t>
            </w:r>
          </w:p>
          <w:p w14:paraId="73641869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b/>
                <w:bCs/>
                <w:sz w:val="20"/>
                <w:szCs w:val="20"/>
              </w:rPr>
              <w:t>planerad operation</w:t>
            </w:r>
          </w:p>
        </w:tc>
      </w:tr>
      <w:tr w:rsidR="00471E71" w:rsidRPr="00471E71" w14:paraId="2408B9B0" w14:textId="77777777" w:rsidTr="099A5CD6">
        <w:trPr>
          <w:trHeight w:val="432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0C8B53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Acetylsalicylsyra lågdos, </w:t>
            </w:r>
            <w:proofErr w:type="gramStart"/>
            <w:r w:rsidRPr="00471E71">
              <w:rPr>
                <w:rFonts w:ascii="Arial" w:hAnsi="Arial" w:cs="Arial"/>
                <w:sz w:val="20"/>
                <w:szCs w:val="20"/>
              </w:rPr>
              <w:t>75-350</w:t>
            </w:r>
            <w:proofErr w:type="gramEnd"/>
            <w:r w:rsidRPr="00471E71">
              <w:rPr>
                <w:rFonts w:ascii="Arial" w:hAnsi="Arial" w:cs="Arial"/>
                <w:sz w:val="20"/>
                <w:szCs w:val="20"/>
              </w:rPr>
              <w:t xml:space="preserve"> mg (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högdos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>, se Tabell II)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49ABD9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 COX-1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525C40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30 min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A9FAD6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Utsättning behövs ej (vid proteskirurgi)</w:t>
            </w:r>
          </w:p>
        </w:tc>
      </w:tr>
      <w:tr w:rsidR="00471E71" w:rsidRPr="00471E71" w14:paraId="0E73B6B5" w14:textId="77777777" w:rsidTr="099A5CD6">
        <w:trPr>
          <w:trHeight w:val="2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C85586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Apixaban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Eliquis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85E58D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Faktor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Xa</w:t>
            </w:r>
            <w:proofErr w:type="spellEnd"/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C40D0A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12 timmar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352907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2 dygn</w:t>
            </w:r>
          </w:p>
        </w:tc>
      </w:tr>
      <w:tr w:rsidR="00471E71" w:rsidRPr="00471E71" w14:paraId="5847148D" w14:textId="77777777" w:rsidTr="099A5CD6">
        <w:trPr>
          <w:trHeight w:val="2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34E3F9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Dabigatran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Pradaxa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1A6CFE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Trombin</w:t>
            </w:r>
            <w:proofErr w:type="spellEnd"/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D44C8D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gramStart"/>
            <w:r w:rsidRPr="00471E71">
              <w:rPr>
                <w:rFonts w:ascii="Arial" w:hAnsi="Arial" w:cs="Arial"/>
                <w:sz w:val="20"/>
                <w:szCs w:val="20"/>
              </w:rPr>
              <w:t>12-17</w:t>
            </w:r>
            <w:proofErr w:type="gramEnd"/>
            <w:r w:rsidRPr="00471E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  <w:tc>
          <w:tcPr>
            <w:tcW w:w="2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8995DD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2 dygn</w:t>
            </w:r>
          </w:p>
        </w:tc>
      </w:tr>
      <w:tr w:rsidR="00471E71" w:rsidRPr="00471E71" w14:paraId="4103C656" w14:textId="77777777" w:rsidTr="099A5CD6">
        <w:trPr>
          <w:trHeight w:val="2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EC5A30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Heparin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4CABAB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Faktor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IIa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IXa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Xa</w:t>
            </w:r>
            <w:proofErr w:type="spellEnd"/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629CDC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gramStart"/>
            <w:r w:rsidRPr="00471E71">
              <w:rPr>
                <w:rFonts w:ascii="Arial" w:hAnsi="Arial" w:cs="Arial"/>
                <w:sz w:val="20"/>
                <w:szCs w:val="20"/>
              </w:rPr>
              <w:t>1-2</w:t>
            </w:r>
            <w:proofErr w:type="gramEnd"/>
            <w:r w:rsidRPr="00471E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  <w:tc>
          <w:tcPr>
            <w:tcW w:w="2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286050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4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</w:tr>
      <w:tr w:rsidR="00471E71" w:rsidRPr="00471E71" w14:paraId="090A9AF6" w14:textId="77777777" w:rsidTr="099A5CD6">
        <w:trPr>
          <w:trHeight w:val="2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DCB306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Klopidogrel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Plavix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CCC897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ADP-receptor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3839C6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gramStart"/>
            <w:r w:rsidRPr="00471E71">
              <w:rPr>
                <w:rFonts w:ascii="Arial" w:hAnsi="Arial" w:cs="Arial"/>
                <w:sz w:val="20"/>
                <w:szCs w:val="20"/>
              </w:rPr>
              <w:t>6-8</w:t>
            </w:r>
            <w:proofErr w:type="gramEnd"/>
            <w:r w:rsidRPr="00471E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  <w:tc>
          <w:tcPr>
            <w:tcW w:w="2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0D3082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gramStart"/>
            <w:r w:rsidRPr="00471E71">
              <w:rPr>
                <w:rFonts w:ascii="Arial" w:hAnsi="Arial" w:cs="Arial"/>
                <w:sz w:val="20"/>
                <w:szCs w:val="20"/>
              </w:rPr>
              <w:t>5-7</w:t>
            </w:r>
            <w:proofErr w:type="gramEnd"/>
            <w:r w:rsidRPr="00471E71">
              <w:rPr>
                <w:rFonts w:ascii="Arial" w:hAnsi="Arial" w:cs="Arial"/>
                <w:sz w:val="20"/>
                <w:szCs w:val="20"/>
              </w:rPr>
              <w:t xml:space="preserve"> dygn *</w:t>
            </w:r>
          </w:p>
        </w:tc>
      </w:tr>
      <w:tr w:rsidR="00471E71" w:rsidRPr="00471E71" w14:paraId="65626A36" w14:textId="77777777" w:rsidTr="099A5CD6">
        <w:trPr>
          <w:trHeight w:val="2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E77787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Prasugrel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Efient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E15DAC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ADP-receptor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D34B0D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7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gramStart"/>
            <w:r w:rsidRPr="00471E71">
              <w:rPr>
                <w:rFonts w:ascii="Arial" w:hAnsi="Arial" w:cs="Arial"/>
                <w:sz w:val="20"/>
                <w:szCs w:val="20"/>
              </w:rPr>
              <w:t>2-15</w:t>
            </w:r>
            <w:proofErr w:type="gramEnd"/>
            <w:r w:rsidRPr="00471E7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F31B13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7 dygn *</w:t>
            </w:r>
          </w:p>
        </w:tc>
      </w:tr>
      <w:tr w:rsidR="00471E71" w:rsidRPr="00471E71" w14:paraId="308B8948" w14:textId="77777777" w:rsidTr="099A5CD6">
        <w:trPr>
          <w:trHeight w:val="2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91904F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Ticagrelor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Brilique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59CF62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ADP-receptor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75D4A5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gramStart"/>
            <w:r w:rsidRPr="00471E71">
              <w:rPr>
                <w:rFonts w:ascii="Arial" w:hAnsi="Arial" w:cs="Arial"/>
                <w:sz w:val="20"/>
                <w:szCs w:val="20"/>
              </w:rPr>
              <w:t>8-12</w:t>
            </w:r>
            <w:proofErr w:type="gramEnd"/>
            <w:r w:rsidRPr="00471E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  <w:tc>
          <w:tcPr>
            <w:tcW w:w="2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6B82F3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gramStart"/>
            <w:r w:rsidRPr="00471E71">
              <w:rPr>
                <w:rFonts w:ascii="Arial" w:hAnsi="Arial" w:cs="Arial"/>
                <w:sz w:val="20"/>
                <w:szCs w:val="20"/>
              </w:rPr>
              <w:t>5-7</w:t>
            </w:r>
            <w:proofErr w:type="gramEnd"/>
            <w:r w:rsidRPr="00471E71">
              <w:rPr>
                <w:rFonts w:ascii="Arial" w:hAnsi="Arial" w:cs="Arial"/>
                <w:sz w:val="20"/>
                <w:szCs w:val="20"/>
              </w:rPr>
              <w:t xml:space="preserve"> dygn *</w:t>
            </w:r>
          </w:p>
        </w:tc>
      </w:tr>
      <w:tr w:rsidR="00471E71" w:rsidRPr="00471E71" w14:paraId="1593839F" w14:textId="77777777" w:rsidTr="099A5CD6">
        <w:trPr>
          <w:trHeight w:val="2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1E634C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Rivaroxaban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Xarelto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D45A23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Faktor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Xa</w:t>
            </w:r>
            <w:proofErr w:type="spellEnd"/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92D08D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gramStart"/>
            <w:r w:rsidRPr="00471E71">
              <w:rPr>
                <w:rFonts w:ascii="Arial" w:hAnsi="Arial" w:cs="Arial"/>
                <w:sz w:val="20"/>
                <w:szCs w:val="20"/>
              </w:rPr>
              <w:t>7-11</w:t>
            </w:r>
            <w:proofErr w:type="gramEnd"/>
            <w:r w:rsidRPr="00471E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  <w:tc>
          <w:tcPr>
            <w:tcW w:w="2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5770E9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2 dygn</w:t>
            </w:r>
          </w:p>
        </w:tc>
      </w:tr>
      <w:tr w:rsidR="00471E71" w:rsidRPr="00471E71" w14:paraId="33BAA84F" w14:textId="77777777" w:rsidTr="099A5CD6">
        <w:trPr>
          <w:trHeight w:val="2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2D3098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Warfarin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AE1C25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Protrombin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617AAAFB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Faktor VII, IX, X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FE3C9F" w14:textId="77777777" w:rsidR="00471E71" w:rsidRPr="00471E71" w:rsidRDefault="00471E71" w:rsidP="00471E71">
            <w:pPr>
              <w:spacing w:after="0" w:line="240" w:lineRule="auto"/>
              <w:ind w:left="0" w:right="0"/>
              <w:rPr>
                <w:lang w:val="en-US"/>
              </w:rPr>
            </w:pPr>
            <w:r w:rsidRPr="00471E71">
              <w:rPr>
                <w:rFonts w:ascii="Arial" w:hAnsi="Arial" w:cs="Arial"/>
                <w:sz w:val="18"/>
                <w:szCs w:val="18"/>
                <w:lang w:val="en-US"/>
              </w:rPr>
              <w:t xml:space="preserve">R-warfarin 37-89 </w:t>
            </w:r>
            <w:proofErr w:type="spellStart"/>
            <w:r w:rsidRPr="00471E71">
              <w:rPr>
                <w:rFonts w:ascii="Arial" w:hAnsi="Arial" w:cs="Arial"/>
                <w:sz w:val="18"/>
                <w:szCs w:val="18"/>
                <w:lang w:val="en-US"/>
              </w:rPr>
              <w:t>tim</w:t>
            </w:r>
            <w:proofErr w:type="spellEnd"/>
          </w:p>
          <w:p w14:paraId="696866A4" w14:textId="77777777" w:rsidR="00471E71" w:rsidRPr="00471E71" w:rsidRDefault="00471E71" w:rsidP="00471E71">
            <w:pPr>
              <w:spacing w:after="0" w:line="240" w:lineRule="auto"/>
              <w:ind w:left="0" w:right="0"/>
              <w:rPr>
                <w:lang w:val="en-US"/>
              </w:rPr>
            </w:pPr>
            <w:r w:rsidRPr="00471E71">
              <w:rPr>
                <w:rFonts w:ascii="Arial" w:hAnsi="Arial" w:cs="Arial"/>
                <w:sz w:val="18"/>
                <w:szCs w:val="18"/>
                <w:lang w:val="en-US"/>
              </w:rPr>
              <w:t xml:space="preserve">S-warfarin 21-43 </w:t>
            </w:r>
            <w:proofErr w:type="spellStart"/>
            <w:r w:rsidRPr="00471E71">
              <w:rPr>
                <w:rFonts w:ascii="Arial" w:hAnsi="Arial" w:cs="Arial"/>
                <w:sz w:val="18"/>
                <w:szCs w:val="18"/>
                <w:lang w:val="en-US"/>
              </w:rPr>
              <w:t>tim</w:t>
            </w:r>
            <w:proofErr w:type="spellEnd"/>
          </w:p>
        </w:tc>
        <w:tc>
          <w:tcPr>
            <w:tcW w:w="2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369B56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Vanligen 6 dygn</w:t>
            </w:r>
          </w:p>
          <w:p w14:paraId="7AF21272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71E71" w:rsidRPr="00471E71" w14:paraId="6000611D" w14:textId="77777777" w:rsidTr="099A5CD6">
        <w:trPr>
          <w:trHeight w:val="20"/>
        </w:trPr>
        <w:tc>
          <w:tcPr>
            <w:tcW w:w="9108" w:type="dxa"/>
            <w:gridSpan w:val="4"/>
            <w:tcBorders>
              <w:top w:val="nil"/>
              <w:left w:val="single" w:sz="4" w:space="0" w:color="FFFFFF" w:themeColor="background1"/>
              <w:bottom w:val="single" w:sz="8" w:space="0" w:color="auto"/>
              <w:right w:val="single" w:sz="4" w:space="0" w:color="FFFFFF" w:themeColor="background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D7B325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Lågmolekylärt heparin – terapidoser/högintensiv behandling</w:t>
            </w:r>
          </w:p>
        </w:tc>
      </w:tr>
      <w:tr w:rsidR="00471E71" w:rsidRPr="00471E71" w14:paraId="4AB0229A" w14:textId="77777777" w:rsidTr="099A5CD6">
        <w:trPr>
          <w:trHeight w:val="2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9A8B1A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Dalteparin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 (Fragmin) (&gt;5000 E)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D717B3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Faktor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IIa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Xa</w:t>
            </w:r>
            <w:proofErr w:type="spellEnd"/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B4EACB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gramStart"/>
            <w:r w:rsidRPr="00471E71">
              <w:rPr>
                <w:rFonts w:ascii="Arial" w:hAnsi="Arial" w:cs="Arial"/>
                <w:sz w:val="20"/>
                <w:szCs w:val="20"/>
              </w:rPr>
              <w:t>3-4</w:t>
            </w:r>
            <w:proofErr w:type="gramEnd"/>
            <w:r w:rsidRPr="00471E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A05380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24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</w:tr>
      <w:tr w:rsidR="00471E71" w:rsidRPr="00471E71" w14:paraId="4DE9BD7C" w14:textId="77777777" w:rsidTr="099A5CD6">
        <w:trPr>
          <w:trHeight w:val="20"/>
        </w:trPr>
        <w:tc>
          <w:tcPr>
            <w:tcW w:w="31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2C4443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Enoxaparin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Klexane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>) (&gt;40 mg)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43A1C5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Faktor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Xa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A1DDD4" w14:textId="191DF0B4" w:rsidR="00471E71" w:rsidRPr="00471E71" w:rsidRDefault="00471E71" w:rsidP="00471E71">
            <w:pPr>
              <w:spacing w:after="0" w:line="240" w:lineRule="auto"/>
              <w:ind w:left="0" w:right="0"/>
            </w:pPr>
            <w:r w:rsidRPr="099A5CD6">
              <w:rPr>
                <w:rFonts w:ascii="Arial" w:hAnsi="Arial" w:cs="Arial"/>
                <w:sz w:val="20"/>
                <w:szCs w:val="20"/>
              </w:rPr>
              <w:t xml:space="preserve">4 </w:t>
            </w:r>
            <w:proofErr w:type="spellStart"/>
            <w:r w:rsidRPr="099A5CD6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  <w:r w:rsidRPr="099A5CD6">
              <w:rPr>
                <w:rFonts w:ascii="Arial" w:hAnsi="Arial" w:cs="Arial"/>
                <w:sz w:val="20"/>
                <w:szCs w:val="20"/>
              </w:rPr>
              <w:t xml:space="preserve"> (vid</w:t>
            </w:r>
            <w:r w:rsidR="7F4B0C22" w:rsidRPr="099A5CD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99A5CD6">
              <w:rPr>
                <w:rFonts w:ascii="Arial" w:hAnsi="Arial" w:cs="Arial"/>
                <w:sz w:val="20"/>
                <w:szCs w:val="20"/>
              </w:rPr>
              <w:t>upprepad</w:t>
            </w:r>
          </w:p>
          <w:p w14:paraId="54C7F0FF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dosering 7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1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753E75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24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</w:tr>
      <w:tr w:rsidR="00471E71" w:rsidRPr="00471E71" w14:paraId="44DB2FFD" w14:textId="77777777" w:rsidTr="099A5CD6">
        <w:trPr>
          <w:trHeight w:val="2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17139E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Tinzaparin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Innohep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>) (&gt;4500 E)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585882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Faktor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Xa</w:t>
            </w:r>
            <w:proofErr w:type="spellEnd"/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485156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gramStart"/>
            <w:r w:rsidRPr="00471E71">
              <w:rPr>
                <w:rFonts w:ascii="Arial" w:hAnsi="Arial" w:cs="Arial"/>
                <w:sz w:val="20"/>
                <w:szCs w:val="20"/>
              </w:rPr>
              <w:t>3-4</w:t>
            </w:r>
            <w:proofErr w:type="gramEnd"/>
            <w:r w:rsidRPr="00471E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  <w:tc>
          <w:tcPr>
            <w:tcW w:w="2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652F7B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24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</w:tr>
      <w:tr w:rsidR="00471E71" w:rsidRPr="00471E71" w14:paraId="17E34639" w14:textId="77777777" w:rsidTr="099A5CD6">
        <w:trPr>
          <w:trHeight w:val="20"/>
        </w:trPr>
        <w:tc>
          <w:tcPr>
            <w:tcW w:w="3109" w:type="dxa"/>
            <w:tcBorders>
              <w:top w:val="nil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CCE07E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CD12FE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5E9694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72" w:type="dxa"/>
            <w:tcBorders>
              <w:top w:val="nil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C392CC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71E71" w:rsidRPr="00471E71" w14:paraId="5F981350" w14:textId="77777777" w:rsidTr="099A5CD6">
        <w:trPr>
          <w:trHeight w:val="20"/>
        </w:trPr>
        <w:tc>
          <w:tcPr>
            <w:tcW w:w="9108" w:type="dxa"/>
            <w:gridSpan w:val="4"/>
            <w:tcBorders>
              <w:top w:val="nil"/>
              <w:left w:val="single" w:sz="4" w:space="0" w:color="FFFFFF" w:themeColor="background1"/>
              <w:bottom w:val="single" w:sz="8" w:space="0" w:color="auto"/>
              <w:right w:val="single" w:sz="4" w:space="0" w:color="FFFFFF" w:themeColor="background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09AF55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i/>
                <w:iCs/>
                <w:sz w:val="20"/>
                <w:szCs w:val="20"/>
              </w:rPr>
              <w:t>Lågmolekylärt heparin – profylaxdoser/lågintensiv behandling</w:t>
            </w:r>
          </w:p>
        </w:tc>
      </w:tr>
      <w:tr w:rsidR="00471E71" w:rsidRPr="00471E71" w14:paraId="1F7D8F53" w14:textId="77777777" w:rsidTr="099A5CD6">
        <w:trPr>
          <w:trHeight w:val="2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29D02F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Dalteparin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 (Fragmin) (≤5000 E)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247909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Faktor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IIa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Xa</w:t>
            </w:r>
            <w:proofErr w:type="spellEnd"/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441F91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gramStart"/>
            <w:r w:rsidRPr="00471E71">
              <w:rPr>
                <w:rFonts w:ascii="Arial" w:hAnsi="Arial" w:cs="Arial"/>
                <w:sz w:val="20"/>
                <w:szCs w:val="20"/>
              </w:rPr>
              <w:t>3-4</w:t>
            </w:r>
            <w:proofErr w:type="gramEnd"/>
            <w:r w:rsidRPr="00471E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  <w:tc>
          <w:tcPr>
            <w:tcW w:w="2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7BDA95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10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</w:tr>
      <w:tr w:rsidR="00471E71" w:rsidRPr="00471E71" w14:paraId="3C838BFD" w14:textId="77777777" w:rsidTr="099A5CD6">
        <w:trPr>
          <w:trHeight w:val="2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F02D1C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Enoxaparin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Klexane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>) (≤40 mg)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FF495D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Faktor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Xa</w:t>
            </w:r>
            <w:proofErr w:type="spellEnd"/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AE457C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4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 (upprepad</w:t>
            </w:r>
          </w:p>
          <w:p w14:paraId="62AC7193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dosering, 7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8DF1D7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10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</w:tr>
      <w:tr w:rsidR="00471E71" w:rsidRPr="00471E71" w14:paraId="795BB3DC" w14:textId="77777777" w:rsidTr="099A5CD6">
        <w:trPr>
          <w:trHeight w:val="2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9E3C4F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Tinzaparin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Innohep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>) (≤4500 E)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7C5C8B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Faktor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Xa</w:t>
            </w:r>
            <w:proofErr w:type="spellEnd"/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F72306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gramStart"/>
            <w:r w:rsidRPr="00471E71">
              <w:rPr>
                <w:rFonts w:ascii="Arial" w:hAnsi="Arial" w:cs="Arial"/>
                <w:sz w:val="20"/>
                <w:szCs w:val="20"/>
              </w:rPr>
              <w:t>3-4</w:t>
            </w:r>
            <w:proofErr w:type="gramEnd"/>
            <w:r w:rsidRPr="00471E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  <w:tc>
          <w:tcPr>
            <w:tcW w:w="21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0797E9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10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</w:tr>
    </w:tbl>
    <w:p w14:paraId="4E10069E" w14:textId="77777777" w:rsidR="00471E71" w:rsidRPr="00471E71" w:rsidRDefault="00471E71" w:rsidP="00471E71">
      <w:pPr>
        <w:keepNext/>
        <w:keepLines/>
        <w:spacing w:before="240" w:after="0" w:line="240" w:lineRule="auto"/>
        <w:ind w:left="0" w:right="0"/>
        <w:outlineLvl w:val="0"/>
        <w:rPr>
          <w:rFonts w:ascii="Arial" w:hAnsi="Arial" w:cs="Arial"/>
          <w:sz w:val="20"/>
          <w:szCs w:val="20"/>
        </w:rPr>
      </w:pPr>
      <w:r w:rsidRPr="00471E71">
        <w:rPr>
          <w:rFonts w:ascii="Arial" w:hAnsi="Arial" w:cs="Arial"/>
          <w:sz w:val="20"/>
          <w:szCs w:val="20"/>
        </w:rPr>
        <w:t>* Konsultera koagulationsansvarig läkare/kardiolog innan ev utsättning</w:t>
      </w:r>
    </w:p>
    <w:p w14:paraId="7C22B9EF" w14:textId="77777777" w:rsidR="00471E71" w:rsidRPr="00471E71" w:rsidRDefault="00471E71" w:rsidP="00471E71">
      <w:pPr>
        <w:spacing w:before="100" w:beforeAutospacing="1" w:after="100" w:afterAutospacing="1" w:line="240" w:lineRule="auto"/>
        <w:ind w:left="0" w:right="0"/>
        <w:rPr>
          <w:rFonts w:ascii="Arial" w:hAnsi="Arial" w:cs="Arial"/>
          <w:b/>
          <w:bCs/>
          <w:sz w:val="22"/>
          <w:szCs w:val="22"/>
        </w:rPr>
      </w:pPr>
    </w:p>
    <w:p w14:paraId="5B43F564" w14:textId="77777777" w:rsidR="00471E71" w:rsidRPr="00471E71" w:rsidRDefault="00471E71" w:rsidP="008B2E8D">
      <w:pPr>
        <w:pStyle w:val="Rubrik3"/>
      </w:pPr>
      <w:r w:rsidRPr="00471E71">
        <w:lastRenderedPageBreak/>
        <w:t>Tabell II. Utsättningstider för icke-</w:t>
      </w:r>
      <w:proofErr w:type="spellStart"/>
      <w:r w:rsidRPr="00471E71">
        <w:t>steroida</w:t>
      </w:r>
      <w:proofErr w:type="spellEnd"/>
      <w:r w:rsidRPr="00471E71">
        <w:t xml:space="preserve"> antiinflammatoriska medel (NSAID)</w:t>
      </w:r>
    </w:p>
    <w:tbl>
      <w:tblPr>
        <w:tblW w:w="913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09"/>
        <w:gridCol w:w="1843"/>
        <w:gridCol w:w="1984"/>
        <w:gridCol w:w="2198"/>
      </w:tblGrid>
      <w:tr w:rsidR="00471E71" w:rsidRPr="00471E71" w14:paraId="1C67EF8C" w14:textId="77777777" w:rsidTr="0D0283DF">
        <w:trPr>
          <w:trHeight w:val="20"/>
        </w:trPr>
        <w:tc>
          <w:tcPr>
            <w:tcW w:w="31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29E900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b/>
                <w:bCs/>
                <w:sz w:val="20"/>
                <w:szCs w:val="20"/>
              </w:rPr>
              <w:t>Substans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DC7F84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b/>
                <w:bCs/>
                <w:sz w:val="20"/>
                <w:szCs w:val="20"/>
              </w:rPr>
              <w:t>Verknings-mekanism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14AE9E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b/>
                <w:bCs/>
                <w:sz w:val="20"/>
                <w:szCs w:val="20"/>
              </w:rPr>
              <w:t>Halveringstid</w:t>
            </w:r>
          </w:p>
        </w:tc>
        <w:tc>
          <w:tcPr>
            <w:tcW w:w="21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7B97B3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b/>
                <w:bCs/>
                <w:sz w:val="20"/>
                <w:szCs w:val="20"/>
              </w:rPr>
              <w:t>Utsättningstid före</w:t>
            </w:r>
          </w:p>
          <w:p w14:paraId="6D777F9F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b/>
                <w:bCs/>
                <w:sz w:val="20"/>
                <w:szCs w:val="20"/>
              </w:rPr>
              <w:t>planerad operation</w:t>
            </w:r>
          </w:p>
        </w:tc>
      </w:tr>
      <w:tr w:rsidR="00471E71" w:rsidRPr="00471E71" w14:paraId="73EF8713" w14:textId="77777777" w:rsidTr="0D0283DF">
        <w:trPr>
          <w:trHeight w:val="2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5DA034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Acetylsalicylsyra, </w:t>
            </w:r>
            <w:proofErr w:type="spellStart"/>
            <w:proofErr w:type="gramStart"/>
            <w:r w:rsidRPr="00471E71">
              <w:rPr>
                <w:rFonts w:ascii="Arial" w:hAnsi="Arial" w:cs="Arial"/>
                <w:sz w:val="20"/>
                <w:szCs w:val="20"/>
              </w:rPr>
              <w:t>högdos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 &gt;</w:t>
            </w:r>
            <w:proofErr w:type="gramEnd"/>
            <w:r w:rsidRPr="00471E71">
              <w:rPr>
                <w:rFonts w:ascii="Arial" w:hAnsi="Arial" w:cs="Arial"/>
                <w:sz w:val="20"/>
                <w:szCs w:val="20"/>
              </w:rPr>
              <w:t xml:space="preserve"> 350 mg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D7DCA1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COX-1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BF05D3" w14:textId="69BB9472" w:rsidR="00471E71" w:rsidRPr="00471E71" w:rsidRDefault="00471E71" w:rsidP="00471E71">
            <w:pPr>
              <w:spacing w:after="0" w:line="240" w:lineRule="auto"/>
              <w:ind w:left="0" w:right="0"/>
            </w:pPr>
            <w:r w:rsidRPr="0D0283DF">
              <w:rPr>
                <w:rFonts w:ascii="Arial" w:hAnsi="Arial" w:cs="Arial"/>
                <w:sz w:val="20"/>
                <w:szCs w:val="20"/>
              </w:rPr>
              <w:t xml:space="preserve">Dosberoende, cirka 12 </w:t>
            </w:r>
            <w:proofErr w:type="spellStart"/>
            <w:r w:rsidRPr="0D0283DF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  <w:r w:rsidRPr="0D0283DF">
              <w:rPr>
                <w:rFonts w:ascii="Arial" w:hAnsi="Arial" w:cs="Arial"/>
                <w:sz w:val="20"/>
                <w:szCs w:val="20"/>
              </w:rPr>
              <w:t xml:space="preserve"> vid terapidos</w:t>
            </w:r>
          </w:p>
        </w:tc>
        <w:tc>
          <w:tcPr>
            <w:tcW w:w="21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4F1BF0" w14:textId="77777777" w:rsidR="00471E71" w:rsidRPr="00471E71" w:rsidRDefault="00471E71" w:rsidP="00471E71">
            <w:pPr>
              <w:spacing w:after="0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7 dygn</w:t>
            </w:r>
          </w:p>
        </w:tc>
      </w:tr>
      <w:tr w:rsidR="00471E71" w:rsidRPr="00471E71" w14:paraId="0DC187D9" w14:textId="77777777" w:rsidTr="0D0283DF">
        <w:trPr>
          <w:trHeight w:val="2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1DC948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Diklofenak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 (Voltaren)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BF9FDA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COX-1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646016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gramStart"/>
            <w:r w:rsidRPr="00471E71">
              <w:rPr>
                <w:rFonts w:ascii="Arial" w:hAnsi="Arial" w:cs="Arial"/>
                <w:sz w:val="20"/>
                <w:szCs w:val="20"/>
              </w:rPr>
              <w:t>1-2</w:t>
            </w:r>
            <w:proofErr w:type="gramEnd"/>
            <w:r w:rsidRPr="00471E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  <w:tc>
          <w:tcPr>
            <w:tcW w:w="21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C7096E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1 dygn</w:t>
            </w:r>
          </w:p>
        </w:tc>
      </w:tr>
      <w:tr w:rsidR="00471E71" w:rsidRPr="00471E71" w14:paraId="7E8CB175" w14:textId="77777777" w:rsidTr="0D0283DF">
        <w:trPr>
          <w:trHeight w:val="2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853CDD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Etoricoxib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Arcoxia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7CCA7F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COX-2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71264E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22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  <w:tc>
          <w:tcPr>
            <w:tcW w:w="21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D752B5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Utsättning behövs ej</w:t>
            </w:r>
          </w:p>
        </w:tc>
      </w:tr>
      <w:tr w:rsidR="00471E71" w:rsidRPr="00471E71" w14:paraId="6C3BD367" w14:textId="77777777" w:rsidTr="0D0283DF">
        <w:trPr>
          <w:trHeight w:val="2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80CF2F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Ibuprofen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993DAD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COX-1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DFFC92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 xml:space="preserve">2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  <w:tc>
          <w:tcPr>
            <w:tcW w:w="21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E96E5D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1 dygn</w:t>
            </w:r>
          </w:p>
        </w:tc>
      </w:tr>
      <w:tr w:rsidR="00471E71" w:rsidRPr="00471E71" w14:paraId="00337BEA" w14:textId="77777777" w:rsidTr="0D0283DF">
        <w:trPr>
          <w:trHeight w:val="2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2A0CA7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Ketoprofen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Orudis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3454C9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COX-1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A56EFE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gramStart"/>
            <w:r w:rsidRPr="00471E71">
              <w:rPr>
                <w:rFonts w:ascii="Arial" w:hAnsi="Arial" w:cs="Arial"/>
                <w:sz w:val="20"/>
                <w:szCs w:val="20"/>
              </w:rPr>
              <w:t>2-3</w:t>
            </w:r>
            <w:proofErr w:type="gramEnd"/>
            <w:r w:rsidRPr="00471E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  <w:tc>
          <w:tcPr>
            <w:tcW w:w="21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A00D84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2 dygn</w:t>
            </w:r>
          </w:p>
        </w:tc>
      </w:tr>
      <w:tr w:rsidR="00471E71" w:rsidRPr="00471E71" w14:paraId="408DF50A" w14:textId="77777777" w:rsidTr="0D0283DF">
        <w:trPr>
          <w:trHeight w:val="2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257654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Nabumeton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Relifex</w:t>
            </w:r>
            <w:proofErr w:type="spellEnd"/>
            <w:r w:rsidRPr="00471E7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3968CF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COX-2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768B76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gramStart"/>
            <w:r w:rsidRPr="00471E71">
              <w:rPr>
                <w:rFonts w:ascii="Arial" w:hAnsi="Arial" w:cs="Arial"/>
                <w:sz w:val="20"/>
                <w:szCs w:val="20"/>
              </w:rPr>
              <w:t>20-25</w:t>
            </w:r>
            <w:proofErr w:type="gramEnd"/>
            <w:r w:rsidRPr="00471E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  <w:tc>
          <w:tcPr>
            <w:tcW w:w="21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D12BE6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Utsättning behövs ej</w:t>
            </w:r>
          </w:p>
        </w:tc>
      </w:tr>
      <w:tr w:rsidR="00471E71" w:rsidRPr="00471E71" w14:paraId="6FB7E2B5" w14:textId="77777777" w:rsidTr="0D0283DF">
        <w:trPr>
          <w:trHeight w:val="20"/>
        </w:trPr>
        <w:tc>
          <w:tcPr>
            <w:tcW w:w="31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FE5C59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Naproxen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298265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COX-1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7C4225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proofErr w:type="gramStart"/>
            <w:r w:rsidRPr="00471E71">
              <w:rPr>
                <w:rFonts w:ascii="Arial" w:hAnsi="Arial" w:cs="Arial"/>
                <w:sz w:val="20"/>
                <w:szCs w:val="20"/>
              </w:rPr>
              <w:t>10-17</w:t>
            </w:r>
            <w:proofErr w:type="gramEnd"/>
            <w:r w:rsidRPr="00471E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471E71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</w:p>
        </w:tc>
        <w:tc>
          <w:tcPr>
            <w:tcW w:w="21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025D08" w14:textId="77777777" w:rsidR="00471E71" w:rsidRPr="00471E71" w:rsidRDefault="00471E71" w:rsidP="00471E71">
            <w:pPr>
              <w:spacing w:before="100" w:beforeAutospacing="1" w:after="100" w:afterAutospacing="1" w:line="240" w:lineRule="auto"/>
              <w:ind w:left="0" w:right="0"/>
            </w:pPr>
            <w:r w:rsidRPr="00471E71">
              <w:rPr>
                <w:rFonts w:ascii="Arial" w:hAnsi="Arial" w:cs="Arial"/>
                <w:sz w:val="20"/>
                <w:szCs w:val="20"/>
              </w:rPr>
              <w:t>2 dygn</w:t>
            </w:r>
          </w:p>
        </w:tc>
      </w:tr>
    </w:tbl>
    <w:p w14:paraId="1DDAEF80" w14:textId="77777777" w:rsidR="008B2E8D" w:rsidRDefault="008B2E8D" w:rsidP="008B2E8D"/>
    <w:p w14:paraId="7C811BAF" w14:textId="333F48DC" w:rsidR="00471E71" w:rsidRPr="00471E71" w:rsidRDefault="00471E71" w:rsidP="008B2E8D">
      <w:pPr>
        <w:rPr>
          <w:color w:val="0563C1"/>
          <w:u w:val="single"/>
        </w:rPr>
      </w:pPr>
      <w:r>
        <w:t xml:space="preserve">För fullständig tabell med fler verksamma substanser/läkemedel, se rutin </w:t>
      </w:r>
      <w:r>
        <w:fldChar w:fldCharType="begin"/>
      </w:r>
      <w:r>
        <w:instrText xml:space="preserve"> HYPERLINK "https://alfresco.vgregion.se/alfresco/service/vgr/storage/node/content/28661/Preoperativ%20utsättning%20av%20läkemedel%20som%20påverkar%20hemostasen.pdf?a=false&amp;guest=true" </w:instrText>
      </w:r>
      <w:r>
        <w:fldChar w:fldCharType="separate"/>
      </w:r>
      <w:r w:rsidRPr="099A5CD6">
        <w:rPr>
          <w:color w:val="0563C1"/>
          <w:u w:val="single"/>
        </w:rPr>
        <w:t xml:space="preserve">Preoperativ utsättning av läkemedel som påverkar hemostasen </w:t>
      </w:r>
    </w:p>
    <w:p w14:paraId="7669BD7F" w14:textId="484CB22F" w:rsidR="099A5CD6" w:rsidRDefault="099A5CD6" w:rsidP="099A5CD6">
      <w:pPr>
        <w:pStyle w:val="Rubrik3"/>
      </w:pPr>
    </w:p>
    <w:p w14:paraId="77BC2649" w14:textId="77777777" w:rsidR="008B2E8D" w:rsidRDefault="00471E71" w:rsidP="008B2E8D">
      <w:pPr>
        <w:pStyle w:val="Rubrik3"/>
      </w:pPr>
      <w:r>
        <w:fldChar w:fldCharType="end"/>
      </w:r>
      <w:r>
        <w:t xml:space="preserve">Ansvar </w:t>
      </w:r>
    </w:p>
    <w:p w14:paraId="000FF201" w14:textId="6483BB3D" w:rsidR="00471E71" w:rsidRPr="00471E71" w:rsidRDefault="00471E71" w:rsidP="008B2E8D">
      <w:r>
        <w:t xml:space="preserve">Verksamhetschefer ansvarar f ör implementering rutin. Respektive vårdenhetschef och enhetschef ansvarar för att den är känd och efterlevs. Avsteg från rutinen rapporteras i MedControl PRO. </w:t>
      </w:r>
    </w:p>
    <w:p w14:paraId="7EC3B35A" w14:textId="6D3D3300" w:rsidR="00471E71" w:rsidRPr="00471E71" w:rsidRDefault="00471E71" w:rsidP="00471E71">
      <w:pPr>
        <w:tabs>
          <w:tab w:val="left" w:pos="549"/>
          <w:tab w:val="center" w:pos="4536"/>
          <w:tab w:val="right" w:pos="9019"/>
          <w:tab w:val="right" w:pos="9072"/>
        </w:tabs>
        <w:spacing w:after="0" w:line="276" w:lineRule="auto"/>
        <w:ind w:left="0" w:right="0"/>
        <w:rPr>
          <w:rFonts w:ascii="Arial" w:hAnsi="Arial" w:cs="Arial"/>
          <w:b/>
          <w:sz w:val="28"/>
          <w:szCs w:val="28"/>
        </w:rPr>
      </w:pPr>
    </w:p>
    <w:p w14:paraId="34C47D3B" w14:textId="77777777" w:rsidR="00471E71" w:rsidRDefault="00471E71" w:rsidP="008B2E8D">
      <w:pPr>
        <w:pStyle w:val="Rubrik3"/>
      </w:pPr>
      <w:r>
        <w:t>Referenser</w:t>
      </w:r>
    </w:p>
    <w:p w14:paraId="71051985" w14:textId="77777777" w:rsidR="00471E71" w:rsidRPr="00471E71" w:rsidRDefault="00471E71" w:rsidP="008B2E8D">
      <w:r w:rsidRPr="00471E71">
        <w:t xml:space="preserve">Kortversion Kliniska råd NOAK – ssth.se (Svenska Sällskapet för Trombos och </w:t>
      </w:r>
      <w:proofErr w:type="spellStart"/>
      <w:r w:rsidRPr="00471E71">
        <w:t>Hemostas</w:t>
      </w:r>
      <w:proofErr w:type="spellEnd"/>
      <w:r w:rsidRPr="00471E71">
        <w:t>)</w:t>
      </w:r>
    </w:p>
    <w:p w14:paraId="6BB10264" w14:textId="77777777" w:rsidR="00471E71" w:rsidRPr="00471E71" w:rsidRDefault="00471E71" w:rsidP="008B2E8D">
      <w:pPr>
        <w:rPr>
          <w:lang w:bidi="bn-IN"/>
        </w:rPr>
      </w:pPr>
      <w:r w:rsidRPr="00471E71">
        <w:rPr>
          <w:lang w:bidi="bn-IN"/>
        </w:rPr>
        <w:t>FASS (fass.se)</w:t>
      </w:r>
    </w:p>
    <w:p w14:paraId="00B5B8EF" w14:textId="77777777" w:rsidR="00471E71" w:rsidRPr="00471E71" w:rsidRDefault="00471E71" w:rsidP="008B2E8D">
      <w:r w:rsidRPr="00471E71">
        <w:rPr>
          <w:lang w:bidi="bn-IN"/>
        </w:rPr>
        <w:t>Läkartidningen nr 37, 2011</w:t>
      </w:r>
    </w:p>
    <w:bookmarkEnd w:id="0"/>
    <w:p w14:paraId="76B9F95B" w14:textId="24513497" w:rsidR="00536A5A" w:rsidRPr="00536A5A" w:rsidRDefault="00536A5A" w:rsidP="008B2E8D"/>
    <w:sectPr w:rsidR="00536A5A" w:rsidRPr="00536A5A" w:rsidSect="00471E7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035E806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2714759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59D3DE7"/>
    <w:multiLevelType w:val="hybridMultilevel"/>
    <w:tmpl w:val="D0C0F870"/>
    <w:lvl w:ilvl="0" w:tplc="0868F1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CC06154">
      <w:numFmt w:val="bullet"/>
      <w:lvlText w:val=""/>
      <w:lvlJc w:val="left"/>
      <w:pPr>
        <w:ind w:left="1440" w:hanging="360"/>
      </w:pPr>
      <w:rPr>
        <w:rFonts w:ascii="Wingdings" w:eastAsia="Times New Roman" w:hAnsi="Wingdings" w:cs="Times New Roman" w:hint="default"/>
      </w:rPr>
    </w:lvl>
    <w:lvl w:ilvl="2" w:tplc="3AB835C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C413C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78B52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182D21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E56663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C6F9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5C548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5854099">
    <w:abstractNumId w:val="18"/>
  </w:num>
  <w:num w:numId="2" w16cid:durableId="2013143201">
    <w:abstractNumId w:val="15"/>
  </w:num>
  <w:num w:numId="3" w16cid:durableId="1478109265">
    <w:abstractNumId w:val="0"/>
  </w:num>
  <w:num w:numId="4" w16cid:durableId="1335185371">
    <w:abstractNumId w:val="6"/>
  </w:num>
  <w:num w:numId="5" w16cid:durableId="1603760527">
    <w:abstractNumId w:val="16"/>
  </w:num>
  <w:num w:numId="6" w16cid:durableId="695738714">
    <w:abstractNumId w:val="2"/>
  </w:num>
  <w:num w:numId="7" w16cid:durableId="1200238073">
    <w:abstractNumId w:val="12"/>
  </w:num>
  <w:num w:numId="8" w16cid:durableId="803542613">
    <w:abstractNumId w:val="9"/>
  </w:num>
  <w:num w:numId="9" w16cid:durableId="1297105979">
    <w:abstractNumId w:val="1"/>
  </w:num>
  <w:num w:numId="10" w16cid:durableId="967777373">
    <w:abstractNumId w:val="1"/>
  </w:num>
  <w:num w:numId="11" w16cid:durableId="2061129533">
    <w:abstractNumId w:val="3"/>
  </w:num>
  <w:num w:numId="12" w16cid:durableId="2126537825">
    <w:abstractNumId w:val="4"/>
  </w:num>
  <w:num w:numId="13" w16cid:durableId="276983385">
    <w:abstractNumId w:val="14"/>
  </w:num>
  <w:num w:numId="14" w16cid:durableId="969827515">
    <w:abstractNumId w:val="10"/>
  </w:num>
  <w:num w:numId="15" w16cid:durableId="1537498285">
    <w:abstractNumId w:val="7"/>
  </w:num>
  <w:num w:numId="16" w16cid:durableId="1960261357">
    <w:abstractNumId w:val="13"/>
  </w:num>
  <w:num w:numId="17" w16cid:durableId="698318391">
    <w:abstractNumId w:val="5"/>
  </w:num>
  <w:num w:numId="18" w16cid:durableId="680088325">
    <w:abstractNumId w:val="11"/>
  </w:num>
  <w:num w:numId="19" w16cid:durableId="2128890229">
    <w:abstractNumId w:val="17"/>
  </w:num>
  <w:num w:numId="20" w16cid:durableId="93758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17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1E71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2D7E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0480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E8D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0B69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62BE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99A5CD6"/>
    <w:rsid w:val="0D0283DF"/>
    <w:rsid w:val="15A3D4A2"/>
    <w:rsid w:val="1E749BD0"/>
    <w:rsid w:val="20DBF8E6"/>
    <w:rsid w:val="221129C3"/>
    <w:rsid w:val="270D7A0D"/>
    <w:rsid w:val="2BF49AF9"/>
    <w:rsid w:val="2C0C6830"/>
    <w:rsid w:val="2E2ABF1B"/>
    <w:rsid w:val="38F67E62"/>
    <w:rsid w:val="45193745"/>
    <w:rsid w:val="4A7E00E0"/>
    <w:rsid w:val="4EF2DC11"/>
    <w:rsid w:val="54F7C460"/>
    <w:rsid w:val="558FF775"/>
    <w:rsid w:val="5741B5F5"/>
    <w:rsid w:val="5BC826E9"/>
    <w:rsid w:val="60119412"/>
    <w:rsid w:val="6060590A"/>
    <w:rsid w:val="640920B4"/>
    <w:rsid w:val="647B2B65"/>
    <w:rsid w:val="68AADF9A"/>
    <w:rsid w:val="6B2CF8ED"/>
    <w:rsid w:val="7F4B0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4</Pages>
  <Words>780</Words>
  <Characters>5259</Characters>
  <Application>Microsoft Office Word</Application>
  <DocSecurity>0</DocSecurity>
  <Lines>43</Lines>
  <Paragraphs>12</Paragraphs>
  <ScaleCrop>false</ScaleCrop>
  <Manager/>
  <Company/>
  <LinksUpToDate>false</LinksUpToDate>
  <CharactersWithSpaces>6027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Preoperativ utsättning och återinsättning av antikoagulantia vid elektiv ledplastik</dc:title>
  <dc:subject/>
  <dc:creator>patrik.jens.johansson@vgregion.se</dc:creator>
  <keywords/>
  <lastModifiedBy>Anne-Lee Olofsson</lastModifiedBy>
  <revision>11</revision>
  <lastPrinted>2016-03-31T10:56:00.0000000Z</lastPrinted>
  <dcterms:created xsi:type="dcterms:W3CDTF">2022-01-19T09:27:00.0000000Z</dcterms:created>
  <dcterms:modified xsi:type="dcterms:W3CDTF">2024-11-04T12:35:00.0000000Z</dcterms:modified>
</coreProperties>
</file>