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AFB08" w14:textId="024D6393" w:rsidR="001A576E" w:rsidRPr="001A576E" w:rsidRDefault="001A576E" w:rsidP="00462D51">
      <w:pPr>
        <w:tabs>
          <w:tab w:val="left" w:pos="8061"/>
        </w:tabs>
        <w:ind w:firstLine="1"/>
        <w:sectPr w:rsidR="001A576E" w:rsidRPr="001A576E" w:rsidSect="008C41C2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157FF6" w14:textId="7A6193BA" w:rsidR="0091593B" w:rsidRDefault="001A576E" w:rsidP="001E670A">
      <w:pPr>
        <w:pStyle w:val="Rubrik1"/>
        <w:ind w:left="0" w:firstLine="992"/>
      </w:pPr>
      <w:r>
        <w:t>Kärl</w:t>
      </w:r>
      <w:r w:rsidR="0091593B">
        <w:t>access – beslutsguide</w:t>
      </w:r>
    </w:p>
    <w:p w14:paraId="513655A8" w14:textId="3F67A8C5" w:rsidR="0091593B" w:rsidRDefault="0091593B" w:rsidP="0091593B">
      <w:pPr>
        <w:pStyle w:val="Rubrik2"/>
      </w:pPr>
      <w:r>
        <w:t>Förändringar sedan föregående version</w:t>
      </w:r>
    </w:p>
    <w:p w14:paraId="6AE913BE" w14:textId="5BAF90CA" w:rsidR="0091593B" w:rsidRPr="0091593B" w:rsidRDefault="003F1C48" w:rsidP="0091593B">
      <w:r>
        <w:t xml:space="preserve">Förtydligande </w:t>
      </w:r>
      <w:r w:rsidR="00863B7E">
        <w:t>angående</w:t>
      </w:r>
      <w:r>
        <w:t xml:space="preserve"> remiss</w:t>
      </w:r>
      <w:r w:rsidR="00FF626F">
        <w:t>förfarande</w:t>
      </w:r>
      <w:r w:rsidR="00E81B2E">
        <w:t>.</w:t>
      </w:r>
    </w:p>
    <w:p w14:paraId="0CC6B171" w14:textId="75721827" w:rsidR="008C41C2" w:rsidRPr="008C41C2" w:rsidRDefault="008C41C2" w:rsidP="0091593B">
      <w:pPr>
        <w:pStyle w:val="Rubrik2"/>
      </w:pPr>
      <w:r w:rsidRPr="008C41C2">
        <w:t xml:space="preserve">Syfte </w:t>
      </w:r>
    </w:p>
    <w:p w14:paraId="3647F043" w14:textId="26DA31F6" w:rsidR="00CC512F" w:rsidRPr="008C41C2" w:rsidRDefault="008C41C2" w:rsidP="005E0F1B">
      <w:pPr>
        <w:spacing w:line="240" w:lineRule="auto"/>
      </w:pPr>
      <w:r w:rsidRPr="008C41C2">
        <w:t xml:space="preserve">Säkerställa rutiner för </w:t>
      </w:r>
      <w:r w:rsidR="00C51FAF">
        <w:t>rätt</w:t>
      </w:r>
      <w:r w:rsidR="005869B5">
        <w:t xml:space="preserve"> </w:t>
      </w:r>
      <w:r w:rsidRPr="008C41C2">
        <w:t xml:space="preserve">val av </w:t>
      </w:r>
      <w:r w:rsidR="00CC512F">
        <w:t xml:space="preserve">venös </w:t>
      </w:r>
      <w:r w:rsidRPr="008C41C2">
        <w:t>infart.</w:t>
      </w:r>
      <w:r w:rsidR="00266930">
        <w:t xml:space="preserve"> </w:t>
      </w:r>
      <w:r w:rsidR="00CC512F">
        <w:t xml:space="preserve">RÄTT </w:t>
      </w:r>
      <w:r w:rsidR="00C23570">
        <w:t>infart i RÄTT tid sparar patientens övriga kärl för provtagni</w:t>
      </w:r>
      <w:r w:rsidR="00C51FAF">
        <w:t>ng</w:t>
      </w:r>
      <w:r w:rsidR="00A46A1F">
        <w:t>.</w:t>
      </w:r>
    </w:p>
    <w:p w14:paraId="25118386" w14:textId="7768C6B9" w:rsidR="008C41C2" w:rsidRDefault="00B9565D" w:rsidP="0091593B">
      <w:pPr>
        <w:pStyle w:val="Rubrik2"/>
      </w:pPr>
      <w:r>
        <w:t>Bakgrund</w:t>
      </w:r>
      <w:r w:rsidR="008C41C2" w:rsidRPr="008C41C2">
        <w:t xml:space="preserve"> </w:t>
      </w:r>
    </w:p>
    <w:p w14:paraId="5920FCC0" w14:textId="6D4F022E" w:rsidR="009820E7" w:rsidRDefault="009820E7" w:rsidP="005E0F1B">
      <w:pPr>
        <w:spacing w:line="240" w:lineRule="auto"/>
      </w:pPr>
      <w:r w:rsidRPr="008C41C2">
        <w:rPr>
          <w:rFonts w:eastAsia="Calibri"/>
          <w:lang w:eastAsia="en-US"/>
        </w:rPr>
        <w:t>Beslutsguide för val av infart. Denna</w:t>
      </w:r>
      <w:r>
        <w:rPr>
          <w:rFonts w:eastAsia="Calibri"/>
          <w:lang w:eastAsia="en-US"/>
        </w:rPr>
        <w:t xml:space="preserve"> rutin</w:t>
      </w:r>
      <w:r w:rsidRPr="008C41C2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är endast en </w:t>
      </w:r>
      <w:r w:rsidRPr="008C41C2">
        <w:rPr>
          <w:rFonts w:eastAsia="Calibri"/>
          <w:lang w:eastAsia="en-US"/>
        </w:rPr>
        <w:t>guide</w:t>
      </w:r>
      <w:r>
        <w:rPr>
          <w:rFonts w:eastAsia="Calibri"/>
          <w:lang w:eastAsia="en-US"/>
        </w:rPr>
        <w:t>,</w:t>
      </w:r>
      <w:r w:rsidRPr="008C41C2">
        <w:rPr>
          <w:rFonts w:eastAsia="Calibri"/>
          <w:lang w:eastAsia="en-US"/>
        </w:rPr>
        <w:t xml:space="preserve"> vilket </w:t>
      </w:r>
      <w:r>
        <w:rPr>
          <w:rFonts w:eastAsia="Calibri"/>
          <w:lang w:eastAsia="en-US"/>
        </w:rPr>
        <w:t>innebär</w:t>
      </w:r>
      <w:r w:rsidRPr="008C41C2">
        <w:rPr>
          <w:rFonts w:eastAsia="Calibri"/>
          <w:lang w:eastAsia="en-US"/>
        </w:rPr>
        <w:t xml:space="preserve"> att en medicinsk bedömning kan medföra avsteg.</w:t>
      </w:r>
      <w:r w:rsidR="00FD0110">
        <w:rPr>
          <w:rFonts w:eastAsia="Calibri"/>
          <w:lang w:eastAsia="en-US"/>
        </w:rPr>
        <w:t xml:space="preserve"> </w:t>
      </w:r>
      <w:r>
        <w:t xml:space="preserve">CVK läggs av narkosläkare. PICC-Line och MidLine läggs av specialutbildat team. </w:t>
      </w:r>
    </w:p>
    <w:p w14:paraId="2BEF7509" w14:textId="2F446B30" w:rsidR="008C41C2" w:rsidRPr="00DE29A4" w:rsidRDefault="008C41C2" w:rsidP="00DE29A4">
      <w:pPr>
        <w:pStyle w:val="MellanrubrikVGR"/>
      </w:pPr>
      <w:r w:rsidRPr="00DE29A4">
        <w:rPr>
          <w:rFonts w:eastAsia="Calibri"/>
        </w:rPr>
        <w:t xml:space="preserve">Val av rätt </w:t>
      </w:r>
      <w:r w:rsidR="00053039" w:rsidRPr="00DE29A4">
        <w:rPr>
          <w:rFonts w:eastAsia="Calibri"/>
        </w:rPr>
        <w:t xml:space="preserve">venös </w:t>
      </w:r>
      <w:r w:rsidRPr="00DE29A4">
        <w:rPr>
          <w:rFonts w:eastAsia="Calibri"/>
        </w:rPr>
        <w:t>infart</w:t>
      </w:r>
    </w:p>
    <w:p w14:paraId="282748B0" w14:textId="77777777" w:rsidR="00751954" w:rsidRDefault="008C41C2" w:rsidP="00751954">
      <w:pPr>
        <w:spacing w:after="80" w:line="240" w:lineRule="auto"/>
        <w:ind w:left="3119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PVK:</w:t>
      </w:r>
      <w:r w:rsidR="00837B8B">
        <w:rPr>
          <w:rFonts w:eastAsia="Calibri"/>
          <w:lang w:eastAsia="en-US"/>
        </w:rPr>
        <w:t xml:space="preserve"> </w:t>
      </w:r>
      <w:r w:rsidR="00332605">
        <w:rPr>
          <w:rFonts w:eastAsia="Calibri"/>
          <w:lang w:eastAsia="en-US"/>
        </w:rPr>
        <w:tab/>
      </w:r>
      <w:r w:rsidR="00D1370A">
        <w:rPr>
          <w:rFonts w:eastAsia="Calibri"/>
          <w:lang w:eastAsia="en-US"/>
        </w:rPr>
        <w:t>Perif</w:t>
      </w:r>
      <w:r w:rsidR="00064314">
        <w:rPr>
          <w:rFonts w:eastAsia="Calibri"/>
          <w:lang w:eastAsia="en-US"/>
        </w:rPr>
        <w:t xml:space="preserve">er </w:t>
      </w:r>
      <w:r w:rsidR="002A0644">
        <w:rPr>
          <w:rFonts w:eastAsia="Calibri"/>
          <w:lang w:eastAsia="en-US"/>
        </w:rPr>
        <w:t>venkateter</w:t>
      </w:r>
      <w:r w:rsidR="00064314">
        <w:rPr>
          <w:rFonts w:eastAsia="Calibri"/>
          <w:lang w:eastAsia="en-US"/>
        </w:rPr>
        <w:t xml:space="preserve"> som kan sitta 72 tim</w:t>
      </w:r>
      <w:r w:rsidR="00502163">
        <w:rPr>
          <w:rFonts w:eastAsia="Calibri"/>
          <w:lang w:eastAsia="en-US"/>
        </w:rPr>
        <w:t>.</w:t>
      </w:r>
    </w:p>
    <w:p w14:paraId="7D3CEC9D" w14:textId="77777777" w:rsidR="00751954" w:rsidRDefault="008C41C2" w:rsidP="00751954">
      <w:pPr>
        <w:spacing w:after="80" w:line="240" w:lineRule="auto"/>
        <w:ind w:left="3119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Midline:</w:t>
      </w:r>
      <w:r w:rsidRPr="008C41C2">
        <w:rPr>
          <w:rFonts w:eastAsia="Calibri"/>
          <w:lang w:eastAsia="en-US"/>
        </w:rPr>
        <w:tab/>
        <w:t>Lång PVK</w:t>
      </w:r>
      <w:r w:rsidR="002A0644">
        <w:rPr>
          <w:rFonts w:eastAsia="Calibri"/>
          <w:lang w:eastAsia="en-US"/>
        </w:rPr>
        <w:t xml:space="preserve"> </w:t>
      </w:r>
      <w:r w:rsidR="00D62A22">
        <w:rPr>
          <w:rFonts w:eastAsia="Calibri"/>
          <w:lang w:eastAsia="en-US"/>
        </w:rPr>
        <w:t>som kan sitta 29 dagar</w:t>
      </w:r>
      <w:r w:rsidR="00502163">
        <w:rPr>
          <w:rFonts w:eastAsia="Calibri"/>
          <w:lang w:eastAsia="en-US"/>
        </w:rPr>
        <w:t>.</w:t>
      </w:r>
    </w:p>
    <w:p w14:paraId="43DE4AB5" w14:textId="77777777" w:rsidR="00751954" w:rsidRDefault="008C41C2" w:rsidP="00751954">
      <w:pPr>
        <w:spacing w:after="80" w:line="240" w:lineRule="auto"/>
        <w:ind w:left="3119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PICC-Line:</w:t>
      </w:r>
      <w:r w:rsidRPr="008C41C2">
        <w:rPr>
          <w:rFonts w:eastAsia="Calibri"/>
          <w:lang w:eastAsia="en-US"/>
        </w:rPr>
        <w:tab/>
        <w:t>Perifert insatt central kateter</w:t>
      </w:r>
      <w:r w:rsidR="00D62A22">
        <w:rPr>
          <w:rFonts w:eastAsia="Calibri"/>
          <w:lang w:eastAsia="en-US"/>
        </w:rPr>
        <w:t>, får sitta upp till 2 år</w:t>
      </w:r>
      <w:r w:rsidR="00502163">
        <w:rPr>
          <w:rFonts w:eastAsia="Calibri"/>
          <w:lang w:eastAsia="en-US"/>
        </w:rPr>
        <w:t>.</w:t>
      </w:r>
    </w:p>
    <w:p w14:paraId="55446842" w14:textId="77777777" w:rsidR="00751954" w:rsidRDefault="008C41C2" w:rsidP="00751954">
      <w:pPr>
        <w:spacing w:after="80" w:line="240" w:lineRule="auto"/>
        <w:ind w:left="3119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CVK</w:t>
      </w:r>
      <w:r w:rsidR="008625BE">
        <w:rPr>
          <w:rFonts w:eastAsia="Calibri"/>
          <w:lang w:eastAsia="en-US"/>
        </w:rPr>
        <w:t>:</w:t>
      </w:r>
      <w:r w:rsidRPr="008C41C2">
        <w:rPr>
          <w:rFonts w:eastAsia="Calibri"/>
          <w:lang w:eastAsia="en-US"/>
        </w:rPr>
        <w:tab/>
        <w:t>Central venkateter</w:t>
      </w:r>
      <w:r w:rsidR="008076C0">
        <w:rPr>
          <w:rFonts w:eastAsia="Calibri"/>
          <w:lang w:eastAsia="en-US"/>
        </w:rPr>
        <w:t xml:space="preserve">, bör inte sitta längre än </w:t>
      </w:r>
      <w:r w:rsidR="00714544">
        <w:rPr>
          <w:rFonts w:eastAsia="Calibri"/>
          <w:lang w:eastAsia="en-US"/>
        </w:rPr>
        <w:t>3–4</w:t>
      </w:r>
      <w:r w:rsidR="008076C0">
        <w:rPr>
          <w:rFonts w:eastAsia="Calibri"/>
          <w:lang w:eastAsia="en-US"/>
        </w:rPr>
        <w:t xml:space="preserve"> v</w:t>
      </w:r>
      <w:r w:rsidR="00502163">
        <w:rPr>
          <w:rFonts w:eastAsia="Calibri"/>
          <w:lang w:eastAsia="en-US"/>
        </w:rPr>
        <w:t>.</w:t>
      </w:r>
      <w:r w:rsidR="001D7647">
        <w:rPr>
          <w:rFonts w:eastAsia="Calibri"/>
          <w:lang w:eastAsia="en-US"/>
        </w:rPr>
        <w:t xml:space="preserve"> </w:t>
      </w:r>
    </w:p>
    <w:p w14:paraId="5A02BBD7" w14:textId="5EEFCE23" w:rsidR="00015F55" w:rsidRDefault="008C41C2" w:rsidP="00751954">
      <w:pPr>
        <w:spacing w:after="80" w:line="240" w:lineRule="auto"/>
        <w:ind w:left="3119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Venport:</w:t>
      </w:r>
      <w:r w:rsidRPr="008C41C2">
        <w:rPr>
          <w:rFonts w:eastAsia="Calibri"/>
          <w:lang w:eastAsia="en-US"/>
        </w:rPr>
        <w:tab/>
        <w:t>Subkutant inplanterad centralvenös access (SVP)</w:t>
      </w:r>
      <w:r w:rsidR="00C525AE">
        <w:rPr>
          <w:rFonts w:eastAsia="Calibri"/>
          <w:lang w:eastAsia="en-US"/>
        </w:rPr>
        <w:t xml:space="preserve">, </w:t>
      </w:r>
      <w:r w:rsidR="00C525AE">
        <w:rPr>
          <w:rFonts w:eastAsia="Calibri"/>
          <w:lang w:eastAsia="en-US"/>
        </w:rPr>
        <w:br/>
        <w:t>port-a-cath (PAC)</w:t>
      </w:r>
      <w:r w:rsidR="00D1370A">
        <w:rPr>
          <w:rFonts w:eastAsia="Calibri"/>
          <w:lang w:eastAsia="en-US"/>
        </w:rPr>
        <w:t xml:space="preserve">. </w:t>
      </w:r>
      <w:r w:rsidR="00502163">
        <w:rPr>
          <w:rFonts w:eastAsia="Calibri"/>
          <w:lang w:eastAsia="en-US"/>
        </w:rPr>
        <w:t>Kan sitta flera år.</w:t>
      </w:r>
    </w:p>
    <w:p w14:paraId="58366831" w14:textId="03874E88" w:rsidR="005B2B6B" w:rsidRPr="008C41C2" w:rsidRDefault="005B2B6B" w:rsidP="001C01FA">
      <w:pPr>
        <w:spacing w:after="80" w:line="240" w:lineRule="auto"/>
        <w:ind w:left="3119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Behandlingslängd:</w:t>
      </w:r>
      <w:r w:rsidR="001C01FA">
        <w:rPr>
          <w:rFonts w:eastAsia="Calibri"/>
          <w:lang w:eastAsia="en-US"/>
        </w:rPr>
        <w:tab/>
      </w:r>
      <w:r w:rsidRPr="008C41C2">
        <w:rPr>
          <w:rFonts w:eastAsia="Calibri"/>
          <w:lang w:eastAsia="en-US"/>
        </w:rPr>
        <w:t xml:space="preserve">PVK </w:t>
      </w:r>
      <w:r w:rsidR="00612D35" w:rsidRPr="008C41C2">
        <w:rPr>
          <w:rFonts w:eastAsia="Calibri"/>
          <w:lang w:eastAsia="en-US"/>
        </w:rPr>
        <w:t>&lt;Midline</w:t>
      </w:r>
      <w:r w:rsidRPr="008C41C2">
        <w:rPr>
          <w:rFonts w:eastAsia="Calibri"/>
          <w:lang w:eastAsia="en-US"/>
        </w:rPr>
        <w:t xml:space="preserve"> </w:t>
      </w:r>
      <w:r w:rsidR="004A2DF9" w:rsidRPr="008C41C2">
        <w:rPr>
          <w:rFonts w:eastAsia="Calibri"/>
          <w:lang w:eastAsia="en-US"/>
        </w:rPr>
        <w:t>&lt;CVK</w:t>
      </w:r>
      <w:r w:rsidRPr="008C41C2">
        <w:rPr>
          <w:rFonts w:eastAsia="Calibri"/>
          <w:lang w:eastAsia="en-US"/>
        </w:rPr>
        <w:t xml:space="preserve"> </w:t>
      </w:r>
      <w:r w:rsidR="00FB7CD5" w:rsidRPr="008C41C2">
        <w:rPr>
          <w:rFonts w:eastAsia="Calibri"/>
          <w:lang w:eastAsia="en-US"/>
        </w:rPr>
        <w:t>&lt;PICC</w:t>
      </w:r>
      <w:r w:rsidRPr="008C41C2">
        <w:rPr>
          <w:rFonts w:eastAsia="Calibri"/>
          <w:lang w:eastAsia="en-US"/>
        </w:rPr>
        <w:t xml:space="preserve"> </w:t>
      </w:r>
      <w:r w:rsidR="00A44F47" w:rsidRPr="008C41C2">
        <w:rPr>
          <w:rFonts w:eastAsia="Calibri"/>
          <w:lang w:eastAsia="en-US"/>
        </w:rPr>
        <w:t>&lt;SVP</w:t>
      </w:r>
    </w:p>
    <w:p w14:paraId="3A48046E" w14:textId="6C5B2E9B" w:rsidR="005B2B6B" w:rsidRPr="008C41C2" w:rsidRDefault="005B2B6B" w:rsidP="00751954">
      <w:pPr>
        <w:tabs>
          <w:tab w:val="left" w:pos="3119"/>
        </w:tabs>
        <w:spacing w:after="160" w:line="259" w:lineRule="auto"/>
        <w:ind w:left="3119" w:right="0" w:hanging="2127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Läkemedel:</w:t>
      </w:r>
      <w:r>
        <w:rPr>
          <w:rFonts w:eastAsia="Calibri"/>
          <w:lang w:eastAsia="en-US"/>
        </w:rPr>
        <w:tab/>
      </w:r>
      <w:r w:rsidRPr="008C41C2">
        <w:rPr>
          <w:rFonts w:eastAsia="Calibri"/>
          <w:lang w:eastAsia="en-US"/>
        </w:rPr>
        <w:t xml:space="preserve">Central infart fordras vid: </w:t>
      </w:r>
      <w:r w:rsidR="00A44F47">
        <w:rPr>
          <w:rFonts w:eastAsia="Calibri"/>
          <w:lang w:eastAsia="en-US"/>
        </w:rPr>
        <w:br/>
      </w:r>
      <w:r w:rsidR="007F05D1" w:rsidRPr="008C41C2">
        <w:rPr>
          <w:rFonts w:eastAsia="Calibri"/>
          <w:lang w:eastAsia="en-US"/>
        </w:rPr>
        <w:t>Osmola</w:t>
      </w:r>
      <w:r w:rsidR="007F05D1">
        <w:rPr>
          <w:rFonts w:eastAsia="Calibri"/>
          <w:lang w:eastAsia="en-US"/>
        </w:rPr>
        <w:t>ri</w:t>
      </w:r>
      <w:r w:rsidR="007F05D1" w:rsidRPr="008C41C2">
        <w:rPr>
          <w:rFonts w:eastAsia="Calibri"/>
          <w:lang w:eastAsia="en-US"/>
        </w:rPr>
        <w:t>tet&gt;</w:t>
      </w:r>
      <w:r w:rsidR="0027085D">
        <w:rPr>
          <w:rFonts w:eastAsia="Calibri"/>
          <w:lang w:eastAsia="en-US"/>
        </w:rPr>
        <w:t>8</w:t>
      </w:r>
      <w:r w:rsidRPr="008C41C2">
        <w:rPr>
          <w:rFonts w:eastAsia="Calibri"/>
          <w:lang w:eastAsia="en-US"/>
        </w:rPr>
        <w:t>00 mosm/L</w:t>
      </w:r>
      <w:r w:rsidR="0027085D">
        <w:rPr>
          <w:rFonts w:eastAsia="Calibri"/>
          <w:lang w:eastAsia="en-US"/>
        </w:rPr>
        <w:t xml:space="preserve"> men rekommen</w:t>
      </w:r>
      <w:r w:rsidR="00CC7037">
        <w:rPr>
          <w:rFonts w:eastAsia="Calibri"/>
          <w:lang w:eastAsia="en-US"/>
        </w:rPr>
        <w:t>d</w:t>
      </w:r>
      <w:r w:rsidR="0027085D">
        <w:rPr>
          <w:rFonts w:eastAsia="Calibri"/>
          <w:lang w:eastAsia="en-US"/>
        </w:rPr>
        <w:t>eras</w:t>
      </w:r>
      <w:r w:rsidR="00CC7037">
        <w:rPr>
          <w:rFonts w:eastAsia="Calibri"/>
          <w:lang w:eastAsia="en-US"/>
        </w:rPr>
        <w:t xml:space="preserve"> även vid osmolaritet &gt;600 </w:t>
      </w:r>
      <w:r w:rsidR="00A56985">
        <w:rPr>
          <w:rFonts w:eastAsia="Calibri"/>
          <w:lang w:eastAsia="en-US"/>
        </w:rPr>
        <w:t>mosm/L</w:t>
      </w:r>
      <w:r w:rsidR="00784DE0">
        <w:rPr>
          <w:rFonts w:eastAsia="Calibri"/>
          <w:lang w:eastAsia="en-US"/>
        </w:rPr>
        <w:t>,</w:t>
      </w:r>
      <w:r w:rsidRPr="008C41C2">
        <w:rPr>
          <w:rFonts w:eastAsia="Calibri"/>
          <w:lang w:eastAsia="en-US"/>
        </w:rPr>
        <w:t xml:space="preserve"> pH &lt;5 eller &gt;9,</w:t>
      </w:r>
      <w:r>
        <w:rPr>
          <w:rFonts w:eastAsia="Calibri"/>
          <w:lang w:eastAsia="en-US"/>
        </w:rPr>
        <w:t xml:space="preserve"> </w:t>
      </w:r>
      <w:r w:rsidRPr="008C41C2">
        <w:rPr>
          <w:rFonts w:eastAsia="Calibri"/>
          <w:lang w:eastAsia="en-US"/>
        </w:rPr>
        <w:t>eller</w:t>
      </w:r>
      <w:r>
        <w:rPr>
          <w:rFonts w:eastAsia="Calibri"/>
          <w:lang w:eastAsia="en-US"/>
        </w:rPr>
        <w:t xml:space="preserve"> </w:t>
      </w:r>
      <w:r w:rsidRPr="008C41C2">
        <w:rPr>
          <w:rFonts w:eastAsia="Calibri"/>
          <w:lang w:eastAsia="en-US"/>
        </w:rPr>
        <w:t xml:space="preserve">kärlretande läkemedel som </w:t>
      </w:r>
      <w:r w:rsidR="00FB2851">
        <w:rPr>
          <w:rFonts w:eastAsia="Calibri"/>
          <w:lang w:eastAsia="en-US"/>
        </w:rPr>
        <w:t xml:space="preserve">koncentrerad </w:t>
      </w:r>
      <w:r w:rsidRPr="008C41C2">
        <w:rPr>
          <w:rFonts w:eastAsia="Calibri"/>
          <w:lang w:eastAsia="en-US"/>
        </w:rPr>
        <w:t>kalium</w:t>
      </w:r>
      <w:r w:rsidR="00D41EA5">
        <w:rPr>
          <w:rFonts w:eastAsia="Calibri"/>
          <w:lang w:eastAsia="en-US"/>
        </w:rPr>
        <w:t>-infusion</w:t>
      </w:r>
      <w:r w:rsidRPr="008C41C2">
        <w:rPr>
          <w:rFonts w:eastAsia="Calibri"/>
          <w:lang w:eastAsia="en-US"/>
        </w:rPr>
        <w:t xml:space="preserve">, cytostatika, </w:t>
      </w:r>
      <w:r w:rsidR="007226A4">
        <w:rPr>
          <w:rFonts w:eastAsia="Calibri"/>
          <w:lang w:eastAsia="en-US"/>
        </w:rPr>
        <w:t>vissa antibiotika</w:t>
      </w:r>
      <w:r w:rsidR="00A56985">
        <w:rPr>
          <w:rFonts w:eastAsia="Calibri"/>
          <w:lang w:eastAsia="en-US"/>
        </w:rPr>
        <w:t xml:space="preserve"> t ex vancomycin</w:t>
      </w:r>
      <w:r>
        <w:rPr>
          <w:rFonts w:eastAsia="Calibri"/>
          <w:lang w:eastAsia="en-US"/>
        </w:rPr>
        <w:t xml:space="preserve">, </w:t>
      </w:r>
      <w:r w:rsidRPr="008C41C2">
        <w:rPr>
          <w:rFonts w:eastAsia="Calibri"/>
          <w:lang w:eastAsia="en-US"/>
        </w:rPr>
        <w:t>inotropa läkemedel och parenteral nutrition.</w:t>
      </w:r>
    </w:p>
    <w:p w14:paraId="77DEC7A0" w14:textId="77777777" w:rsidR="005B2B6B" w:rsidRPr="008C41C2" w:rsidRDefault="005B2B6B" w:rsidP="005B2B6B">
      <w:pPr>
        <w:tabs>
          <w:tab w:val="left" w:pos="3119"/>
        </w:tabs>
        <w:spacing w:after="160" w:line="259" w:lineRule="auto"/>
        <w:ind w:left="3119" w:right="0" w:hanging="2126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Patientens preferens:</w:t>
      </w:r>
      <w:r>
        <w:rPr>
          <w:rFonts w:eastAsia="Calibri"/>
          <w:lang w:eastAsia="en-US"/>
        </w:rPr>
        <w:tab/>
      </w:r>
      <w:r w:rsidRPr="008C41C2">
        <w:rPr>
          <w:rFonts w:eastAsia="Calibri"/>
          <w:lang w:eastAsia="en-US"/>
        </w:rPr>
        <w:t>Stor vikt bör läggas vid att tillmötesgå patientens önskemål.</w:t>
      </w:r>
    </w:p>
    <w:p w14:paraId="389D32E5" w14:textId="77777777" w:rsidR="005B2B6B" w:rsidRPr="008C41C2" w:rsidRDefault="005B2B6B" w:rsidP="00A00348">
      <w:pPr>
        <w:tabs>
          <w:tab w:val="left" w:pos="3119"/>
        </w:tabs>
        <w:spacing w:after="160" w:line="240" w:lineRule="auto"/>
        <w:ind w:left="3119" w:right="0" w:hanging="2126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Hudstatus:</w:t>
      </w:r>
      <w:r>
        <w:rPr>
          <w:rFonts w:eastAsia="Calibri"/>
          <w:lang w:eastAsia="en-US"/>
        </w:rPr>
        <w:tab/>
      </w:r>
      <w:r w:rsidRPr="008C41C2">
        <w:rPr>
          <w:rFonts w:eastAsia="Calibri"/>
          <w:lang w:eastAsia="en-US"/>
        </w:rPr>
        <w:t>Tunn och skör hud, t ex vid kortisonbehandling, kan motivera PICC framför SVP,</w:t>
      </w:r>
      <w:r>
        <w:rPr>
          <w:rFonts w:eastAsia="Calibri"/>
          <w:lang w:eastAsia="en-US"/>
        </w:rPr>
        <w:t xml:space="preserve"> </w:t>
      </w:r>
      <w:r w:rsidRPr="008C41C2">
        <w:rPr>
          <w:rFonts w:eastAsia="Calibri"/>
          <w:lang w:eastAsia="en-US"/>
        </w:rPr>
        <w:t>för att slippa upprepade stick in i porthuset.</w:t>
      </w:r>
    </w:p>
    <w:p w14:paraId="01B65915" w14:textId="77777777" w:rsidR="005B2B6B" w:rsidRPr="008C41C2" w:rsidRDefault="005B2B6B" w:rsidP="00A00348">
      <w:pPr>
        <w:tabs>
          <w:tab w:val="left" w:pos="3119"/>
        </w:tabs>
        <w:spacing w:after="160" w:line="240" w:lineRule="auto"/>
        <w:ind w:left="993" w:right="0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t>Blodsmitta:</w:t>
      </w:r>
      <w:r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ab/>
      </w:r>
      <w:r w:rsidRPr="008C41C2">
        <w:rPr>
          <w:rFonts w:eastAsia="Calibri"/>
          <w:lang w:eastAsia="en-US"/>
        </w:rPr>
        <w:t>Färre hudstick och riskmoment vid PICC jfr SVP</w:t>
      </w:r>
    </w:p>
    <w:p w14:paraId="4B841E98" w14:textId="77777777" w:rsidR="005B2B6B" w:rsidRPr="008C41C2" w:rsidRDefault="005B2B6B" w:rsidP="00AA4C5E">
      <w:pPr>
        <w:tabs>
          <w:tab w:val="left" w:pos="3119"/>
        </w:tabs>
        <w:spacing w:after="160" w:line="240" w:lineRule="auto"/>
        <w:ind w:left="3118" w:right="0" w:hanging="2126"/>
        <w:rPr>
          <w:rFonts w:eastAsia="Calibri"/>
          <w:lang w:eastAsia="en-US"/>
        </w:rPr>
      </w:pPr>
      <w:r w:rsidRPr="008C41C2">
        <w:rPr>
          <w:rFonts w:eastAsia="Calibri"/>
          <w:lang w:eastAsia="en-US"/>
        </w:rPr>
        <w:lastRenderedPageBreak/>
        <w:t>Compliance:</w:t>
      </w:r>
      <w:r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ab/>
      </w:r>
      <w:r w:rsidRPr="008C41C2">
        <w:rPr>
          <w:rFonts w:eastAsia="Calibri"/>
          <w:lang w:eastAsia="en-US"/>
        </w:rPr>
        <w:t>Patienter som tenderar avlägsna katetrar bör ha SVP framför CVK/PICC.</w:t>
      </w:r>
    </w:p>
    <w:p w14:paraId="26968E41" w14:textId="77777777" w:rsidR="005B2B6B" w:rsidRPr="00C91004" w:rsidRDefault="005B2B6B" w:rsidP="00AA4C5E">
      <w:pPr>
        <w:pStyle w:val="Rubrik3"/>
        <w:spacing w:before="120"/>
      </w:pPr>
      <w:r w:rsidRPr="00C91004">
        <w:rPr>
          <w:sz w:val="40"/>
          <w:szCs w:val="40"/>
        </w:rPr>
        <w:t>Remissförfarande</w:t>
      </w:r>
      <w:r w:rsidRPr="00C91004">
        <w:t>:</w:t>
      </w:r>
    </w:p>
    <w:p w14:paraId="78DC26B5" w14:textId="1E834140" w:rsidR="005B2B6B" w:rsidRPr="008C41C2" w:rsidRDefault="005B2B6B" w:rsidP="005B2B6B">
      <w:r>
        <w:t>Remiss till Intensivvården</w:t>
      </w:r>
      <w:r w:rsidR="0008466E">
        <w:t>.</w:t>
      </w:r>
    </w:p>
    <w:p w14:paraId="30C5D874" w14:textId="77777777" w:rsidR="005B2B6B" w:rsidRDefault="005B2B6B" w:rsidP="00A00348">
      <w:pPr>
        <w:pStyle w:val="Punktlista"/>
        <w:spacing w:line="240" w:lineRule="auto"/>
        <w:contextualSpacing w:val="0"/>
      </w:pPr>
      <w:r w:rsidRPr="008C41C2">
        <w:t>Kort anamnes med indikation för inläggning,</w:t>
      </w:r>
      <w:r>
        <w:t xml:space="preserve"> typ av</w:t>
      </w:r>
      <w:r w:rsidRPr="008C41C2">
        <w:t xml:space="preserve"> behandling </w:t>
      </w:r>
      <w:r>
        <w:t xml:space="preserve">ex. TPN (perifer/central), vilken sorts antibiotika (pH värde styr) ev behov av flera iv-läkemedel. Uppskattad </w:t>
      </w:r>
      <w:r w:rsidRPr="008C41C2">
        <w:t>behandlings</w:t>
      </w:r>
      <w:r>
        <w:t>längd</w:t>
      </w:r>
      <w:r w:rsidRPr="008C41C2">
        <w:t xml:space="preserve">. </w:t>
      </w:r>
    </w:p>
    <w:p w14:paraId="310DA6CB" w14:textId="77777777" w:rsidR="005B2B6B" w:rsidRPr="008C41C2" w:rsidRDefault="005B2B6B" w:rsidP="00A00348">
      <w:pPr>
        <w:pStyle w:val="Punktlista"/>
        <w:spacing w:line="240" w:lineRule="auto"/>
        <w:contextualSpacing w:val="0"/>
      </w:pPr>
      <w:r>
        <w:t>Ansvarig läkare skall framgå (om sjuksköterska skriver remiss)</w:t>
      </w:r>
    </w:p>
    <w:p w14:paraId="73C48C9D" w14:textId="77777777" w:rsidR="005B2B6B" w:rsidRPr="008C41C2" w:rsidRDefault="005B2B6B" w:rsidP="00A00348">
      <w:pPr>
        <w:pStyle w:val="Punktlista"/>
        <w:spacing w:line="240" w:lineRule="auto"/>
        <w:contextualSpacing w:val="0"/>
      </w:pPr>
      <w:r w:rsidRPr="008C41C2">
        <w:t xml:space="preserve">Uppgift om koagulationsrubbning eller pågående alternativt nyss avbruten medicinering med antikoagulantia. </w:t>
      </w:r>
    </w:p>
    <w:p w14:paraId="56535F31" w14:textId="77777777" w:rsidR="005B2B6B" w:rsidRPr="008C41C2" w:rsidRDefault="005B2B6B" w:rsidP="00A00348">
      <w:pPr>
        <w:pStyle w:val="Punktlista"/>
        <w:spacing w:line="240" w:lineRule="auto"/>
        <w:contextualSpacing w:val="0"/>
      </w:pPr>
      <w:r w:rsidRPr="008C41C2">
        <w:t xml:space="preserve">Om CVK </w:t>
      </w:r>
      <w:r>
        <w:t>önskas</w:t>
      </w:r>
      <w:r w:rsidRPr="008C41C2">
        <w:t xml:space="preserve"> behövs ofta kännedom om APTT och PK. Om trombocyter misstänks vara låga eller har varit låga tas även TPK</w:t>
      </w:r>
      <w:r>
        <w:t>.</w:t>
      </w:r>
      <w:r w:rsidRPr="008C41C2">
        <w:t xml:space="preserve"> </w:t>
      </w:r>
    </w:p>
    <w:p w14:paraId="5777B3E4" w14:textId="77777777" w:rsidR="005B2B6B" w:rsidRPr="008C41C2" w:rsidRDefault="005B2B6B" w:rsidP="00A00348">
      <w:pPr>
        <w:pStyle w:val="Punktlista"/>
        <w:spacing w:line="240" w:lineRule="auto"/>
        <w:contextualSpacing w:val="0"/>
      </w:pPr>
      <w:r w:rsidRPr="008C41C2">
        <w:t>Förekomst av förmaksflimmer har betydelse om PICC-Line skall läggas. I dessa fall måste kontrollröntgen göras för att verifiera läget på kateterspetsen.</w:t>
      </w:r>
    </w:p>
    <w:p w14:paraId="263D0A8C" w14:textId="77777777" w:rsidR="005B2B6B" w:rsidRPr="008C41C2" w:rsidRDefault="005B2B6B" w:rsidP="00A00348">
      <w:pPr>
        <w:pStyle w:val="Punktlista"/>
        <w:spacing w:line="240" w:lineRule="auto"/>
        <w:contextualSpacing w:val="0"/>
      </w:pPr>
      <w:r w:rsidRPr="008C41C2">
        <w:t>Förekomst av pacemaker eller VP-shunt.</w:t>
      </w:r>
    </w:p>
    <w:p w14:paraId="0ECA52BC" w14:textId="16092670" w:rsidR="005B2B6B" w:rsidRDefault="005B2B6B" w:rsidP="00A00348">
      <w:pPr>
        <w:pStyle w:val="Punktlista"/>
        <w:spacing w:line="240" w:lineRule="auto"/>
        <w:contextualSpacing w:val="0"/>
      </w:pPr>
      <w:r>
        <w:t xml:space="preserve">TORSDAGAR har vi </w:t>
      </w:r>
      <w:r w:rsidR="00344E6F">
        <w:t xml:space="preserve">oftast </w:t>
      </w:r>
      <w:r>
        <w:t>avsatt dag för att lägga Midline/Piccline</w:t>
      </w:r>
      <w:r w:rsidR="00A3763F">
        <w:t>.</w:t>
      </w:r>
    </w:p>
    <w:p w14:paraId="02D4C0C8" w14:textId="5032DB70" w:rsidR="005B2B6B" w:rsidRDefault="005B2B6B" w:rsidP="00A00348">
      <w:pPr>
        <w:pStyle w:val="Punktlista"/>
        <w:spacing w:line="240" w:lineRule="auto"/>
        <w:contextualSpacing w:val="0"/>
      </w:pPr>
      <w:r>
        <w:t>Remisserna bör komma så tidigt som möjligt på veckan</w:t>
      </w:r>
      <w:r w:rsidR="00A3763F">
        <w:t>.</w:t>
      </w:r>
    </w:p>
    <w:p w14:paraId="3D390F81" w14:textId="6EFB27DA" w:rsidR="006A0A81" w:rsidRPr="005C224D" w:rsidRDefault="00B657C1" w:rsidP="005C224D">
      <w:pPr>
        <w:pStyle w:val="Punktlista"/>
        <w:rPr>
          <w:rFonts w:eastAsia="Calibri"/>
          <w:lang w:eastAsia="en-US"/>
        </w:rPr>
      </w:pPr>
      <w:r>
        <w:t>Faxas till Intensivvården</w:t>
      </w:r>
      <w:r w:rsidR="005F085E">
        <w:t xml:space="preserve">, </w:t>
      </w:r>
      <w:r w:rsidR="000710C5">
        <w:t>0303</w:t>
      </w:r>
      <w:r w:rsidR="000E011A">
        <w:t xml:space="preserve"> </w:t>
      </w:r>
      <w:r w:rsidR="000710C5">
        <w:t>17</w:t>
      </w:r>
      <w:r w:rsidR="0069689B">
        <w:t> </w:t>
      </w:r>
      <w:r w:rsidR="000710C5">
        <w:t>123</w:t>
      </w:r>
      <w:r w:rsidR="0069689B">
        <w:t>.</w:t>
      </w:r>
      <w:r w:rsidR="0069689B" w:rsidRPr="0069689B" w:rsidDel="008D3D71">
        <w:t xml:space="preserve"> </w:t>
      </w:r>
      <w:r w:rsidR="000F3A71">
        <w:t>O</w:t>
      </w:r>
      <w:r w:rsidR="0069689B">
        <w:t>m akut bedömning önskas skall narkosjouren (tel 98 428)</w:t>
      </w:r>
      <w:r w:rsidR="000F3A71">
        <w:t xml:space="preserve"> kontaktas</w:t>
      </w:r>
      <w:r w:rsidR="00AA4C5E"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3"/>
        <w:gridCol w:w="584"/>
        <w:gridCol w:w="1901"/>
        <w:gridCol w:w="1689"/>
        <w:gridCol w:w="15"/>
        <w:gridCol w:w="1751"/>
        <w:gridCol w:w="1786"/>
      </w:tblGrid>
      <w:tr w:rsidR="008C41C2" w:rsidRPr="008C41C2" w14:paraId="05ECC61B" w14:textId="77777777" w:rsidTr="00AE28DC">
        <w:tc>
          <w:tcPr>
            <w:tcW w:w="1777" w:type="dxa"/>
            <w:gridSpan w:val="2"/>
            <w:shd w:val="clear" w:color="auto" w:fill="FFD966"/>
          </w:tcPr>
          <w:p w14:paraId="167FBE1B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901" w:type="dxa"/>
            <w:shd w:val="clear" w:color="auto" w:fill="FFD966"/>
            <w:vAlign w:val="center"/>
          </w:tcPr>
          <w:p w14:paraId="3DACBDB8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1 poäng</w:t>
            </w:r>
          </w:p>
        </w:tc>
        <w:tc>
          <w:tcPr>
            <w:tcW w:w="1689" w:type="dxa"/>
            <w:shd w:val="clear" w:color="auto" w:fill="FFD966"/>
            <w:vAlign w:val="center"/>
          </w:tcPr>
          <w:p w14:paraId="26F70041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2 poäng</w:t>
            </w:r>
          </w:p>
        </w:tc>
        <w:tc>
          <w:tcPr>
            <w:tcW w:w="1766" w:type="dxa"/>
            <w:gridSpan w:val="2"/>
            <w:shd w:val="clear" w:color="auto" w:fill="FFD966"/>
            <w:vAlign w:val="center"/>
          </w:tcPr>
          <w:p w14:paraId="6CD1913B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3 poäng</w:t>
            </w:r>
          </w:p>
        </w:tc>
        <w:tc>
          <w:tcPr>
            <w:tcW w:w="1786" w:type="dxa"/>
            <w:shd w:val="clear" w:color="auto" w:fill="FFD966"/>
            <w:vAlign w:val="center"/>
          </w:tcPr>
          <w:p w14:paraId="3EBD798C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4 poäng</w:t>
            </w:r>
          </w:p>
        </w:tc>
      </w:tr>
      <w:tr w:rsidR="008C41C2" w:rsidRPr="008C41C2" w14:paraId="7DF2032E" w14:textId="77777777" w:rsidTr="00AE28DC">
        <w:tc>
          <w:tcPr>
            <w:tcW w:w="1777" w:type="dxa"/>
            <w:gridSpan w:val="2"/>
            <w:vAlign w:val="center"/>
          </w:tcPr>
          <w:p w14:paraId="6778AFE8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Vaskulär status</w:t>
            </w:r>
          </w:p>
        </w:tc>
        <w:tc>
          <w:tcPr>
            <w:tcW w:w="1901" w:type="dxa"/>
            <w:vAlign w:val="center"/>
          </w:tcPr>
          <w:p w14:paraId="1C0136AB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Optimalt. Inga hud/kärlproblem.</w:t>
            </w:r>
          </w:p>
        </w:tc>
        <w:tc>
          <w:tcPr>
            <w:tcW w:w="1689" w:type="dxa"/>
            <w:vAlign w:val="center"/>
          </w:tcPr>
          <w:p w14:paraId="759AFA5C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Relativt gott. Vissa problem med hud/kärl.</w:t>
            </w:r>
          </w:p>
        </w:tc>
        <w:tc>
          <w:tcPr>
            <w:tcW w:w="1766" w:type="dxa"/>
            <w:gridSpan w:val="2"/>
            <w:vAlign w:val="center"/>
          </w:tcPr>
          <w:p w14:paraId="55839D1F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Dåligt. &lt; 3 små kärl synliga.</w:t>
            </w:r>
          </w:p>
        </w:tc>
        <w:tc>
          <w:tcPr>
            <w:tcW w:w="1786" w:type="dxa"/>
            <w:vAlign w:val="center"/>
          </w:tcPr>
          <w:p w14:paraId="352F9849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Mycket dåligt. Inga synliga kärl.</w:t>
            </w:r>
          </w:p>
        </w:tc>
      </w:tr>
      <w:tr w:rsidR="008C41C2" w:rsidRPr="008C41C2" w14:paraId="74B11C4C" w14:textId="77777777" w:rsidTr="00AE28DC">
        <w:tc>
          <w:tcPr>
            <w:tcW w:w="1777" w:type="dxa"/>
            <w:gridSpan w:val="2"/>
            <w:vAlign w:val="center"/>
          </w:tcPr>
          <w:p w14:paraId="4870F3AC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Förväntad vårdtid</w:t>
            </w:r>
          </w:p>
        </w:tc>
        <w:tc>
          <w:tcPr>
            <w:tcW w:w="1901" w:type="dxa"/>
            <w:vAlign w:val="center"/>
          </w:tcPr>
          <w:p w14:paraId="3040DFFB" w14:textId="262422E2" w:rsidR="008C41C2" w:rsidRPr="008C41C2" w:rsidRDefault="000B5545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1–6</w:t>
            </w:r>
            <w:r w:rsidR="008C41C2" w:rsidRPr="008C41C2">
              <w:rPr>
                <w:rFonts w:eastAsia="Calibri"/>
                <w:lang w:eastAsia="en-US"/>
              </w:rPr>
              <w:t xml:space="preserve"> dagar</w:t>
            </w:r>
          </w:p>
        </w:tc>
        <w:tc>
          <w:tcPr>
            <w:tcW w:w="1689" w:type="dxa"/>
            <w:vAlign w:val="center"/>
          </w:tcPr>
          <w:p w14:paraId="43DD7980" w14:textId="667EAB39" w:rsidR="008C41C2" w:rsidRPr="008C41C2" w:rsidRDefault="000B5545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6–14</w:t>
            </w:r>
            <w:r w:rsidR="008C41C2" w:rsidRPr="008C41C2">
              <w:rPr>
                <w:rFonts w:eastAsia="Calibri"/>
                <w:lang w:eastAsia="en-US"/>
              </w:rPr>
              <w:t xml:space="preserve"> dagar</w:t>
            </w:r>
          </w:p>
        </w:tc>
        <w:tc>
          <w:tcPr>
            <w:tcW w:w="1766" w:type="dxa"/>
            <w:gridSpan w:val="2"/>
            <w:vAlign w:val="center"/>
          </w:tcPr>
          <w:p w14:paraId="228AEAC2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&gt; 14 dagar</w:t>
            </w:r>
          </w:p>
        </w:tc>
        <w:tc>
          <w:tcPr>
            <w:tcW w:w="1786" w:type="dxa"/>
            <w:vAlign w:val="center"/>
          </w:tcPr>
          <w:p w14:paraId="465CE45A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&gt; 3 månader</w:t>
            </w:r>
          </w:p>
        </w:tc>
      </w:tr>
      <w:tr w:rsidR="008C41C2" w:rsidRPr="008C41C2" w14:paraId="6F75E246" w14:textId="77777777" w:rsidTr="00AE28DC">
        <w:tc>
          <w:tcPr>
            <w:tcW w:w="1777" w:type="dxa"/>
            <w:gridSpan w:val="2"/>
            <w:vAlign w:val="center"/>
          </w:tcPr>
          <w:p w14:paraId="49977403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Läkemedels-/infusionsprofil</w:t>
            </w:r>
          </w:p>
        </w:tc>
        <w:tc>
          <w:tcPr>
            <w:tcW w:w="1901" w:type="dxa"/>
            <w:vAlign w:val="center"/>
          </w:tcPr>
          <w:p w14:paraId="524A8037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Isotona, pH-neutrala</w:t>
            </w:r>
          </w:p>
        </w:tc>
        <w:tc>
          <w:tcPr>
            <w:tcW w:w="1689" w:type="dxa"/>
            <w:vAlign w:val="center"/>
          </w:tcPr>
          <w:p w14:paraId="0F2591C1" w14:textId="51BCFC99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 xml:space="preserve">pH &lt; 5 eller </w:t>
            </w:r>
            <w:r w:rsidR="00D05284">
              <w:rPr>
                <w:rFonts w:eastAsia="Calibri"/>
                <w:lang w:eastAsia="en-US"/>
              </w:rPr>
              <w:t xml:space="preserve">pH </w:t>
            </w:r>
            <w:r w:rsidRPr="008C41C2">
              <w:rPr>
                <w:rFonts w:eastAsia="Calibri"/>
                <w:lang w:eastAsia="en-US"/>
              </w:rPr>
              <w:t>&gt; 9</w:t>
            </w:r>
          </w:p>
        </w:tc>
        <w:tc>
          <w:tcPr>
            <w:tcW w:w="1766" w:type="dxa"/>
            <w:gridSpan w:val="2"/>
            <w:vAlign w:val="center"/>
          </w:tcPr>
          <w:p w14:paraId="2F554F70" w14:textId="19B5E253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Orsakar blåsbildning/ nekros vid extravasering</w:t>
            </w:r>
          </w:p>
        </w:tc>
        <w:tc>
          <w:tcPr>
            <w:tcW w:w="1786" w:type="dxa"/>
            <w:vAlign w:val="center"/>
          </w:tcPr>
          <w:p w14:paraId="76D5499C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Parenteral nutrition</w:t>
            </w:r>
          </w:p>
        </w:tc>
      </w:tr>
      <w:tr w:rsidR="008C41C2" w:rsidRPr="008C41C2" w14:paraId="019F8DFC" w14:textId="77777777" w:rsidTr="00AE28DC">
        <w:tc>
          <w:tcPr>
            <w:tcW w:w="1777" w:type="dxa"/>
            <w:gridSpan w:val="2"/>
            <w:vAlign w:val="center"/>
          </w:tcPr>
          <w:p w14:paraId="18769A55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Vårdnivå</w:t>
            </w:r>
          </w:p>
        </w:tc>
        <w:tc>
          <w:tcPr>
            <w:tcW w:w="1901" w:type="dxa"/>
            <w:vAlign w:val="center"/>
          </w:tcPr>
          <w:p w14:paraId="190B6EF2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Undersökning</w:t>
            </w:r>
          </w:p>
        </w:tc>
        <w:tc>
          <w:tcPr>
            <w:tcW w:w="1689" w:type="dxa"/>
            <w:vAlign w:val="center"/>
          </w:tcPr>
          <w:p w14:paraId="66ABF900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Slutenvård</w:t>
            </w:r>
          </w:p>
        </w:tc>
        <w:tc>
          <w:tcPr>
            <w:tcW w:w="1766" w:type="dxa"/>
            <w:gridSpan w:val="2"/>
            <w:vAlign w:val="center"/>
          </w:tcPr>
          <w:p w14:paraId="6E7C72F4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Öppenvård</w:t>
            </w:r>
          </w:p>
        </w:tc>
        <w:tc>
          <w:tcPr>
            <w:tcW w:w="1786" w:type="dxa"/>
            <w:vAlign w:val="center"/>
          </w:tcPr>
          <w:p w14:paraId="3752E171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Intensivvård*</w:t>
            </w:r>
          </w:p>
        </w:tc>
      </w:tr>
      <w:tr w:rsidR="008C41C2" w:rsidRPr="008C41C2" w14:paraId="40BEAD15" w14:textId="77777777" w:rsidTr="00FD0110">
        <w:trPr>
          <w:gridAfter w:val="2"/>
          <w:wAfter w:w="3537" w:type="dxa"/>
          <w:trHeight w:val="394"/>
        </w:trPr>
        <w:tc>
          <w:tcPr>
            <w:tcW w:w="5382" w:type="dxa"/>
            <w:gridSpan w:val="5"/>
            <w:shd w:val="clear" w:color="auto" w:fill="FFD966"/>
          </w:tcPr>
          <w:p w14:paraId="6116BF88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Poäng</w:t>
            </w:r>
          </w:p>
        </w:tc>
      </w:tr>
      <w:tr w:rsidR="008C41C2" w:rsidRPr="008C41C2" w14:paraId="5C8FDC40" w14:textId="77777777" w:rsidTr="00FD0110">
        <w:trPr>
          <w:gridAfter w:val="2"/>
          <w:wAfter w:w="3537" w:type="dxa"/>
          <w:trHeight w:val="327"/>
        </w:trPr>
        <w:tc>
          <w:tcPr>
            <w:tcW w:w="1193" w:type="dxa"/>
            <w:vAlign w:val="center"/>
          </w:tcPr>
          <w:p w14:paraId="6E02DA6A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&lt; 7</w:t>
            </w:r>
          </w:p>
        </w:tc>
        <w:tc>
          <w:tcPr>
            <w:tcW w:w="4189" w:type="dxa"/>
            <w:gridSpan w:val="4"/>
            <w:vAlign w:val="center"/>
          </w:tcPr>
          <w:p w14:paraId="7E8201E6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008C41C2">
              <w:rPr>
                <w:rFonts w:eastAsia="Calibri"/>
                <w:lang w:eastAsia="en-US"/>
              </w:rPr>
              <w:t>PVK, Midline</w:t>
            </w:r>
          </w:p>
        </w:tc>
      </w:tr>
      <w:tr w:rsidR="008C41C2" w:rsidRPr="008C41C2" w14:paraId="2F2FB18F" w14:textId="77777777" w:rsidTr="00FD0110">
        <w:trPr>
          <w:gridAfter w:val="2"/>
          <w:wAfter w:w="3537" w:type="dxa"/>
          <w:trHeight w:val="327"/>
        </w:trPr>
        <w:tc>
          <w:tcPr>
            <w:tcW w:w="1193" w:type="dxa"/>
            <w:vAlign w:val="center"/>
          </w:tcPr>
          <w:p w14:paraId="16015B4B" w14:textId="37D34CBF" w:rsidR="008C41C2" w:rsidRPr="008C41C2" w:rsidRDefault="000A0177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7–12</w:t>
            </w:r>
          </w:p>
        </w:tc>
        <w:tc>
          <w:tcPr>
            <w:tcW w:w="4189" w:type="dxa"/>
            <w:gridSpan w:val="4"/>
            <w:vAlign w:val="center"/>
          </w:tcPr>
          <w:p w14:paraId="4D181021" w14:textId="39D8F754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 w:rsidRPr="3557F4AB">
              <w:rPr>
                <w:rFonts w:eastAsia="Calibri"/>
                <w:lang w:eastAsia="en-US"/>
              </w:rPr>
              <w:t>PICC-line, CVK</w:t>
            </w:r>
            <w:r w:rsidR="0021CFFE" w:rsidRPr="3557F4AB">
              <w:rPr>
                <w:rFonts w:eastAsia="Calibri"/>
                <w:lang w:eastAsia="en-US"/>
              </w:rPr>
              <w:t>, ev MidLine</w:t>
            </w:r>
          </w:p>
        </w:tc>
      </w:tr>
      <w:tr w:rsidR="008C41C2" w:rsidRPr="008C41C2" w14:paraId="1007C18C" w14:textId="77777777" w:rsidTr="00FD0110">
        <w:trPr>
          <w:gridAfter w:val="2"/>
          <w:wAfter w:w="3537" w:type="dxa"/>
          <w:trHeight w:val="327"/>
        </w:trPr>
        <w:tc>
          <w:tcPr>
            <w:tcW w:w="1193" w:type="dxa"/>
            <w:vAlign w:val="center"/>
          </w:tcPr>
          <w:p w14:paraId="53BB802F" w14:textId="77777777" w:rsidR="008C41C2" w:rsidRPr="008C41C2" w:rsidRDefault="008C41C2" w:rsidP="008C41C2">
            <w:pPr>
              <w:spacing w:after="160" w:line="259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8C41C2">
              <w:rPr>
                <w:rFonts w:eastAsia="Calibri"/>
                <w:b/>
                <w:lang w:eastAsia="en-US"/>
              </w:rPr>
              <w:t>&gt; 12</w:t>
            </w:r>
          </w:p>
        </w:tc>
        <w:tc>
          <w:tcPr>
            <w:tcW w:w="4189" w:type="dxa"/>
            <w:gridSpan w:val="4"/>
            <w:vAlign w:val="center"/>
          </w:tcPr>
          <w:p w14:paraId="5B315E9E" w14:textId="094F55DB" w:rsidR="008C41C2" w:rsidRPr="008C41C2" w:rsidRDefault="007349DD" w:rsidP="008C41C2">
            <w:pPr>
              <w:spacing w:after="160" w:line="259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Venport</w:t>
            </w:r>
            <w:r w:rsidR="008C41C2" w:rsidRPr="008C41C2">
              <w:rPr>
                <w:rFonts w:eastAsia="Calibri"/>
                <w:lang w:eastAsia="en-US"/>
              </w:rPr>
              <w:t>, tunnellerad infart, PICC</w:t>
            </w:r>
            <w:r w:rsidR="00DF17F3">
              <w:rPr>
                <w:rFonts w:eastAsia="Calibri"/>
                <w:lang w:eastAsia="en-US"/>
              </w:rPr>
              <w:t>-line</w:t>
            </w:r>
          </w:p>
        </w:tc>
      </w:tr>
    </w:tbl>
    <w:p w14:paraId="1498CBCA" w14:textId="77777777" w:rsidR="008C41C2" w:rsidRPr="008C41C2" w:rsidRDefault="008C41C2" w:rsidP="008C41C2">
      <w:pPr>
        <w:spacing w:after="160" w:line="256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r w:rsidRPr="008C41C2">
        <w:rPr>
          <w:rFonts w:ascii="Calibri" w:eastAsia="Calibri" w:hAnsi="Calibri"/>
          <w:sz w:val="22"/>
          <w:szCs w:val="22"/>
          <w:lang w:eastAsia="en-US"/>
        </w:rPr>
        <w:t>*I princip alltid CVK vid intensivvård</w:t>
      </w:r>
    </w:p>
    <w:p w14:paraId="44CEB323" w14:textId="77777777" w:rsidR="008C41C2" w:rsidRPr="008C41C2" w:rsidRDefault="008C41C2" w:rsidP="008C41C2">
      <w:pPr>
        <w:tabs>
          <w:tab w:val="left" w:pos="4005"/>
        </w:tabs>
        <w:spacing w:after="0" w:line="240" w:lineRule="auto"/>
        <w:ind w:left="0" w:right="0"/>
      </w:pPr>
    </w:p>
    <w:p w14:paraId="51E20C24" w14:textId="77777777" w:rsidR="006D1E6D" w:rsidRDefault="008C41C2" w:rsidP="006D1E6D">
      <w:pPr>
        <w:pStyle w:val="Rubrik2"/>
      </w:pPr>
      <w:r w:rsidRPr="006D1E6D">
        <w:t>Relaterad</w:t>
      </w:r>
      <w:r w:rsidRPr="008C41C2">
        <w:t xml:space="preserve"> information</w:t>
      </w:r>
    </w:p>
    <w:p w14:paraId="79B7BA71" w14:textId="26807148" w:rsidR="003E059D" w:rsidRPr="00FB7CD5" w:rsidRDefault="00053EF8" w:rsidP="003E059D">
      <w:pPr>
        <w:rPr>
          <w:i/>
          <w:iCs/>
        </w:rPr>
      </w:pPr>
      <w:hyperlink r:id="rId16" w:history="1">
        <w:r w:rsidR="0000484E" w:rsidRPr="00053EF8">
          <w:rPr>
            <w:rStyle w:val="Hyperlnk"/>
          </w:rPr>
          <w:t>Extravasation of noncytotoxic drugs</w:t>
        </w:r>
      </w:hyperlink>
      <w:r w:rsidR="00C33C04">
        <w:t xml:space="preserve">; </w:t>
      </w:r>
      <w:r>
        <w:t>A</w:t>
      </w:r>
      <w:r w:rsidR="00C33C04">
        <w:t>nnals of Pharmacotherapy</w:t>
      </w:r>
      <w:r w:rsidR="00C94078">
        <w:t xml:space="preserve"> </w:t>
      </w:r>
      <w:r w:rsidR="00781B7D">
        <w:t xml:space="preserve">2020 54:8. </w:t>
      </w:r>
      <w:r w:rsidR="00FB7CD5">
        <w:t>804–814</w:t>
      </w:r>
      <w:r w:rsidR="00C94078">
        <w:t>,</w:t>
      </w:r>
      <w:r w:rsidR="000D56B4">
        <w:t xml:space="preserve"> </w:t>
      </w:r>
      <w:r w:rsidR="00FB7CD5">
        <w:rPr>
          <w:i/>
          <w:iCs/>
        </w:rPr>
        <w:t>Hämtad 2024-05-31</w:t>
      </w:r>
    </w:p>
    <w:p w14:paraId="5560F5C8" w14:textId="3C0CD8C2" w:rsidR="00142214" w:rsidRPr="003E059D" w:rsidRDefault="000D56B4" w:rsidP="003E059D">
      <w:hyperlink r:id="rId17" w:history="1">
        <w:r w:rsidR="009532CF" w:rsidRPr="000D56B4">
          <w:rPr>
            <w:rStyle w:val="Hyperlnk"/>
          </w:rPr>
          <w:t>Vårdhandboken, CVK/Komplikationer</w:t>
        </w:r>
      </w:hyperlink>
      <w:r>
        <w:t xml:space="preserve"> </w:t>
      </w:r>
      <w:r>
        <w:rPr>
          <w:i/>
          <w:iCs/>
        </w:rPr>
        <w:t>Hämtad 2024-05-31</w:t>
      </w:r>
      <w:r w:rsidR="009532CF">
        <w:t xml:space="preserve"> </w:t>
      </w:r>
    </w:p>
    <w:p w14:paraId="76B9F95B" w14:textId="793C1089" w:rsidR="00536A5A" w:rsidRPr="00536A5A" w:rsidRDefault="008C41C2" w:rsidP="006D1E6D">
      <w:r w:rsidRPr="008C41C2">
        <w:t xml:space="preserve">Rutin: </w:t>
      </w:r>
      <w:hyperlink r:id="rId18" w:history="1">
        <w:r w:rsidRPr="008C41C2">
          <w:rPr>
            <w:color w:val="0563C1"/>
            <w:u w:val="single"/>
          </w:rPr>
          <w:t>PICC-line - perifert inlagd central venkateter</w:t>
        </w:r>
      </w:hyperlink>
      <w:r w:rsidRPr="008C41C2">
        <w:t xml:space="preserve"> hämtad 2019-05-21</w:t>
      </w:r>
      <w:bookmarkEnd w:id="0"/>
    </w:p>
    <w:sectPr w:rsidR="00536A5A" w:rsidRPr="00536A5A" w:rsidSect="008C41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990AF" w14:textId="77777777" w:rsidR="00A75FE7" w:rsidRDefault="00A75FE7">
      <w:r>
        <w:separator/>
      </w:r>
    </w:p>
  </w:endnote>
  <w:endnote w:type="continuationSeparator" w:id="0">
    <w:p w14:paraId="57020971" w14:textId="77777777" w:rsidR="00A75FE7" w:rsidRDefault="00A75FE7">
      <w:r>
        <w:continuationSeparator/>
      </w:r>
    </w:p>
  </w:endnote>
  <w:endnote w:type="continuationNotice" w:id="1">
    <w:p w14:paraId="69A6AD39" w14:textId="77777777" w:rsidR="00A75FE7" w:rsidRDefault="00A75F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" name="Bildobjekt 3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709DA" w14:textId="77777777" w:rsidR="00A75FE7" w:rsidRDefault="00A75FE7"/>
  </w:footnote>
  <w:footnote w:type="continuationSeparator" w:id="0">
    <w:p w14:paraId="1A1D8BF7" w14:textId="77777777" w:rsidR="00A75FE7" w:rsidRDefault="00A75FE7">
      <w:r>
        <w:continuationSeparator/>
      </w:r>
    </w:p>
  </w:footnote>
  <w:footnote w:type="continuationNotice" w:id="1">
    <w:p w14:paraId="668EF95A" w14:textId="77777777" w:rsidR="00A75FE7" w:rsidRDefault="00A75F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5" name="Bildobjekt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6A08F14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9635F4"/>
    <w:multiLevelType w:val="hybridMultilevel"/>
    <w:tmpl w:val="FC5E5710"/>
    <w:lvl w:ilvl="0" w:tplc="909AE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0A6B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2EE94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4A42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7A2F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4E8D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7E1E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1A79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00A8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9444B3"/>
    <w:multiLevelType w:val="hybridMultilevel"/>
    <w:tmpl w:val="7AF4770C"/>
    <w:lvl w:ilvl="0" w:tplc="5A84F2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D647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8C82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4E59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42C5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37653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42E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C6B2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D0891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8C0CA6"/>
    <w:multiLevelType w:val="hybridMultilevel"/>
    <w:tmpl w:val="D848ED0C"/>
    <w:lvl w:ilvl="0" w:tplc="7A80E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3E09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10D5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82B3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7879B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10612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6E20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0C31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F7228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8932769">
    <w:abstractNumId w:val="20"/>
  </w:num>
  <w:num w:numId="2" w16cid:durableId="162478270">
    <w:abstractNumId w:val="17"/>
  </w:num>
  <w:num w:numId="3" w16cid:durableId="1177309534">
    <w:abstractNumId w:val="0"/>
  </w:num>
  <w:num w:numId="4" w16cid:durableId="624506527">
    <w:abstractNumId w:val="7"/>
  </w:num>
  <w:num w:numId="5" w16cid:durableId="638806960">
    <w:abstractNumId w:val="18"/>
  </w:num>
  <w:num w:numId="6" w16cid:durableId="213319908">
    <w:abstractNumId w:val="3"/>
  </w:num>
  <w:num w:numId="7" w16cid:durableId="536352927">
    <w:abstractNumId w:val="14"/>
  </w:num>
  <w:num w:numId="8" w16cid:durableId="1751388117">
    <w:abstractNumId w:val="11"/>
  </w:num>
  <w:num w:numId="9" w16cid:durableId="934287735">
    <w:abstractNumId w:val="1"/>
  </w:num>
  <w:num w:numId="10" w16cid:durableId="1718821430">
    <w:abstractNumId w:val="1"/>
  </w:num>
  <w:num w:numId="11" w16cid:durableId="876821484">
    <w:abstractNumId w:val="4"/>
  </w:num>
  <w:num w:numId="12" w16cid:durableId="754742294">
    <w:abstractNumId w:val="5"/>
  </w:num>
  <w:num w:numId="13" w16cid:durableId="193858119">
    <w:abstractNumId w:val="16"/>
  </w:num>
  <w:num w:numId="14" w16cid:durableId="2084375268">
    <w:abstractNumId w:val="12"/>
  </w:num>
  <w:num w:numId="15" w16cid:durableId="2076119081">
    <w:abstractNumId w:val="8"/>
  </w:num>
  <w:num w:numId="16" w16cid:durableId="1493254381">
    <w:abstractNumId w:val="15"/>
  </w:num>
  <w:num w:numId="17" w16cid:durableId="1994406487">
    <w:abstractNumId w:val="6"/>
  </w:num>
  <w:num w:numId="18" w16cid:durableId="1226791920">
    <w:abstractNumId w:val="13"/>
  </w:num>
  <w:num w:numId="19" w16cid:durableId="1204442704">
    <w:abstractNumId w:val="19"/>
  </w:num>
  <w:num w:numId="20" w16cid:durableId="276958481">
    <w:abstractNumId w:val="10"/>
  </w:num>
  <w:num w:numId="21" w16cid:durableId="636642162">
    <w:abstractNumId w:val="2"/>
  </w:num>
  <w:num w:numId="22" w16cid:durableId="1699232257">
    <w:abstractNumId w:val="9"/>
  </w:num>
  <w:num w:numId="23" w16cid:durableId="6179115">
    <w:abstractNumId w:val="1"/>
  </w:num>
  <w:num w:numId="24" w16cid:durableId="1656454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84E"/>
    <w:rsid w:val="000051D5"/>
    <w:rsid w:val="00005CD2"/>
    <w:rsid w:val="00006D2A"/>
    <w:rsid w:val="00010D47"/>
    <w:rsid w:val="00015F55"/>
    <w:rsid w:val="00016CF0"/>
    <w:rsid w:val="0002435C"/>
    <w:rsid w:val="00030DDD"/>
    <w:rsid w:val="000313BB"/>
    <w:rsid w:val="0003187A"/>
    <w:rsid w:val="00033ED5"/>
    <w:rsid w:val="00040951"/>
    <w:rsid w:val="000436EF"/>
    <w:rsid w:val="00050500"/>
    <w:rsid w:val="00053039"/>
    <w:rsid w:val="00053EF8"/>
    <w:rsid w:val="0005691C"/>
    <w:rsid w:val="00056ECB"/>
    <w:rsid w:val="00056ED5"/>
    <w:rsid w:val="00064314"/>
    <w:rsid w:val="000655CC"/>
    <w:rsid w:val="000700AE"/>
    <w:rsid w:val="000710C5"/>
    <w:rsid w:val="00075B4C"/>
    <w:rsid w:val="00084024"/>
    <w:rsid w:val="0008466E"/>
    <w:rsid w:val="0009062C"/>
    <w:rsid w:val="00095368"/>
    <w:rsid w:val="000954C4"/>
    <w:rsid w:val="000A0177"/>
    <w:rsid w:val="000A2220"/>
    <w:rsid w:val="000A4C35"/>
    <w:rsid w:val="000A611A"/>
    <w:rsid w:val="000B12D9"/>
    <w:rsid w:val="000B381A"/>
    <w:rsid w:val="000B4536"/>
    <w:rsid w:val="000B5545"/>
    <w:rsid w:val="000B7715"/>
    <w:rsid w:val="000D56B4"/>
    <w:rsid w:val="000E011A"/>
    <w:rsid w:val="000E463B"/>
    <w:rsid w:val="000E5A7E"/>
    <w:rsid w:val="000F3A7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14"/>
    <w:rsid w:val="001422C1"/>
    <w:rsid w:val="00145B40"/>
    <w:rsid w:val="001522AE"/>
    <w:rsid w:val="00157D5B"/>
    <w:rsid w:val="00161FE6"/>
    <w:rsid w:val="001647EA"/>
    <w:rsid w:val="00164C3D"/>
    <w:rsid w:val="00166D3A"/>
    <w:rsid w:val="001774E2"/>
    <w:rsid w:val="00181FDC"/>
    <w:rsid w:val="00183BED"/>
    <w:rsid w:val="001860B9"/>
    <w:rsid w:val="00186F2B"/>
    <w:rsid w:val="001874D6"/>
    <w:rsid w:val="0019632A"/>
    <w:rsid w:val="001A4E7C"/>
    <w:rsid w:val="001A576E"/>
    <w:rsid w:val="001B762C"/>
    <w:rsid w:val="001C01FA"/>
    <w:rsid w:val="001C20E3"/>
    <w:rsid w:val="001C2DF8"/>
    <w:rsid w:val="001C4D0A"/>
    <w:rsid w:val="001C5FEF"/>
    <w:rsid w:val="001D07B2"/>
    <w:rsid w:val="001D7647"/>
    <w:rsid w:val="001E4C0F"/>
    <w:rsid w:val="001E670A"/>
    <w:rsid w:val="001F0A5D"/>
    <w:rsid w:val="00207475"/>
    <w:rsid w:val="00211487"/>
    <w:rsid w:val="00211D91"/>
    <w:rsid w:val="00217DEC"/>
    <w:rsid w:val="0021CFFE"/>
    <w:rsid w:val="00226CC7"/>
    <w:rsid w:val="00227547"/>
    <w:rsid w:val="00232411"/>
    <w:rsid w:val="00235B57"/>
    <w:rsid w:val="00250F24"/>
    <w:rsid w:val="002523C5"/>
    <w:rsid w:val="0025380B"/>
    <w:rsid w:val="0025703A"/>
    <w:rsid w:val="002614E1"/>
    <w:rsid w:val="00262F3D"/>
    <w:rsid w:val="00263281"/>
    <w:rsid w:val="00263733"/>
    <w:rsid w:val="002651D6"/>
    <w:rsid w:val="0026551F"/>
    <w:rsid w:val="00266930"/>
    <w:rsid w:val="0027085D"/>
    <w:rsid w:val="00280A85"/>
    <w:rsid w:val="0028103B"/>
    <w:rsid w:val="00284119"/>
    <w:rsid w:val="00290B5C"/>
    <w:rsid w:val="00294791"/>
    <w:rsid w:val="002A064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605"/>
    <w:rsid w:val="00337F99"/>
    <w:rsid w:val="0034307B"/>
    <w:rsid w:val="00344E6F"/>
    <w:rsid w:val="00345EB1"/>
    <w:rsid w:val="00350CC4"/>
    <w:rsid w:val="00360E0D"/>
    <w:rsid w:val="0036357D"/>
    <w:rsid w:val="0036368F"/>
    <w:rsid w:val="00363B23"/>
    <w:rsid w:val="0036594C"/>
    <w:rsid w:val="00367D19"/>
    <w:rsid w:val="00371BED"/>
    <w:rsid w:val="00384019"/>
    <w:rsid w:val="003854F1"/>
    <w:rsid w:val="00387F00"/>
    <w:rsid w:val="0039118E"/>
    <w:rsid w:val="00397F54"/>
    <w:rsid w:val="003A0D43"/>
    <w:rsid w:val="003B2A4B"/>
    <w:rsid w:val="003D099E"/>
    <w:rsid w:val="003D21A2"/>
    <w:rsid w:val="003D29D2"/>
    <w:rsid w:val="003D3037"/>
    <w:rsid w:val="003E059D"/>
    <w:rsid w:val="003E0705"/>
    <w:rsid w:val="003E2FF7"/>
    <w:rsid w:val="003E557F"/>
    <w:rsid w:val="003F1013"/>
    <w:rsid w:val="003F1ACF"/>
    <w:rsid w:val="003F1C48"/>
    <w:rsid w:val="003F6B3F"/>
    <w:rsid w:val="00402EC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D51"/>
    <w:rsid w:val="00465651"/>
    <w:rsid w:val="00470CE7"/>
    <w:rsid w:val="00470F4F"/>
    <w:rsid w:val="00472482"/>
    <w:rsid w:val="00480DC7"/>
    <w:rsid w:val="00484852"/>
    <w:rsid w:val="004876F6"/>
    <w:rsid w:val="0049236A"/>
    <w:rsid w:val="00492718"/>
    <w:rsid w:val="004A2DF9"/>
    <w:rsid w:val="004A355D"/>
    <w:rsid w:val="004A4970"/>
    <w:rsid w:val="004B2183"/>
    <w:rsid w:val="004B2A01"/>
    <w:rsid w:val="004B625A"/>
    <w:rsid w:val="004C0D44"/>
    <w:rsid w:val="004C2559"/>
    <w:rsid w:val="004D4CCD"/>
    <w:rsid w:val="004D7BA3"/>
    <w:rsid w:val="004F4518"/>
    <w:rsid w:val="004F4C62"/>
    <w:rsid w:val="004F72A2"/>
    <w:rsid w:val="00501433"/>
    <w:rsid w:val="00501C1B"/>
    <w:rsid w:val="00502163"/>
    <w:rsid w:val="00507FAE"/>
    <w:rsid w:val="005115E5"/>
    <w:rsid w:val="00511CC4"/>
    <w:rsid w:val="00526B6E"/>
    <w:rsid w:val="005305C4"/>
    <w:rsid w:val="00531E60"/>
    <w:rsid w:val="00532519"/>
    <w:rsid w:val="00536A5A"/>
    <w:rsid w:val="00541D07"/>
    <w:rsid w:val="00544BAB"/>
    <w:rsid w:val="00545F31"/>
    <w:rsid w:val="005578FA"/>
    <w:rsid w:val="00565129"/>
    <w:rsid w:val="0056540F"/>
    <w:rsid w:val="00565CD0"/>
    <w:rsid w:val="00567820"/>
    <w:rsid w:val="005770AD"/>
    <w:rsid w:val="00580ABC"/>
    <w:rsid w:val="00581414"/>
    <w:rsid w:val="00581F25"/>
    <w:rsid w:val="00582490"/>
    <w:rsid w:val="005826FA"/>
    <w:rsid w:val="00586636"/>
    <w:rsid w:val="005869B5"/>
    <w:rsid w:val="00597E28"/>
    <w:rsid w:val="005A2E3B"/>
    <w:rsid w:val="005A54ED"/>
    <w:rsid w:val="005A5D5B"/>
    <w:rsid w:val="005A6081"/>
    <w:rsid w:val="005A627D"/>
    <w:rsid w:val="005B2B6B"/>
    <w:rsid w:val="005C0045"/>
    <w:rsid w:val="005C084E"/>
    <w:rsid w:val="005C224D"/>
    <w:rsid w:val="005C4606"/>
    <w:rsid w:val="005D0B0C"/>
    <w:rsid w:val="005E02B3"/>
    <w:rsid w:val="005E0F1B"/>
    <w:rsid w:val="005E1E24"/>
    <w:rsid w:val="005F085E"/>
    <w:rsid w:val="005F65C2"/>
    <w:rsid w:val="0060596B"/>
    <w:rsid w:val="00606D97"/>
    <w:rsid w:val="00612D35"/>
    <w:rsid w:val="00614E64"/>
    <w:rsid w:val="00617710"/>
    <w:rsid w:val="00617EE6"/>
    <w:rsid w:val="0062184C"/>
    <w:rsid w:val="00622E73"/>
    <w:rsid w:val="00623724"/>
    <w:rsid w:val="00627BEA"/>
    <w:rsid w:val="006319DB"/>
    <w:rsid w:val="00642605"/>
    <w:rsid w:val="00650914"/>
    <w:rsid w:val="00654BF1"/>
    <w:rsid w:val="0065595B"/>
    <w:rsid w:val="00660269"/>
    <w:rsid w:val="00665F89"/>
    <w:rsid w:val="00666DC9"/>
    <w:rsid w:val="00673C92"/>
    <w:rsid w:val="006753EC"/>
    <w:rsid w:val="0069689B"/>
    <w:rsid w:val="006A0A81"/>
    <w:rsid w:val="006A2789"/>
    <w:rsid w:val="006A4978"/>
    <w:rsid w:val="006A7261"/>
    <w:rsid w:val="006B0D29"/>
    <w:rsid w:val="006B1819"/>
    <w:rsid w:val="006B5DE7"/>
    <w:rsid w:val="006C4BB2"/>
    <w:rsid w:val="006C5048"/>
    <w:rsid w:val="006C6A4B"/>
    <w:rsid w:val="006C779F"/>
    <w:rsid w:val="006D01F5"/>
    <w:rsid w:val="006D0CFB"/>
    <w:rsid w:val="006D1E6D"/>
    <w:rsid w:val="006D30C0"/>
    <w:rsid w:val="006D7535"/>
    <w:rsid w:val="006E450B"/>
    <w:rsid w:val="006E5A05"/>
    <w:rsid w:val="006E69CD"/>
    <w:rsid w:val="006F0D7E"/>
    <w:rsid w:val="00710B77"/>
    <w:rsid w:val="00714544"/>
    <w:rsid w:val="0072075B"/>
    <w:rsid w:val="007221C2"/>
    <w:rsid w:val="007226A4"/>
    <w:rsid w:val="00725816"/>
    <w:rsid w:val="00730955"/>
    <w:rsid w:val="00733A9C"/>
    <w:rsid w:val="007349DD"/>
    <w:rsid w:val="00734D42"/>
    <w:rsid w:val="00734FE3"/>
    <w:rsid w:val="00735C38"/>
    <w:rsid w:val="00736574"/>
    <w:rsid w:val="007367E0"/>
    <w:rsid w:val="0073688B"/>
    <w:rsid w:val="00737215"/>
    <w:rsid w:val="00747D22"/>
    <w:rsid w:val="00747D8E"/>
    <w:rsid w:val="00751954"/>
    <w:rsid w:val="00754905"/>
    <w:rsid w:val="00760038"/>
    <w:rsid w:val="00762EE0"/>
    <w:rsid w:val="00765C41"/>
    <w:rsid w:val="0076789F"/>
    <w:rsid w:val="00771100"/>
    <w:rsid w:val="007759DD"/>
    <w:rsid w:val="00781B7D"/>
    <w:rsid w:val="00784DE0"/>
    <w:rsid w:val="0078609F"/>
    <w:rsid w:val="007917BA"/>
    <w:rsid w:val="007A0FFA"/>
    <w:rsid w:val="007A209F"/>
    <w:rsid w:val="007A5C6F"/>
    <w:rsid w:val="007B3083"/>
    <w:rsid w:val="007B77D0"/>
    <w:rsid w:val="007D4241"/>
    <w:rsid w:val="007D4317"/>
    <w:rsid w:val="007D4EA3"/>
    <w:rsid w:val="007F05D1"/>
    <w:rsid w:val="007F1CFF"/>
    <w:rsid w:val="007F5DD5"/>
    <w:rsid w:val="008020E5"/>
    <w:rsid w:val="008076C0"/>
    <w:rsid w:val="00821A1B"/>
    <w:rsid w:val="00824E50"/>
    <w:rsid w:val="008262E9"/>
    <w:rsid w:val="00827E69"/>
    <w:rsid w:val="00835C4D"/>
    <w:rsid w:val="00837B8B"/>
    <w:rsid w:val="00843F48"/>
    <w:rsid w:val="00851423"/>
    <w:rsid w:val="00857848"/>
    <w:rsid w:val="008604DC"/>
    <w:rsid w:val="008625BE"/>
    <w:rsid w:val="00863B7E"/>
    <w:rsid w:val="008654B6"/>
    <w:rsid w:val="0087139C"/>
    <w:rsid w:val="00875B38"/>
    <w:rsid w:val="00880E83"/>
    <w:rsid w:val="00883529"/>
    <w:rsid w:val="00883771"/>
    <w:rsid w:val="00892F28"/>
    <w:rsid w:val="008A0C5F"/>
    <w:rsid w:val="008A3DEA"/>
    <w:rsid w:val="008A4EB9"/>
    <w:rsid w:val="008A74C0"/>
    <w:rsid w:val="008B1694"/>
    <w:rsid w:val="008C41C2"/>
    <w:rsid w:val="008C4B27"/>
    <w:rsid w:val="008C7F2A"/>
    <w:rsid w:val="008D3D71"/>
    <w:rsid w:val="008E178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93B"/>
    <w:rsid w:val="00921F47"/>
    <w:rsid w:val="009228AB"/>
    <w:rsid w:val="0092340D"/>
    <w:rsid w:val="0093085B"/>
    <w:rsid w:val="00931C57"/>
    <w:rsid w:val="009347A5"/>
    <w:rsid w:val="0093E93A"/>
    <w:rsid w:val="00942257"/>
    <w:rsid w:val="009471BF"/>
    <w:rsid w:val="00950E4E"/>
    <w:rsid w:val="009529BD"/>
    <w:rsid w:val="009532CF"/>
    <w:rsid w:val="009533B4"/>
    <w:rsid w:val="00956801"/>
    <w:rsid w:val="0096725A"/>
    <w:rsid w:val="00971D93"/>
    <w:rsid w:val="009820E7"/>
    <w:rsid w:val="00992F10"/>
    <w:rsid w:val="009B1F6B"/>
    <w:rsid w:val="009C0D12"/>
    <w:rsid w:val="009C192E"/>
    <w:rsid w:val="009D341B"/>
    <w:rsid w:val="009D6819"/>
    <w:rsid w:val="009D6D1C"/>
    <w:rsid w:val="009E0CF9"/>
    <w:rsid w:val="009E531B"/>
    <w:rsid w:val="009E6C56"/>
    <w:rsid w:val="009E7DCF"/>
    <w:rsid w:val="009F4A56"/>
    <w:rsid w:val="009F4E65"/>
    <w:rsid w:val="00A00348"/>
    <w:rsid w:val="00A006A5"/>
    <w:rsid w:val="00A05942"/>
    <w:rsid w:val="00A07BEC"/>
    <w:rsid w:val="00A10BAE"/>
    <w:rsid w:val="00A264BE"/>
    <w:rsid w:val="00A272CA"/>
    <w:rsid w:val="00A33051"/>
    <w:rsid w:val="00A3763F"/>
    <w:rsid w:val="00A407AD"/>
    <w:rsid w:val="00A40923"/>
    <w:rsid w:val="00A41C05"/>
    <w:rsid w:val="00A42426"/>
    <w:rsid w:val="00A44F47"/>
    <w:rsid w:val="00A468CC"/>
    <w:rsid w:val="00A46A1F"/>
    <w:rsid w:val="00A514B7"/>
    <w:rsid w:val="00A54A0B"/>
    <w:rsid w:val="00A56985"/>
    <w:rsid w:val="00A6105C"/>
    <w:rsid w:val="00A65FD4"/>
    <w:rsid w:val="00A75FE7"/>
    <w:rsid w:val="00A81198"/>
    <w:rsid w:val="00A81E48"/>
    <w:rsid w:val="00A82035"/>
    <w:rsid w:val="00A90D77"/>
    <w:rsid w:val="00A92E07"/>
    <w:rsid w:val="00AA0B3A"/>
    <w:rsid w:val="00AA4C5E"/>
    <w:rsid w:val="00AA6EB4"/>
    <w:rsid w:val="00AA767D"/>
    <w:rsid w:val="00AB0CC9"/>
    <w:rsid w:val="00AB6E44"/>
    <w:rsid w:val="00AC3FDC"/>
    <w:rsid w:val="00AC3FF6"/>
    <w:rsid w:val="00AD73EC"/>
    <w:rsid w:val="00AE28DC"/>
    <w:rsid w:val="00AE4FEA"/>
    <w:rsid w:val="00AE5BC7"/>
    <w:rsid w:val="00AF5AAF"/>
    <w:rsid w:val="00AF6DF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7C1"/>
    <w:rsid w:val="00B65A9D"/>
    <w:rsid w:val="00B66D60"/>
    <w:rsid w:val="00B72575"/>
    <w:rsid w:val="00B75E49"/>
    <w:rsid w:val="00B75EDE"/>
    <w:rsid w:val="00B77D88"/>
    <w:rsid w:val="00B77FAF"/>
    <w:rsid w:val="00B84336"/>
    <w:rsid w:val="00B851B9"/>
    <w:rsid w:val="00B86453"/>
    <w:rsid w:val="00B90054"/>
    <w:rsid w:val="00B92C14"/>
    <w:rsid w:val="00B9565D"/>
    <w:rsid w:val="00BA0066"/>
    <w:rsid w:val="00BA31D4"/>
    <w:rsid w:val="00BA3A6C"/>
    <w:rsid w:val="00BB3B1F"/>
    <w:rsid w:val="00BB69DB"/>
    <w:rsid w:val="00BC322E"/>
    <w:rsid w:val="00BC44CD"/>
    <w:rsid w:val="00BC48A6"/>
    <w:rsid w:val="00BC76FC"/>
    <w:rsid w:val="00BE7978"/>
    <w:rsid w:val="00BF5708"/>
    <w:rsid w:val="00C07DDB"/>
    <w:rsid w:val="00C23570"/>
    <w:rsid w:val="00C33C04"/>
    <w:rsid w:val="00C4115D"/>
    <w:rsid w:val="00C43BDD"/>
    <w:rsid w:val="00C47778"/>
    <w:rsid w:val="00C5011E"/>
    <w:rsid w:val="00C50EE5"/>
    <w:rsid w:val="00C51FAF"/>
    <w:rsid w:val="00C5240A"/>
    <w:rsid w:val="00C52487"/>
    <w:rsid w:val="00C525AE"/>
    <w:rsid w:val="00C5398F"/>
    <w:rsid w:val="00C556F5"/>
    <w:rsid w:val="00C70E19"/>
    <w:rsid w:val="00C72574"/>
    <w:rsid w:val="00C7430C"/>
    <w:rsid w:val="00C7566C"/>
    <w:rsid w:val="00C810E8"/>
    <w:rsid w:val="00C85DA1"/>
    <w:rsid w:val="00C9071C"/>
    <w:rsid w:val="00C908FF"/>
    <w:rsid w:val="00C91004"/>
    <w:rsid w:val="00C94078"/>
    <w:rsid w:val="00C97BD3"/>
    <w:rsid w:val="00CA39EF"/>
    <w:rsid w:val="00CA521F"/>
    <w:rsid w:val="00CB0493"/>
    <w:rsid w:val="00CB17FF"/>
    <w:rsid w:val="00CB1ED7"/>
    <w:rsid w:val="00CC167C"/>
    <w:rsid w:val="00CC512F"/>
    <w:rsid w:val="00CC52D9"/>
    <w:rsid w:val="00CC7037"/>
    <w:rsid w:val="00CD6647"/>
    <w:rsid w:val="00CE4B73"/>
    <w:rsid w:val="00CF70BB"/>
    <w:rsid w:val="00D04D6E"/>
    <w:rsid w:val="00D05284"/>
    <w:rsid w:val="00D074DB"/>
    <w:rsid w:val="00D117A2"/>
    <w:rsid w:val="00D1370A"/>
    <w:rsid w:val="00D139CF"/>
    <w:rsid w:val="00D37E7F"/>
    <w:rsid w:val="00D41165"/>
    <w:rsid w:val="00D41EA5"/>
    <w:rsid w:val="00D47AD7"/>
    <w:rsid w:val="00D51529"/>
    <w:rsid w:val="00D519BB"/>
    <w:rsid w:val="00D62A22"/>
    <w:rsid w:val="00D771B8"/>
    <w:rsid w:val="00D85218"/>
    <w:rsid w:val="00D915B1"/>
    <w:rsid w:val="00D97D78"/>
    <w:rsid w:val="00DA299D"/>
    <w:rsid w:val="00DA547F"/>
    <w:rsid w:val="00DA65C4"/>
    <w:rsid w:val="00DD2BE0"/>
    <w:rsid w:val="00DE29A4"/>
    <w:rsid w:val="00DE4447"/>
    <w:rsid w:val="00DE5DA2"/>
    <w:rsid w:val="00DF0033"/>
    <w:rsid w:val="00DF15CE"/>
    <w:rsid w:val="00DF17F3"/>
    <w:rsid w:val="00E026BF"/>
    <w:rsid w:val="00E07B1B"/>
    <w:rsid w:val="00E11853"/>
    <w:rsid w:val="00E2302F"/>
    <w:rsid w:val="00E52A86"/>
    <w:rsid w:val="00E54B47"/>
    <w:rsid w:val="00E553BF"/>
    <w:rsid w:val="00E558FF"/>
    <w:rsid w:val="00E55D93"/>
    <w:rsid w:val="00E61294"/>
    <w:rsid w:val="00E66FE4"/>
    <w:rsid w:val="00E7237C"/>
    <w:rsid w:val="00E77C46"/>
    <w:rsid w:val="00E81B2E"/>
    <w:rsid w:val="00E86CE8"/>
    <w:rsid w:val="00E90E82"/>
    <w:rsid w:val="00E95094"/>
    <w:rsid w:val="00EA00CB"/>
    <w:rsid w:val="00EA1BAA"/>
    <w:rsid w:val="00EA3FCD"/>
    <w:rsid w:val="00EA42A0"/>
    <w:rsid w:val="00EB6714"/>
    <w:rsid w:val="00EB6D19"/>
    <w:rsid w:val="00EC0A68"/>
    <w:rsid w:val="00EC5006"/>
    <w:rsid w:val="00ED49C3"/>
    <w:rsid w:val="00ED6CE8"/>
    <w:rsid w:val="00ED7717"/>
    <w:rsid w:val="00ED7AA6"/>
    <w:rsid w:val="00EE2A56"/>
    <w:rsid w:val="00EE3818"/>
    <w:rsid w:val="00F22264"/>
    <w:rsid w:val="00F2564D"/>
    <w:rsid w:val="00F35B05"/>
    <w:rsid w:val="00F413D9"/>
    <w:rsid w:val="00F41C8D"/>
    <w:rsid w:val="00F5135F"/>
    <w:rsid w:val="00F51F78"/>
    <w:rsid w:val="00F86F47"/>
    <w:rsid w:val="00F90B64"/>
    <w:rsid w:val="00FB2851"/>
    <w:rsid w:val="00FB2F0F"/>
    <w:rsid w:val="00FB5086"/>
    <w:rsid w:val="00FB5411"/>
    <w:rsid w:val="00FB6392"/>
    <w:rsid w:val="00FB7CD5"/>
    <w:rsid w:val="00FC7015"/>
    <w:rsid w:val="00FD0110"/>
    <w:rsid w:val="00FD3C70"/>
    <w:rsid w:val="00FD6820"/>
    <w:rsid w:val="00FE12D8"/>
    <w:rsid w:val="00FE3070"/>
    <w:rsid w:val="00FF626F"/>
    <w:rsid w:val="00FF7C02"/>
    <w:rsid w:val="024801E3"/>
    <w:rsid w:val="04FC2482"/>
    <w:rsid w:val="109152E8"/>
    <w:rsid w:val="19732D86"/>
    <w:rsid w:val="1C30959D"/>
    <w:rsid w:val="22972C01"/>
    <w:rsid w:val="3557F4AB"/>
    <w:rsid w:val="3CAB1D71"/>
    <w:rsid w:val="45CBD31A"/>
    <w:rsid w:val="50381910"/>
    <w:rsid w:val="510FB032"/>
    <w:rsid w:val="58AAA22A"/>
    <w:rsid w:val="606373C0"/>
    <w:rsid w:val="647B2B65"/>
    <w:rsid w:val="65DE1FB7"/>
    <w:rsid w:val="6B2CF8ED"/>
    <w:rsid w:val="6F2C8DCB"/>
    <w:rsid w:val="7FFA5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8C41C2"/>
    <w:pPr>
      <w:spacing w:after="0" w:line="240" w:lineRule="auto"/>
      <w:ind w:left="0" w:right="0"/>
    </w:p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1A576E"/>
    <w:rPr>
      <w:sz w:val="24"/>
      <w:szCs w:val="24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66FE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66FE4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053E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hyperlink" Target="https://alfresco.vgregion.se/alfresco/service/vgr/storage/node/content/32429/Picc-line%20-%20perifert%20inlagd%20central%20venkateter.pdf?a=false&amp;guest=true" TargetMode="External" Id="rId18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s://www.vardhandboken.se/katetrar-sonder-och-dran/central-venkateter/komplikationer/" TargetMode="External" Id="rId17" /><Relationship Type="http://schemas.openxmlformats.org/officeDocument/2006/relationships/hyperlink" Target="https://journals.sagepub.com/doi/epub/10.1177/1060028020903406" TargetMode="Externa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2096</TotalTime>
  <Pages>3</Pages>
  <Words>576</Words>
  <Characters>3056</Characters>
  <Application>Microsoft Office Word</Application>
  <DocSecurity>0</DocSecurity>
  <Lines>25</Lines>
  <Paragraphs>7</Paragraphs>
  <ScaleCrop>false</ScaleCrop>
  <Manager/>
  <Company/>
  <LinksUpToDate>false</LinksUpToDate>
  <CharactersWithSpaces>3625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Kärlaccess - beslutsguide</dc:title>
  <dc:subject/>
  <dc:creator>patrik.jens.johansson@vgregion.se</dc:creator>
  <keywords/>
  <lastModifiedBy>Christina Bergqvist Grivans</lastModifiedBy>
  <revision>187</revision>
  <lastPrinted>2016-03-31T10:56:00.0000000Z</lastPrinted>
  <dcterms:created xsi:type="dcterms:W3CDTF">2022-01-18T14:21:00.0000000Z</dcterms:created>
  <dcterms:modified xsi:type="dcterms:W3CDTF">2024-05-31T16:28:00.0000000Z</dcterms:modified>
</coreProperties>
</file>