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BB5180" w:rsidR="00BB5180" w:rsidP="00FC0C05" w:rsidRDefault="00BB5180" w14:paraId="7C803865" w14:textId="77777777">
      <w:pPr>
        <w:pStyle w:val="Rubrik1"/>
      </w:pPr>
      <w:bookmarkStart w:name="_Toc100327184" w:id="0"/>
      <w:bookmarkStart w:name="_Toc106874287" w:id="1"/>
      <w:r w:rsidRPr="00BB5180">
        <w:t>Intravenös antibiotikabehandling i hemmet med övervakning av sjuksköterska</w:t>
      </w:r>
    </w:p>
    <w:bookmarkEnd w:id="0"/>
    <w:bookmarkEnd w:id="1"/>
    <w:p w:rsidR="00FC0C05" w:rsidP="00FC0C05" w:rsidRDefault="00FC0C05" w14:paraId="4208AED7" w14:textId="77777777">
      <w:r>
        <w:t xml:space="preserve">Med ökad tillgång till mobila team i hemmet eller på särskilda boenden kan det bli aktuellt med intravenös antibiotikabehandling i patientens egna boende i de lägen som detta bedöms gagna patienten. </w:t>
      </w:r>
      <w:r w:rsidRPr="007B0300">
        <w:t>Kommunal primärvård är utförare och regionen har hela patientansvaret i vårdförloppet.</w:t>
      </w:r>
    </w:p>
    <w:p w:rsidRPr="00C94E23" w:rsidR="00C94E23" w:rsidP="00C94E23" w:rsidRDefault="00C94E23" w14:paraId="3798CCF8" w14:textId="77777777">
      <w:pPr>
        <w:pStyle w:val="Rubrik2"/>
      </w:pPr>
      <w:r w:rsidRPr="00C94E23">
        <w:t>Målgrupp</w:t>
      </w:r>
    </w:p>
    <w:p w:rsidRPr="00C94E23" w:rsidR="00C94E23" w:rsidP="00C94E23" w:rsidRDefault="00C94E23" w14:paraId="7BFC1524" w14:textId="77777777">
      <w:pPr>
        <w:pStyle w:val="Punktlista"/>
      </w:pPr>
      <w:r w:rsidRPr="00C94E23">
        <w:t>Läkare i mobila team och slutenvård från Alingsås Lasarett</w:t>
      </w:r>
    </w:p>
    <w:p w:rsidRPr="00C94E23" w:rsidR="00C94E23" w:rsidP="00C94E23" w:rsidRDefault="00C94E23" w14:paraId="10C3F81F" w14:textId="77777777">
      <w:pPr>
        <w:pStyle w:val="Punktlista"/>
      </w:pPr>
      <w:r w:rsidRPr="00C94E23">
        <w:t>Läkare inom primärvården i Alingsås, Lerum, Vårgårda och Herrljunga kommun.</w:t>
      </w:r>
    </w:p>
    <w:p w:rsidRPr="00C94E23" w:rsidR="00C94E23" w:rsidP="00C94E23" w:rsidRDefault="00C94E23" w14:paraId="4912826C" w14:textId="77777777">
      <w:pPr>
        <w:pStyle w:val="Punktlista"/>
      </w:pPr>
      <w:r w:rsidRPr="00C94E23">
        <w:t>Sjuksköterskor i kommunal hälso- och sjukvård inom kommunerna Alingsås, Lerum, Vårgårda och Herrljunga.</w:t>
      </w:r>
    </w:p>
    <w:p w:rsidRPr="00C94E23" w:rsidR="00C94E23" w:rsidP="00C94E23" w:rsidRDefault="00C94E23" w14:paraId="662235CF" w14:textId="77777777">
      <w:pPr>
        <w:pStyle w:val="Rubrik2"/>
      </w:pPr>
      <w:r w:rsidRPr="00C94E23">
        <w:t>Behandlingsindikationer</w:t>
      </w:r>
    </w:p>
    <w:p w:rsidRPr="00C94E23" w:rsidR="00C94E23" w:rsidP="00C94E23" w:rsidRDefault="00C94E23" w14:paraId="49773877" w14:textId="77777777">
      <w:pPr>
        <w:pStyle w:val="Punktlista"/>
      </w:pPr>
      <w:r w:rsidRPr="00C94E23">
        <w:t>Peroral behandling inte är möjlig.</w:t>
      </w:r>
    </w:p>
    <w:p w:rsidRPr="00C94E23" w:rsidR="00C94E23" w:rsidP="00C94E23" w:rsidRDefault="00C94E23" w14:paraId="7DBE0724" w14:textId="77777777">
      <w:pPr>
        <w:pStyle w:val="Punktlista"/>
      </w:pPr>
      <w:r w:rsidRPr="00C94E23">
        <w:t>Initial parenteral behandling är önskvärd för att få snabb kontroll över infektionen.</w:t>
      </w:r>
    </w:p>
    <w:p w:rsidRPr="00C94E23" w:rsidR="00C94E23" w:rsidP="00C94E23" w:rsidRDefault="00C94E23" w14:paraId="7E24EF14" w14:textId="77777777">
      <w:pPr>
        <w:pStyle w:val="Punktlista"/>
      </w:pPr>
      <w:r w:rsidRPr="00C94E23">
        <w:t>Peroral behandling har inte gett önskad effekt.</w:t>
      </w:r>
    </w:p>
    <w:p w:rsidRPr="00C94E23" w:rsidR="00C94E23" w:rsidP="00C94E23" w:rsidRDefault="00C94E23" w14:paraId="69F4CDF8" w14:textId="77777777">
      <w:pPr>
        <w:pStyle w:val="Rubrik2"/>
      </w:pPr>
      <w:r w:rsidRPr="00C94E23">
        <w:t>Risker</w:t>
      </w:r>
    </w:p>
    <w:p w:rsidRPr="00C94E23" w:rsidR="00C94E23" w:rsidP="00C94E23" w:rsidRDefault="00C94E23" w14:paraId="6F8E9F19" w14:textId="77777777">
      <w:r w:rsidRPr="00C94E23">
        <w:t>Riskerna avseende anafylaxi inte påtagligt högre med intravenös behandling än vid peroral behandling.</w:t>
      </w:r>
    </w:p>
    <w:p w:rsidRPr="00C94E23" w:rsidR="00C94E23" w:rsidP="00C94E23" w:rsidRDefault="00C94E23" w14:paraId="4D7A7386" w14:textId="77777777">
      <w:r w:rsidRPr="00C94E23">
        <w:t>Läkarstöd finns via Mobilt akutläkarteam dagtid kl 08-16 samt kvällstid på vardagar till kl 21 via akutläkare i tjänst. Nätter och helger stöd via distriktsläkarjour.</w:t>
      </w:r>
    </w:p>
    <w:p w:rsidRPr="00C94E23" w:rsidR="00C94E23" w:rsidP="00C94E23" w:rsidRDefault="00C94E23" w14:paraId="6DAEB5D1" w14:textId="77777777">
      <w:pPr>
        <w:pStyle w:val="Rubrik2"/>
      </w:pPr>
      <w:r w:rsidRPr="00C94E23">
        <w:lastRenderedPageBreak/>
        <w:t>Allergiska reaktioner</w:t>
      </w:r>
    </w:p>
    <w:p w:rsidRPr="00C94E23" w:rsidR="00C94E23" w:rsidP="00C94E23" w:rsidRDefault="00C94E23" w14:paraId="62820078" w14:textId="77777777">
      <w:r w:rsidRPr="00C94E23">
        <w:t>Allvarliga reaktioner är ovanliga vid behandling med cefalosporiner eller piperacillin/tazobactam och risken för korsreaktion med penicilliner är mycket liten.</w:t>
      </w:r>
    </w:p>
    <w:p w:rsidRPr="00C94E23" w:rsidR="00C94E23" w:rsidP="00C94E23" w:rsidRDefault="00C94E23" w14:paraId="3058EB03" w14:textId="77777777">
      <w:pPr>
        <w:pStyle w:val="Rubrik2"/>
      </w:pPr>
      <w:r w:rsidRPr="00C94E23">
        <w:t xml:space="preserve">Oönskade effekter </w:t>
      </w:r>
    </w:p>
    <w:p w:rsidRPr="00C94E23" w:rsidR="00C94E23" w:rsidP="00C94E23" w:rsidRDefault="00C94E23" w14:paraId="5E3CAFC0" w14:textId="77777777">
      <w:pPr>
        <w:rPr>
          <w:highlight w:val="yellow"/>
        </w:rPr>
      </w:pPr>
      <w:r w:rsidRPr="00C94E23">
        <w:t>Cefalosporiner kan ge överväxt i tarm av toxinbildande Clostridium difficile med symtom i form av diarré.</w:t>
      </w:r>
      <w:r w:rsidRPr="00C94E23">
        <w:rPr>
          <w:highlight w:val="yellow"/>
        </w:rPr>
        <w:t xml:space="preserve"> </w:t>
      </w:r>
    </w:p>
    <w:p w:rsidRPr="00C94E23" w:rsidR="00C94E23" w:rsidP="00C94E23" w:rsidRDefault="00C94E23" w14:paraId="592F3489" w14:textId="77777777">
      <w:r w:rsidRPr="00C94E23">
        <w:t>Anafylaktisk chock</w:t>
      </w:r>
    </w:p>
    <w:p w:rsidRPr="00C94E23" w:rsidR="00C94E23" w:rsidP="00C94E23" w:rsidRDefault="00C94E23" w14:paraId="02FF592B" w14:textId="77777777">
      <w:pPr>
        <w:pStyle w:val="Rubrik2"/>
      </w:pPr>
      <w:r w:rsidRPr="00C94E23">
        <w:t>Följsamhet</w:t>
      </w:r>
    </w:p>
    <w:p w:rsidRPr="00C94E23" w:rsidR="00C94E23" w:rsidP="00C94E23" w:rsidRDefault="00C94E23" w14:paraId="190C8198" w14:textId="77777777">
      <w:r w:rsidRPr="00C94E23">
        <w:t>Kognitiv sjukdom är mycket vanlig på särskilda boende och perifer venkateter kan bli ett bekymmer för vissa patienter. Då finns möjligheten att ge vissa sorters antibiotika intramuskulärt.</w:t>
      </w:r>
    </w:p>
    <w:p w:rsidRPr="00C94E23" w:rsidR="00C94E23" w:rsidP="00C94E23" w:rsidRDefault="00C94E23" w14:paraId="0FD455D4" w14:textId="77777777">
      <w:pPr>
        <w:pStyle w:val="Rubrik2"/>
      </w:pPr>
      <w:r w:rsidRPr="00C94E23">
        <w:t>Genomförande</w:t>
      </w:r>
    </w:p>
    <w:p w:rsidRPr="00C94E23" w:rsidR="00C94E23" w:rsidP="00C94E23" w:rsidRDefault="00C94E23" w14:paraId="5FED5392" w14:textId="77777777">
      <w:pPr>
        <w:pStyle w:val="Punktlista"/>
      </w:pPr>
      <w:r w:rsidRPr="00C94E23">
        <w:t xml:space="preserve">Läkare i mobilt team som träffat patienten värderar fördelar och risker med intravenös antibiotikabehandling i hemmet. </w:t>
      </w:r>
    </w:p>
    <w:p w:rsidRPr="00C94E23" w:rsidR="00C94E23" w:rsidP="00C94E23" w:rsidRDefault="00C94E23" w14:paraId="2EABF2AA" w14:textId="77777777">
      <w:pPr>
        <w:pStyle w:val="Punktlista"/>
      </w:pPr>
      <w:r w:rsidRPr="00C94E23">
        <w:t>Läkaren ansvarar för att kontrollera eventuell registrerad antibiotikaallergi via journal.</w:t>
      </w:r>
    </w:p>
    <w:p w:rsidRPr="00C94E23" w:rsidR="00C94E23" w:rsidP="00C94E23" w:rsidRDefault="00C94E23" w14:paraId="15892972" w14:textId="77777777">
      <w:pPr>
        <w:pStyle w:val="Punktlista"/>
      </w:pPr>
      <w:r w:rsidRPr="00C94E23">
        <w:t xml:space="preserve">Ställningstagande till antibiotikabehandlingen ska ske i samråd mellan berörda vårdgivare – mobilt läkarteam och kommunalt ansvarig sjuksköterska. Kommunal primärvård gör ställningstagande om det finns resurstid till insatsen i förhållande till andra behov i verksamheten. </w:t>
      </w:r>
    </w:p>
    <w:p w:rsidRPr="00C94E23" w:rsidR="00C94E23" w:rsidP="00C94E23" w:rsidRDefault="00C94E23" w14:paraId="4A07AB0B" w14:textId="77777777">
      <w:pPr>
        <w:pStyle w:val="Punktlista"/>
      </w:pPr>
      <w:r w:rsidRPr="00C94E23">
        <w:t>Patient och anhöriga ska informeras av läkare om de ökade risker som intravenös antibiotikabehandling utanför sjukhus kan innebära. Skriftlig information lämnas av läkare.</w:t>
      </w:r>
    </w:p>
    <w:p w:rsidRPr="00C94E23" w:rsidR="00C94E23" w:rsidP="00C94E23" w:rsidRDefault="00C94E23" w14:paraId="23399A6B" w14:textId="77777777">
      <w:pPr>
        <w:pStyle w:val="Punktlista"/>
      </w:pPr>
      <w:r w:rsidRPr="00C94E23">
        <w:t>Om antibiotikabehandling påbörjas i hemmet (ordinärt/särskilt boende) skall läkaren närvara vid första dosen av intravenös antibiotikabehandling om inte annat avtalats med ansvarig sjuksköterska.</w:t>
      </w:r>
    </w:p>
    <w:p w:rsidRPr="00C94E23" w:rsidR="00C94E23" w:rsidP="00C94E23" w:rsidRDefault="00C94E23" w14:paraId="73E5B10B" w14:textId="77777777">
      <w:pPr>
        <w:pStyle w:val="Punktlista"/>
        <w:rPr>
          <w:rFonts w:eastAsia="MS Gothic"/>
        </w:rPr>
      </w:pPr>
      <w:r w:rsidRPr="00C94E23">
        <w:rPr>
          <w:rFonts w:eastAsia="MS Gothic"/>
        </w:rPr>
        <w:t>Antibiotikasorter som används av mobila team ges generellt som långsam injektion under 3 - 5 minuter.</w:t>
      </w:r>
    </w:p>
    <w:p w:rsidRPr="00C94E23" w:rsidR="00C94E23" w:rsidP="00C94E23" w:rsidRDefault="00C94E23" w14:paraId="4DC5D959" w14:textId="77777777">
      <w:pPr>
        <w:pStyle w:val="Punktlista"/>
        <w:rPr>
          <w:rFonts w:eastAsia="MS Gothic"/>
        </w:rPr>
      </w:pPr>
      <w:r w:rsidRPr="00C94E23">
        <w:rPr>
          <w:rFonts w:eastAsia="MS Gothic"/>
        </w:rPr>
        <w:t>Den sjuksköterska som behandlar patienten i ordinärt/särskilt boende ska ha beredskap enligt nedanstående ordination för en eventuell allergisk/anafylaktisk reaktion hos patienten.</w:t>
      </w:r>
    </w:p>
    <w:p w:rsidRPr="00C94E23" w:rsidR="00C94E23" w:rsidP="00C94E23" w:rsidRDefault="00C94E23" w14:paraId="3A3009F8" w14:textId="77777777">
      <w:pPr>
        <w:pStyle w:val="Punktlista"/>
        <w:rPr>
          <w:rFonts w:eastAsia="MS Gothic"/>
        </w:rPr>
      </w:pPr>
      <w:r w:rsidRPr="00C94E23">
        <w:rPr>
          <w:rFonts w:eastAsia="MS Gothic"/>
        </w:rPr>
        <w:t xml:space="preserve">Sjuksköterskan ska ha omedelbar tillgång till adrenalin i form av adrenalinpenna (två), kortisontabletter samt antihistamin i tablettform. Detta finns i det kommunala basförrådet. </w:t>
      </w:r>
    </w:p>
    <w:p w:rsidRPr="00C94E23" w:rsidR="00C94E23" w:rsidP="00C94E23" w:rsidRDefault="00C94E23" w14:paraId="5FFB3261" w14:textId="77777777">
      <w:pPr>
        <w:pStyle w:val="Rubrik2"/>
      </w:pPr>
      <w:r w:rsidRPr="00C94E23">
        <w:lastRenderedPageBreak/>
        <w:t>Komplikationer</w:t>
      </w:r>
    </w:p>
    <w:p w:rsidRPr="00C94E23" w:rsidR="00C94E23" w:rsidP="00C94E23" w:rsidRDefault="00C94E23" w14:paraId="42C8916C" w14:textId="77777777">
      <w:pPr>
        <w:pStyle w:val="Rubrik3"/>
      </w:pPr>
      <w:r w:rsidRPr="00C94E23">
        <w:t xml:space="preserve">Akut läkemedels-/anafylaktisk reaktion </w:t>
      </w:r>
    </w:p>
    <w:p w:rsidRPr="00C94E23" w:rsidR="00C94E23" w:rsidP="00C94E23" w:rsidRDefault="00C94E23" w14:paraId="7753133B" w14:textId="61D91DA5">
      <w:r w:rsidRPr="00C94E23">
        <w:t xml:space="preserve">Avbryt pågående infusion/injektion omedelbart! Kontrollera patienten avseende allmäntillstånd, andning, cirkulation. </w:t>
      </w:r>
    </w:p>
    <w:p w:rsidRPr="00C94E23" w:rsidR="00C94E23" w:rsidP="00C94E23" w:rsidRDefault="00C94E23" w14:paraId="4915C8C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p w:rsidRPr="00C94E23" w:rsidR="00C94E23" w:rsidP="00C94E23" w:rsidRDefault="00C94E23" w14:paraId="63C35393" w14:textId="77777777">
      <w:r w:rsidRPr="00C94E23">
        <w:t xml:space="preserve">Vid </w:t>
      </w:r>
      <w:r w:rsidRPr="00C94E23">
        <w:rPr>
          <w:b/>
          <w:bCs/>
        </w:rPr>
        <w:t xml:space="preserve">lindrig läkemedelsreaktion </w:t>
      </w:r>
      <w:r w:rsidRPr="00C94E23">
        <w:t>(t.ex. klåda, urtikaria) ges antihistamin och kortison per os. Detta ska inte registreras som överkänslighet i journalen!</w:t>
      </w:r>
    </w:p>
    <w:p w:rsidR="00C94E23" w:rsidP="00C94E23" w:rsidRDefault="00C94E23" w14:paraId="576A28D6" w14:textId="34F6E8EF">
      <w:pPr>
        <w:rPr>
          <w:color w:val="000000"/>
        </w:rPr>
      </w:pPr>
      <w:r w:rsidRPr="2BD342B8" w:rsidR="00C94E23">
        <w:rPr>
          <w:color w:val="000000" w:themeColor="text2" w:themeTint="FF" w:themeShade="FF"/>
        </w:rPr>
        <w:t xml:space="preserve">Vid </w:t>
      </w:r>
      <w:r w:rsidRPr="2BD342B8" w:rsidR="00C94E23">
        <w:rPr>
          <w:b w:val="1"/>
          <w:bCs w:val="1"/>
          <w:color w:val="000000" w:themeColor="text2" w:themeTint="FF" w:themeShade="FF"/>
        </w:rPr>
        <w:t>svår läkemedelsreaktion/</w:t>
      </w:r>
      <w:r w:rsidRPr="2BD342B8" w:rsidR="00C94E23">
        <w:rPr>
          <w:b w:val="1"/>
          <w:bCs w:val="1"/>
          <w:color w:val="000000" w:themeColor="text2" w:themeTint="FF" w:themeShade="FF"/>
        </w:rPr>
        <w:t>anafylaxi</w:t>
      </w:r>
      <w:r w:rsidRPr="2BD342B8" w:rsidR="00C94E23">
        <w:rPr>
          <w:b w:val="1"/>
          <w:bCs w:val="1"/>
          <w:color w:val="000000" w:themeColor="text2" w:themeTint="FF" w:themeShade="FF"/>
        </w:rPr>
        <w:t xml:space="preserve"> </w:t>
      </w:r>
      <w:r w:rsidRPr="2BD342B8" w:rsidR="00C94E23">
        <w:rPr>
          <w:color w:val="000000" w:themeColor="text2" w:themeTint="FF" w:themeShade="FF"/>
        </w:rPr>
        <w:t>(</w:t>
      </w:r>
      <w:r w:rsidRPr="2BD342B8" w:rsidR="00C94E23">
        <w:rPr>
          <w:color w:val="000000" w:themeColor="text2" w:themeTint="FF" w:themeShade="FF"/>
        </w:rPr>
        <w:t>t.ex.</w:t>
      </w:r>
      <w:r w:rsidRPr="2BD342B8" w:rsidR="00C94E23">
        <w:rPr>
          <w:color w:val="000000" w:themeColor="text2" w:themeTint="FF" w:themeShade="FF"/>
        </w:rPr>
        <w:t xml:space="preserve"> ångest, oro, andningssvårigheter, blodtrycksfall, takykardi) ges </w:t>
      </w:r>
      <w:r w:rsidRPr="2BD342B8" w:rsidR="1C8D0A96">
        <w:rPr>
          <w:color w:val="000000" w:themeColor="text2" w:themeTint="FF" w:themeShade="FF"/>
        </w:rPr>
        <w:t xml:space="preserve">adrenalin intramuskulärt. Därefter ges </w:t>
      </w:r>
      <w:r w:rsidRPr="2BD342B8" w:rsidR="00C94E23">
        <w:rPr>
          <w:color w:val="000000" w:themeColor="text2" w:themeTint="FF" w:themeShade="FF"/>
        </w:rPr>
        <w:t>antihistamin per os</w:t>
      </w:r>
      <w:r w:rsidRPr="2BD342B8" w:rsidR="09893114">
        <w:rPr>
          <w:color w:val="000000" w:themeColor="text2" w:themeTint="FF" w:themeShade="FF"/>
        </w:rPr>
        <w:t xml:space="preserve">. </w:t>
      </w:r>
      <w:r w:rsidRPr="2BD342B8" w:rsidR="00C94E23">
        <w:rPr>
          <w:color w:val="000000" w:themeColor="text2" w:themeTint="FF" w:themeShade="FF"/>
        </w:rPr>
        <w:t xml:space="preserve">Se tabell nedan. Adrenalin är den behandling som ger effekt snabbast och är enskilt viktigast vid en allvarlig </w:t>
      </w:r>
      <w:r w:rsidRPr="2BD342B8" w:rsidR="00C94E23">
        <w:rPr>
          <w:color w:val="000000" w:themeColor="text2" w:themeTint="FF" w:themeShade="FF"/>
        </w:rPr>
        <w:t>anafylaxi</w:t>
      </w:r>
      <w:r w:rsidRPr="2BD342B8" w:rsidR="00C94E23">
        <w:rPr>
          <w:color w:val="000000" w:themeColor="text2" w:themeTint="FF" w:themeShade="FF"/>
        </w:rPr>
        <w:t xml:space="preserve">. Ordinationen för detta är generell, men vid oklarhet om allvarlig läkemedelsreaktion föreligger, kontakta läkare. </w:t>
      </w:r>
    </w:p>
    <w:p w:rsidR="0358B590" w:rsidP="2BD342B8" w:rsidRDefault="0358B590" w14:paraId="5EE98B99" w14:textId="07AE774F">
      <w:pPr>
        <w:rPr>
          <w:color w:val="000000" w:themeColor="text2" w:themeTint="FF" w:themeShade="FF"/>
        </w:rPr>
      </w:pPr>
      <w:r w:rsidRPr="2BD342B8" w:rsidR="0358B590">
        <w:rPr>
          <w:color w:val="000000" w:themeColor="text2" w:themeTint="FF" w:themeShade="FF"/>
        </w:rPr>
        <w:t>Kortison</w:t>
      </w:r>
      <w:r w:rsidRPr="2BD342B8" w:rsidR="2B5F66A2">
        <w:rPr>
          <w:color w:val="000000" w:themeColor="text2" w:themeTint="FF" w:themeShade="FF"/>
        </w:rPr>
        <w:t xml:space="preserve"> i form av</w:t>
      </w:r>
      <w:r w:rsidRPr="2BD342B8" w:rsidR="0358B590">
        <w:rPr>
          <w:color w:val="000000" w:themeColor="text2" w:themeTint="FF" w:themeShade="FF"/>
        </w:rPr>
        <w:t xml:space="preserve"> </w:t>
      </w:r>
      <w:r w:rsidRPr="2BD342B8" w:rsidR="0358B590">
        <w:rPr>
          <w:color w:val="000000" w:themeColor="text2" w:themeTint="FF" w:themeShade="FF"/>
        </w:rPr>
        <w:t>Betapred</w:t>
      </w:r>
      <w:r w:rsidRPr="2BD342B8" w:rsidR="0358B590">
        <w:rPr>
          <w:color w:val="000000" w:themeColor="text2" w:themeTint="FF" w:themeShade="FF"/>
        </w:rPr>
        <w:t xml:space="preserve"> ordineras endast vid samtidiga astmatiska besvär</w:t>
      </w:r>
      <w:r w:rsidRPr="2BD342B8" w:rsidR="56A9A361">
        <w:rPr>
          <w:color w:val="000000" w:themeColor="text2" w:themeTint="FF" w:themeShade="FF"/>
        </w:rPr>
        <w:t xml:space="preserve"> i enlighet med nya riktlinjer från 2024. </w:t>
      </w:r>
    </w:p>
    <w:p w:rsidRPr="00C94E23" w:rsidR="00F20478" w:rsidP="00C94E23" w:rsidRDefault="00F20478" w14:paraId="529AFDB6" w14:textId="77777777">
      <w:pPr>
        <w:rPr>
          <w:color w:val="000000"/>
        </w:rPr>
      </w:pPr>
    </w:p>
    <w:p w:rsidRPr="00C94E23" w:rsidR="00C94E23" w:rsidP="00C94E23" w:rsidRDefault="00C94E23" w14:paraId="7E12B9FD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tbl>
      <w:tblPr>
        <w:tblW w:w="0" w:type="auto"/>
        <w:tblInd w:w="5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2628"/>
        <w:gridCol w:w="2628"/>
        <w:gridCol w:w="2628"/>
      </w:tblGrid>
      <w:tr w:rsidRPr="00C94E23" w:rsidR="00C94E23" w:rsidTr="2BD342B8" w14:paraId="1E9F2362" w14:textId="77777777">
        <w:trPr>
          <w:trHeight w:val="93"/>
        </w:trPr>
        <w:tc>
          <w:tcPr>
            <w:tcW w:w="2628" w:type="dxa"/>
            <w:tcMar/>
          </w:tcPr>
          <w:p w:rsidRPr="00C94E23" w:rsidR="00C94E23" w:rsidP="00C94E23" w:rsidRDefault="00C94E23" w14:paraId="2F761D04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94E23">
              <w:rPr>
                <w:rFonts w:ascii="Calibri" w:hAnsi="Calibri" w:cs="Calibri"/>
                <w:b/>
                <w:bCs/>
                <w:sz w:val="26"/>
                <w:szCs w:val="26"/>
              </w:rPr>
              <w:t xml:space="preserve">Behandling </w:t>
            </w:r>
            <w:r w:rsidRPr="00C94E2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Läkemedel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6143F0E7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94E2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Styrka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067DAE94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94E2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Dosering </w:t>
            </w:r>
          </w:p>
        </w:tc>
      </w:tr>
      <w:tr w:rsidRPr="00C94E23" w:rsidR="00C94E23" w:rsidTr="2BD342B8" w14:paraId="6690583F" w14:textId="77777777">
        <w:trPr>
          <w:trHeight w:val="93"/>
        </w:trPr>
        <w:tc>
          <w:tcPr>
            <w:tcW w:w="2628" w:type="dxa"/>
            <w:tcMar/>
          </w:tcPr>
          <w:p w:rsidRPr="00C94E23" w:rsidR="00C94E23" w:rsidP="00C94E23" w:rsidRDefault="00C94E23" w14:paraId="5A1D223E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6"/>
                <w:szCs w:val="26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Adrenalin (t.ex. Epipen, lösning i förfylld injektionspenna)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2AB794D8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300 μg/dos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5FD5E0A8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300 μg im </w:t>
            </w:r>
          </w:p>
          <w:p w:rsidRPr="00C94E23" w:rsidR="00C94E23" w:rsidP="00C94E23" w:rsidRDefault="00C94E23" w14:paraId="2B188418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Dosen kan komma att upprepas efter läkar-ordination </w:t>
            </w:r>
          </w:p>
        </w:tc>
      </w:tr>
      <w:tr w:rsidRPr="00C94E23" w:rsidR="00C94E23" w:rsidTr="2BD342B8" w14:paraId="04DAE2F9" w14:textId="77777777">
        <w:trPr>
          <w:trHeight w:val="104"/>
        </w:trPr>
        <w:tc>
          <w:tcPr>
            <w:tcW w:w="2628" w:type="dxa"/>
            <w:tcMar/>
          </w:tcPr>
          <w:p w:rsidRPr="00C94E23" w:rsidR="00C94E23" w:rsidP="00C94E23" w:rsidRDefault="00C94E23" w14:paraId="4A964652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Tabl Desloratadin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0214A50A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5 mg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6D0C1DAA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2 x 5 mg (=10 mg) </w:t>
            </w:r>
          </w:p>
        </w:tc>
      </w:tr>
      <w:tr w:rsidRPr="00C94E23" w:rsidR="00C94E23" w:rsidTr="2BD342B8" w14:paraId="6272BF37" w14:textId="77777777">
        <w:trPr>
          <w:trHeight w:val="300"/>
        </w:trPr>
        <w:tc>
          <w:tcPr>
            <w:tcW w:w="2628" w:type="dxa"/>
            <w:tcMar/>
          </w:tcPr>
          <w:p w:rsidRPr="00C94E23" w:rsidR="00C94E23" w:rsidP="00C94E23" w:rsidRDefault="00C94E23" w14:paraId="5C421756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Tabl Betametason </w:t>
            </w:r>
          </w:p>
          <w:p w:rsidRPr="00C94E23" w:rsidR="00C94E23" w:rsidP="00C94E23" w:rsidRDefault="00C94E23" w14:paraId="6E8636E0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(t.ex. Betapred)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2DF41A26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0,5 mg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089BF781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12 st tabl löses i vatten </w:t>
            </w:r>
          </w:p>
        </w:tc>
      </w:tr>
      <w:tr w:rsidRPr="00C94E23" w:rsidR="00C94E23" w:rsidTr="2BD342B8" w14:paraId="173850B2" w14:textId="77777777">
        <w:trPr>
          <w:trHeight w:val="300"/>
        </w:trPr>
        <w:tc>
          <w:tcPr>
            <w:tcW w:w="2628" w:type="dxa"/>
            <w:tcMar/>
          </w:tcPr>
          <w:p w:rsidRPr="00C94E23" w:rsidR="00C94E23" w:rsidP="00C94E23" w:rsidRDefault="00C94E23" w14:paraId="671E9963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Inj Betametason (t.ex. Betapred). </w:t>
            </w:r>
            <w:r w:rsidRPr="00C94E23">
              <w:rPr>
                <w:i/>
                <w:iCs/>
                <w:color w:val="000000"/>
                <w:sz w:val="23"/>
                <w:szCs w:val="23"/>
              </w:rPr>
              <w:t>Ges om tablett Betametason inte kan ges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1BEF6733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4 mg/ml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4A56C926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2 ml iv eller im </w:t>
            </w:r>
          </w:p>
          <w:p w:rsidRPr="00C94E23" w:rsidR="00C94E23" w:rsidP="00C94E23" w:rsidRDefault="00C94E23" w14:paraId="7E6F846D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Ytterligare doser kan ges vid utebliven effekt upp till 20 mg (totalt 5 ml) </w:t>
            </w:r>
          </w:p>
        </w:tc>
      </w:tr>
      <w:tr w:rsidRPr="00C94E23" w:rsidR="00C94E23" w:rsidTr="2BD342B8" w14:paraId="7833C035" w14:textId="77777777">
        <w:trPr>
          <w:trHeight w:val="368"/>
        </w:trPr>
        <w:tc>
          <w:tcPr>
            <w:tcW w:w="2628" w:type="dxa"/>
            <w:tcMar/>
          </w:tcPr>
          <w:p w:rsidRPr="00C94E23" w:rsidR="00C94E23" w:rsidP="00C94E23" w:rsidRDefault="00C94E23" w14:paraId="667C8352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Ringer-Acetat, infusionsvätska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51C6C5A4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- </w:t>
            </w:r>
          </w:p>
        </w:tc>
        <w:tc>
          <w:tcPr>
            <w:tcW w:w="2628" w:type="dxa"/>
            <w:tcMar/>
          </w:tcPr>
          <w:p w:rsidRPr="00C94E23" w:rsidR="00C94E23" w:rsidP="00C94E23" w:rsidRDefault="00C94E23" w14:paraId="51991126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C94E23">
              <w:rPr>
                <w:color w:val="000000"/>
                <w:sz w:val="23"/>
                <w:szCs w:val="23"/>
              </w:rPr>
              <w:t xml:space="preserve">Cirka 200 ml snabbt iv, vid utebliven effekt ges ytterligare cirka 500 ml eller mer enligt individuell ordination </w:t>
            </w:r>
          </w:p>
        </w:tc>
      </w:tr>
    </w:tbl>
    <w:p w:rsidRPr="00C94E23" w:rsidR="00C94E23" w:rsidP="00C94E23" w:rsidRDefault="00C94E23" w14:paraId="7461B68C" w14:textId="77777777">
      <w:pPr>
        <w:spacing w:after="200" w:line="280" w:lineRule="exact"/>
        <w:ind w:left="0" w:right="0"/>
      </w:pPr>
    </w:p>
    <w:p w:rsidR="00F20478" w:rsidP="00F20478" w:rsidRDefault="00F20478" w14:paraId="0CC40301" w14:textId="77777777">
      <w:pPr>
        <w:pStyle w:val="Rubrik2"/>
      </w:pPr>
    </w:p>
    <w:p w:rsidRPr="00C94E23" w:rsidR="00C94E23" w:rsidP="00F20478" w:rsidRDefault="00C94E23" w14:paraId="63A51E74" w14:textId="32449990">
      <w:pPr>
        <w:pStyle w:val="Rubrik2"/>
      </w:pPr>
      <w:r w:rsidRPr="00C94E23">
        <w:t>Referenser</w:t>
      </w:r>
    </w:p>
    <w:p w:rsidRPr="00C94E23" w:rsidR="00C94E23" w:rsidP="00F20478" w:rsidRDefault="00C94E23" w14:paraId="508E433F" w14:textId="77777777">
      <w:pPr>
        <w:rPr>
          <w:rFonts w:eastAsiaTheme="majorEastAsia"/>
        </w:rPr>
      </w:pPr>
      <w:r w:rsidRPr="00C94E23">
        <w:rPr>
          <w:rFonts w:eastAsiaTheme="majorEastAsia"/>
        </w:rPr>
        <w:t xml:space="preserve">REK-lista, kommunala akutläkemedelsförråd. Läkemedelskommittén i Västra Götalandsregionen </w:t>
      </w:r>
      <w:hyperlink w:history="1" w:anchor="/resource/Kommunala_akutlakemedelsforrad" r:id="rId12">
        <w:r w:rsidRPr="00C94E23">
          <w:rPr>
            <w:rFonts w:eastAsiaTheme="majorEastAsia"/>
            <w:color w:val="0000FF"/>
            <w:u w:val="single"/>
          </w:rPr>
          <w:t>https://reklistan.vgregion.se/#/resource/Kommunala_akutlakemedelsforrad</w:t>
        </w:r>
      </w:hyperlink>
    </w:p>
    <w:p w:rsidRPr="00C94E23" w:rsidR="00C94E23" w:rsidP="00F20478" w:rsidRDefault="00C94E23" w14:paraId="7CB6B26E" w14:textId="77777777">
      <w:pPr>
        <w:rPr>
          <w:rFonts w:ascii="Calibri" w:hAnsi="Calibri" w:cs="Calibri" w:eastAsiaTheme="majorEastAsia"/>
        </w:rPr>
      </w:pPr>
    </w:p>
    <w:p w:rsidRPr="00C94E23" w:rsidR="00C94E23" w:rsidP="00F20478" w:rsidRDefault="00C94E23" w14:paraId="07E83168" w14:textId="77777777">
      <w:pPr>
        <w:rPr>
          <w:rFonts w:eastAsiaTheme="majorEastAsia"/>
        </w:rPr>
      </w:pPr>
      <w:r w:rsidRPr="00C94E23">
        <w:rPr>
          <w:rFonts w:eastAsiaTheme="majorEastAsia"/>
        </w:rPr>
        <w:lastRenderedPageBreak/>
        <w:t>Region Skånes riktlinjer kring intravenösa antibiotika inom kommunal sjukvård.</w:t>
      </w:r>
    </w:p>
    <w:p w:rsidRPr="00C94E23" w:rsidR="00C94E23" w:rsidP="00F20478" w:rsidRDefault="00C94E23" w14:paraId="57E27152" w14:textId="77777777">
      <w:pPr>
        <w:rPr>
          <w:rFonts w:eastAsiaTheme="majorEastAsia"/>
        </w:rPr>
      </w:pPr>
      <w:r w:rsidR="00C94E23">
        <w:rPr/>
        <w:t xml:space="preserve">Strama Skåne </w:t>
      </w:r>
      <w:hyperlink r:id="Rfbe8667b9f7249b5">
        <w:r w:rsidRPr="2BD342B8" w:rsidR="00C94E23">
          <w:rPr>
            <w:color w:val="0000FF"/>
            <w:u w:val="single"/>
          </w:rPr>
          <w:t>riktlinjer-for-intravenos-antibiotikabehandling-i-nara-vard.pdf (skane.se)</w:t>
        </w:r>
      </w:hyperlink>
    </w:p>
    <w:p w:rsidR="00FC0C05" w:rsidP="2BD342B8" w:rsidRDefault="00FC0C05" w14:paraId="040C242B" w14:textId="34EE840F">
      <w:p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BD342B8" w:rsidR="5449C3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SFFA Nationellt vårdprogram </w:t>
      </w:r>
      <w:r w:rsidRPr="2BD342B8" w:rsidR="5449C3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anafylaxi</w:t>
      </w:r>
      <w:r w:rsidRPr="2BD342B8" w:rsidR="5449C3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2024 </w:t>
      </w:r>
      <w:hyperlink r:id="R04a0edaabc184a75">
        <w:r w:rsidRPr="2BD342B8" w:rsidR="5449C3F3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Anafylaxi i fickformat 240827.docx</w:t>
        </w:r>
      </w:hyperlink>
    </w:p>
    <w:p w:rsidR="2BD342B8" w:rsidP="2BD342B8" w:rsidRDefault="2BD342B8" w14:paraId="6BC082F7" w14:textId="4BE56302">
      <w:p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9A32ED" w:rsidP="00FC0C05" w:rsidRDefault="009A32ED" w14:paraId="11BC1DCA" w14:textId="10AC6E1B">
      <w:pPr>
        <w:pStyle w:val="Rubrik2"/>
        <w:ind w:right="-143"/>
      </w:pPr>
    </w:p>
    <w:sectPr w:rsidR="009A32ED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81E3319"/>
    <w:multiLevelType w:val="hybridMultilevel"/>
    <w:tmpl w:val="E1C0158E"/>
    <w:lvl w:ilvl="0" w:tplc="041D0001">
      <w:start w:val="1"/>
      <w:numFmt w:val="bullet"/>
      <w:lvlText w:val=""/>
      <w:lvlJc w:val="left"/>
      <w:pPr>
        <w:ind w:left="643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1E8242A"/>
    <w:multiLevelType w:val="hybridMultilevel"/>
    <w:tmpl w:val="4E2656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BE25065"/>
    <w:multiLevelType w:val="hybridMultilevel"/>
    <w:tmpl w:val="E5AC799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62694985">
    <w:abstractNumId w:val="20"/>
  </w:num>
  <w:num w:numId="2" w16cid:durableId="931427332">
    <w:abstractNumId w:val="15"/>
  </w:num>
  <w:num w:numId="3" w16cid:durableId="1555121276">
    <w:abstractNumId w:val="0"/>
  </w:num>
  <w:num w:numId="4" w16cid:durableId="555702336">
    <w:abstractNumId w:val="6"/>
  </w:num>
  <w:num w:numId="5" w16cid:durableId="1433866327">
    <w:abstractNumId w:val="16"/>
  </w:num>
  <w:num w:numId="6" w16cid:durableId="92937825">
    <w:abstractNumId w:val="2"/>
  </w:num>
  <w:num w:numId="7" w16cid:durableId="270557116">
    <w:abstractNumId w:val="12"/>
  </w:num>
  <w:num w:numId="8" w16cid:durableId="1742487265">
    <w:abstractNumId w:val="9"/>
  </w:num>
  <w:num w:numId="9" w16cid:durableId="845364314">
    <w:abstractNumId w:val="1"/>
  </w:num>
  <w:num w:numId="10" w16cid:durableId="1568761976">
    <w:abstractNumId w:val="1"/>
  </w:num>
  <w:num w:numId="11" w16cid:durableId="2087535612">
    <w:abstractNumId w:val="3"/>
  </w:num>
  <w:num w:numId="12" w16cid:durableId="2007054894">
    <w:abstractNumId w:val="4"/>
  </w:num>
  <w:num w:numId="13" w16cid:durableId="294533943">
    <w:abstractNumId w:val="14"/>
  </w:num>
  <w:num w:numId="14" w16cid:durableId="1971085995">
    <w:abstractNumId w:val="10"/>
  </w:num>
  <w:num w:numId="15" w16cid:durableId="83767264">
    <w:abstractNumId w:val="7"/>
  </w:num>
  <w:num w:numId="16" w16cid:durableId="1372223082">
    <w:abstractNumId w:val="13"/>
  </w:num>
  <w:num w:numId="17" w16cid:durableId="194194668">
    <w:abstractNumId w:val="5"/>
  </w:num>
  <w:num w:numId="18" w16cid:durableId="1536575626">
    <w:abstractNumId w:val="11"/>
  </w:num>
  <w:num w:numId="19" w16cid:durableId="1671833344">
    <w:abstractNumId w:val="19"/>
  </w:num>
  <w:num w:numId="20" w16cid:durableId="78524144">
    <w:abstractNumId w:val="18"/>
  </w:num>
  <w:num w:numId="21" w16cid:durableId="1727794726">
    <w:abstractNumId w:val="8"/>
  </w:num>
  <w:num w:numId="22" w16cid:durableId="1025793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57D17"/>
    <w:rsid w:val="008654B6"/>
    <w:rsid w:val="0087139C"/>
    <w:rsid w:val="00873419"/>
    <w:rsid w:val="00880E83"/>
    <w:rsid w:val="0088718D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6B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5180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CE7"/>
    <w:rsid w:val="00C70E19"/>
    <w:rsid w:val="00C72574"/>
    <w:rsid w:val="00C7430C"/>
    <w:rsid w:val="00C85DA1"/>
    <w:rsid w:val="00C9071C"/>
    <w:rsid w:val="00C908FF"/>
    <w:rsid w:val="00C94E2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01D"/>
    <w:rsid w:val="00ED49C3"/>
    <w:rsid w:val="00ED6CE8"/>
    <w:rsid w:val="00ED7AA6"/>
    <w:rsid w:val="00EE2A56"/>
    <w:rsid w:val="00EE3818"/>
    <w:rsid w:val="00F2047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C05"/>
    <w:rsid w:val="00FC4F36"/>
    <w:rsid w:val="00FD3C70"/>
    <w:rsid w:val="00FD6820"/>
    <w:rsid w:val="00FE12D8"/>
    <w:rsid w:val="00FF7C02"/>
    <w:rsid w:val="024801E3"/>
    <w:rsid w:val="0358B590"/>
    <w:rsid w:val="09893114"/>
    <w:rsid w:val="1500A7BA"/>
    <w:rsid w:val="1C8D0A96"/>
    <w:rsid w:val="2B5F66A2"/>
    <w:rsid w:val="2BD342B8"/>
    <w:rsid w:val="53EA25C3"/>
    <w:rsid w:val="5449C3F3"/>
    <w:rsid w:val="56A9A361"/>
    <w:rsid w:val="61480C40"/>
    <w:rsid w:val="647B2B65"/>
    <w:rsid w:val="6B2CF8ED"/>
    <w:rsid w:val="7AF17BF6"/>
    <w:rsid w:val="7C603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resstextVGR" w:customStyle="1">
    <w:name w:val="Ingresstext VGR"/>
    <w:next w:val="Normal"/>
    <w:uiPriority w:val="2"/>
    <w:qFormat/>
    <w:rsid w:val="00FC0C05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reklistan.vgregion.se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vardgivare.skane.se/siteassets/3.-kompetens-och-utveckling/sakkunniggrupper/strama-skane/riktlinjer-for-intravenos-antibiotikabehandling-i-nara-vard.pdf" TargetMode="External" Id="Rfbe8667b9f7249b5" /><Relationship Type="http://schemas.openxmlformats.org/officeDocument/2006/relationships/hyperlink" Target="https://www.sffa.se/wp-content/uploads/2024/10/2024-10-04-Anafylaxi-i-fickformat.pdf" TargetMode="External" Id="R04a0edaabc184a7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Intravenöst antibiotika i hemmet - Alingsås</dc:title>
  <dc:subject/>
  <dc:creator/>
  <keywords/>
  <lastModifiedBy>Peter Moström</lastModifiedBy>
  <revision>25</revision>
  <lastPrinted>2016-03-31T10:56:00.0000000Z</lastPrinted>
  <dcterms:created xsi:type="dcterms:W3CDTF">2021-05-27T09:47:00.0000000Z</dcterms:created>
  <dcterms:modified xsi:type="dcterms:W3CDTF">2025-06-02T12:53:55.0000000Z</dcterms:modified>
</coreProperties>
</file>