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2148370" w14:textId="334CBB99" w:rsidR="00865CD8" w:rsidRPr="00865CD8" w:rsidRDefault="006D5D25" w:rsidP="00AC3CDE">
      <w:pPr>
        <w:pStyle w:val="Rubrik1"/>
        <w:sectPr w:rsidR="00865CD8" w:rsidRPr="00865CD8" w:rsidSect="003E7A4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r>
        <w:t>Demensutredning</w:t>
      </w:r>
      <w:r w:rsidR="00CF46F0">
        <w:t xml:space="preserve"> Kungälvs sjukhus</w:t>
      </w:r>
    </w:p>
    <w:p w14:paraId="68030B5E" w14:textId="77777777" w:rsidR="003E7A40" w:rsidRPr="003E7A40" w:rsidRDefault="003E7A40" w:rsidP="003E7A40">
      <w:pPr>
        <w:spacing w:after="0" w:line="240" w:lineRule="auto"/>
        <w:ind w:left="0" w:right="0"/>
      </w:pPr>
    </w:p>
    <w:p w14:paraId="57D81161" w14:textId="77777777" w:rsidR="003E7A40" w:rsidRPr="003E7A40" w:rsidRDefault="003E7A40" w:rsidP="00626380">
      <w:pPr>
        <w:pStyle w:val="Rubrik2"/>
      </w:pPr>
      <w:r w:rsidRPr="003E7A40">
        <w:t>Syfte</w:t>
      </w:r>
    </w:p>
    <w:p w14:paraId="171FAD3A" w14:textId="77777777" w:rsidR="003E7A40" w:rsidRPr="003E7A40" w:rsidRDefault="003E7A40" w:rsidP="00626380">
      <w:r w:rsidRPr="003E7A40">
        <w:t xml:space="preserve">Rutinen syftar till att fungera som stöd i utredning av demens på specialistklinik. Det ska också fungera som stöd vid genomgång av inkommande remisser till sjukhusets minnesmottagning.  </w:t>
      </w:r>
    </w:p>
    <w:p w14:paraId="35454EA1" w14:textId="77777777" w:rsidR="003E7A40" w:rsidRPr="003E7A40" w:rsidRDefault="003E7A40" w:rsidP="00626380">
      <w:pPr>
        <w:pStyle w:val="Rubrik2"/>
      </w:pPr>
      <w:r w:rsidRPr="003E7A40">
        <w:t xml:space="preserve">Bakgrund </w:t>
      </w:r>
    </w:p>
    <w:p w14:paraId="3EE6580C" w14:textId="77777777" w:rsidR="003E7A40" w:rsidRPr="003E7A40" w:rsidRDefault="003E7A40" w:rsidP="00626380">
      <w:r w:rsidRPr="003E7A40">
        <w:t>Demens är ett samlingsbegrepp för olika sjukdomar där hjärnans högre funktioner sviktar och leder till ökade svårigheter att klara ett självständigt liv. Sjukdomen leder på sikt till döden. Enligt siffror från gällande RMR i VGR har uppskattningsvis 26 000 personer i Västra Götaland en demenssjukdom och ca 4000 personer insjuknar årligen. Risken att insjukna stiger med ökande ålder och man kan därför förvänta sig en ökning i takt med att befolkningen blir äldre.</w:t>
      </w:r>
    </w:p>
    <w:p w14:paraId="25CC8ADE" w14:textId="77777777" w:rsidR="003E7A40" w:rsidRPr="003E7A40" w:rsidRDefault="003E7A40" w:rsidP="00626380"/>
    <w:p w14:paraId="785EB21F" w14:textId="1A58ECF5" w:rsidR="003E7A40" w:rsidRPr="00C91377" w:rsidRDefault="003E7A40" w:rsidP="00C91377">
      <w:r w:rsidRPr="003E7A40">
        <w:t>Man skiljer på basal demensutredning och utvidgad demensutredning vilket förtydligas i detta dokument. Enligt gällande riktlinjer ansvarar primärvården för basal demensutredning och ledtiden som är satt i regionen för detta är 6 veckor (från första sjukvårdskontakt till färdig basal demensutredning). Utvidgad demensutredning sker på specialistklinik och bör vara färdig inom 3 månader.</w:t>
      </w:r>
    </w:p>
    <w:p w14:paraId="49CEEE49" w14:textId="4A77E548" w:rsidR="003E7A40" w:rsidRPr="00F7493E" w:rsidRDefault="003E7A40" w:rsidP="00F7493E">
      <w:pPr>
        <w:pStyle w:val="Rubrik3"/>
      </w:pPr>
      <w:r w:rsidRPr="003E7A40">
        <w:t>Arbetsbeskrivning</w:t>
      </w:r>
    </w:p>
    <w:p w14:paraId="2298301A" w14:textId="77777777" w:rsidR="003E7A40" w:rsidRPr="003E7A40" w:rsidRDefault="003E7A40" w:rsidP="00B968E1">
      <w:pPr>
        <w:pStyle w:val="MellanrubrikVGR"/>
      </w:pPr>
      <w:r w:rsidRPr="003E7A40">
        <w:t>Basal demensutredning</w:t>
      </w:r>
    </w:p>
    <w:p w14:paraId="437A1728" w14:textId="77777777" w:rsidR="003E7A40" w:rsidRPr="003E7A40" w:rsidRDefault="003E7A40" w:rsidP="00B968E1">
      <w:r w:rsidRPr="003E7A40">
        <w:t xml:space="preserve">Basal demensutredning syftar till att fastställa om kognitiv svikt föreligger och om denna beror på demenssjukdom eller annan sjukdom (observera flertal behandlingsbara sjukdomar med sekundär kognitiv svikt). Den syftar också till att fastställa vilka personer som är i behov av utvidgad utredning på specialistklinik. </w:t>
      </w:r>
    </w:p>
    <w:p w14:paraId="3DD73ED6" w14:textId="77777777" w:rsidR="003E7A40" w:rsidRPr="003E7A40" w:rsidRDefault="003E7A40" w:rsidP="003E7A40">
      <w:pPr>
        <w:spacing w:after="0" w:line="240" w:lineRule="auto"/>
        <w:ind w:left="0" w:right="0"/>
      </w:pPr>
    </w:p>
    <w:p w14:paraId="05926167" w14:textId="77777777" w:rsidR="003E7A40" w:rsidRPr="003E7A40" w:rsidRDefault="003E7A40" w:rsidP="00B968E1">
      <w:r w:rsidRPr="003E7A40">
        <w:lastRenderedPageBreak/>
        <w:t>I korthet ingår följande i basal demensutredning:</w:t>
      </w:r>
    </w:p>
    <w:p w14:paraId="5BAF4EBC" w14:textId="77777777" w:rsidR="003E7A40" w:rsidRPr="003E7A40" w:rsidRDefault="003E7A40" w:rsidP="00030C4F">
      <w:pPr>
        <w:pStyle w:val="Punktlista"/>
      </w:pPr>
      <w:r w:rsidRPr="003E7A40">
        <w:t>Anamnes, information från patient och anhöriga/närstående. Här ingår även bedömning av funktions- och aktivitetsförmåga.</w:t>
      </w:r>
    </w:p>
    <w:p w14:paraId="6F6C637A" w14:textId="77777777" w:rsidR="003E7A40" w:rsidRPr="003E7A40" w:rsidRDefault="003E7A40" w:rsidP="00030C4F">
      <w:pPr>
        <w:pStyle w:val="Punktlista"/>
      </w:pPr>
      <w:r w:rsidRPr="003E7A40">
        <w:t>Bedömning av alkoholkonsumtion med AUDIT och vid behov alkoholmarkörer i blod.</w:t>
      </w:r>
    </w:p>
    <w:p w14:paraId="2C312FB7" w14:textId="77777777" w:rsidR="003E7A40" w:rsidRPr="003E7A40" w:rsidRDefault="003E7A40" w:rsidP="00030C4F">
      <w:pPr>
        <w:pStyle w:val="Punktlista"/>
      </w:pPr>
      <w:r w:rsidRPr="003E7A40">
        <w:t>Fullständigt somatiskt status.</w:t>
      </w:r>
    </w:p>
    <w:p w14:paraId="760044A3" w14:textId="77777777" w:rsidR="003E7A40" w:rsidRPr="003E7A40" w:rsidRDefault="003E7A40" w:rsidP="00030C4F">
      <w:pPr>
        <w:pStyle w:val="Punktlista"/>
      </w:pPr>
      <w:r w:rsidRPr="003E7A40">
        <w:t>Psykiskt status.</w:t>
      </w:r>
    </w:p>
    <w:p w14:paraId="03561429" w14:textId="77777777" w:rsidR="003E7A40" w:rsidRPr="003E7A40" w:rsidRDefault="003E7A40" w:rsidP="00030C4F">
      <w:pPr>
        <w:pStyle w:val="Punktlista"/>
      </w:pPr>
      <w:r w:rsidRPr="003E7A40">
        <w:t xml:space="preserve">Kognitivt status där minimumkrav bör vara MMSE-SR och </w:t>
      </w:r>
      <w:proofErr w:type="spellStart"/>
      <w:r w:rsidRPr="003E7A40">
        <w:t>klocktest</w:t>
      </w:r>
      <w:proofErr w:type="spellEnd"/>
      <w:r w:rsidRPr="003E7A40">
        <w:t>. RUDAS vid annan kulturell bakgrund, icke-svensktalande eller kort skolgång.</w:t>
      </w:r>
    </w:p>
    <w:p w14:paraId="18500E96" w14:textId="77777777" w:rsidR="003E7A40" w:rsidRPr="003E7A40" w:rsidRDefault="003E7A40" w:rsidP="00030C4F">
      <w:pPr>
        <w:pStyle w:val="Punktlista"/>
      </w:pPr>
      <w:r w:rsidRPr="003E7A40">
        <w:t xml:space="preserve">Blodprover: Hb, SR, glukos, Na, K, </w:t>
      </w:r>
      <w:proofErr w:type="spellStart"/>
      <w:r w:rsidRPr="003E7A40">
        <w:t>kreatinin</w:t>
      </w:r>
      <w:proofErr w:type="spellEnd"/>
      <w:r w:rsidRPr="003E7A40">
        <w:t xml:space="preserve">, Ca, </w:t>
      </w:r>
      <w:proofErr w:type="spellStart"/>
      <w:r w:rsidRPr="003E7A40">
        <w:t>thyroideastatus</w:t>
      </w:r>
      <w:proofErr w:type="spellEnd"/>
      <w:r w:rsidRPr="003E7A40">
        <w:t>, B12/</w:t>
      </w:r>
      <w:proofErr w:type="spellStart"/>
      <w:r w:rsidRPr="003E7A40">
        <w:t>Folat</w:t>
      </w:r>
      <w:proofErr w:type="spellEnd"/>
      <w:r w:rsidRPr="003E7A40">
        <w:t xml:space="preserve"> (alt </w:t>
      </w:r>
      <w:proofErr w:type="spellStart"/>
      <w:r w:rsidRPr="003E7A40">
        <w:t>Homocystein</w:t>
      </w:r>
      <w:proofErr w:type="spellEnd"/>
      <w:r w:rsidRPr="003E7A40">
        <w:t>).</w:t>
      </w:r>
    </w:p>
    <w:p w14:paraId="524C51FB" w14:textId="77777777" w:rsidR="003E7A40" w:rsidRPr="003E7A40" w:rsidRDefault="003E7A40" w:rsidP="00030C4F">
      <w:pPr>
        <w:pStyle w:val="Punktlista"/>
      </w:pPr>
      <w:r w:rsidRPr="003E7A40">
        <w:t>EKG</w:t>
      </w:r>
    </w:p>
    <w:p w14:paraId="5D5B5C25" w14:textId="15D20690" w:rsidR="003E7A40" w:rsidRPr="003E7A40" w:rsidRDefault="003E7A40" w:rsidP="00F7493E">
      <w:pPr>
        <w:pStyle w:val="Punktlista"/>
      </w:pPr>
      <w:r w:rsidRPr="003E7A40">
        <w:t xml:space="preserve">Strukturell hjärnavbildning, </w:t>
      </w:r>
      <w:proofErr w:type="gramStart"/>
      <w:r w:rsidRPr="003E7A40">
        <w:t>datortomografi alt</w:t>
      </w:r>
      <w:proofErr w:type="gramEnd"/>
      <w:r w:rsidRPr="003E7A40">
        <w:t xml:space="preserve"> magnetkameraundersökning.</w:t>
      </w:r>
    </w:p>
    <w:p w14:paraId="047F885A" w14:textId="5CAFB6D4" w:rsidR="003E7A40" w:rsidRDefault="003E7A40" w:rsidP="00F7493E">
      <w:r w:rsidRPr="00030C4F">
        <w:t>Det ska poängteras att basal demensutredning i de flesta fall är mer än tillräckligt för att ställa diagnos och initiera behandling. Specialistmottagning konsulteras när ovanstående är gjort och inte gett tillräckligt med underlag för att ställa diagnos</w:t>
      </w:r>
      <w:r w:rsidRPr="003E7A40">
        <w:t>.</w:t>
      </w:r>
    </w:p>
    <w:p w14:paraId="2E62E779" w14:textId="77777777" w:rsidR="009F3A81" w:rsidRPr="003E7A40" w:rsidRDefault="009F3A81" w:rsidP="00F7493E"/>
    <w:p w14:paraId="2B9E995F" w14:textId="77777777" w:rsidR="003E7A40" w:rsidRPr="003E7A40" w:rsidRDefault="003E7A40" w:rsidP="009F3A81">
      <w:pPr>
        <w:pStyle w:val="MellanrubrikVGR"/>
      </w:pPr>
      <w:r w:rsidRPr="003E7A40">
        <w:t>Utvidgad demensutredning:</w:t>
      </w:r>
    </w:p>
    <w:p w14:paraId="7E6E9F95" w14:textId="77777777" w:rsidR="003E7A40" w:rsidRPr="003E7A40" w:rsidRDefault="003E7A40" w:rsidP="009F3A81">
      <w:pPr>
        <w:rPr>
          <w:color w:val="FF0000"/>
        </w:rPr>
      </w:pPr>
      <w:r w:rsidRPr="003E7A40">
        <w:t>Besök på minnesmottagning syftar alltså till att bredda diagnostiken. Man bör redan vid remissgenomgång till minnesmottagning säkerställa att en fullständig basal demensutredning är utförd. Vid avsaknad av moment enligt ovan bör man i första hand be om komplettering via primärvården/</w:t>
      </w:r>
      <w:proofErr w:type="spellStart"/>
      <w:r w:rsidRPr="003E7A40">
        <w:t>inremitterande</w:t>
      </w:r>
      <w:proofErr w:type="spellEnd"/>
      <w:r w:rsidRPr="003E7A40">
        <w:t xml:space="preserve">. Särskild vikt läggs vid att man har uteslutit annan genes till kognitiv svikt som kan vara behandlingsbar. </w:t>
      </w:r>
      <w:r w:rsidRPr="003E7A40">
        <w:rPr>
          <w:color w:val="000000"/>
        </w:rPr>
        <w:t xml:space="preserve">Exempel på sådana sjukdomar kan vara alkoholberoendesyndrom, svår depression, </w:t>
      </w:r>
      <w:proofErr w:type="spellStart"/>
      <w:r w:rsidRPr="003E7A40">
        <w:rPr>
          <w:color w:val="000000"/>
        </w:rPr>
        <w:t>thyroideastörning</w:t>
      </w:r>
      <w:proofErr w:type="spellEnd"/>
      <w:r w:rsidRPr="003E7A40">
        <w:rPr>
          <w:color w:val="000000"/>
        </w:rPr>
        <w:t xml:space="preserve">, B12-brist, hjärntumör, </w:t>
      </w:r>
      <w:proofErr w:type="spellStart"/>
      <w:r w:rsidRPr="003E7A40">
        <w:rPr>
          <w:color w:val="000000"/>
        </w:rPr>
        <w:t>subduralhematom</w:t>
      </w:r>
      <w:proofErr w:type="spellEnd"/>
      <w:r w:rsidRPr="003E7A40">
        <w:rPr>
          <w:color w:val="000000"/>
        </w:rPr>
        <w:t xml:space="preserve"> och </w:t>
      </w:r>
      <w:proofErr w:type="spellStart"/>
      <w:r w:rsidRPr="003E7A40">
        <w:rPr>
          <w:color w:val="000000"/>
        </w:rPr>
        <w:t>normaltryckshydrocephalus</w:t>
      </w:r>
      <w:proofErr w:type="spellEnd"/>
      <w:r w:rsidRPr="003E7A40">
        <w:rPr>
          <w:color w:val="000000"/>
        </w:rPr>
        <w:t>.</w:t>
      </w:r>
    </w:p>
    <w:p w14:paraId="74ED21AB" w14:textId="77777777" w:rsidR="003E7A40" w:rsidRPr="003E7A40" w:rsidRDefault="003E7A40" w:rsidP="003E7A40">
      <w:pPr>
        <w:spacing w:after="0" w:line="240" w:lineRule="auto"/>
        <w:ind w:left="0" w:right="0"/>
      </w:pPr>
    </w:p>
    <w:p w14:paraId="483197C7" w14:textId="77777777" w:rsidR="003E7A40" w:rsidRPr="003E7A40" w:rsidRDefault="003E7A40" w:rsidP="009F3A81">
      <w:r w:rsidRPr="003E7A40">
        <w:t>Vid besök på minnesmottagning bör man gå igenom den basala demensutredningen och värdera utredningsresultat. Därefter tas ställning till följande:</w:t>
      </w:r>
    </w:p>
    <w:p w14:paraId="31989478" w14:textId="77777777" w:rsidR="003E7A40" w:rsidRPr="003E7A40" w:rsidRDefault="003E7A40" w:rsidP="009F3A81">
      <w:pPr>
        <w:pStyle w:val="Punktlista"/>
      </w:pPr>
      <w:r w:rsidRPr="003E7A40">
        <w:t>Förnyad anamnes, somatiskt och psykiskt status vid det första besöket.</w:t>
      </w:r>
    </w:p>
    <w:p w14:paraId="45849E01" w14:textId="77777777" w:rsidR="003E7A40" w:rsidRPr="003E7A40" w:rsidRDefault="003E7A40" w:rsidP="009F3A81">
      <w:pPr>
        <w:pStyle w:val="Punktlista"/>
      </w:pPr>
      <w:r w:rsidRPr="003E7A40">
        <w:t xml:space="preserve">Lumbalpunktion med </w:t>
      </w:r>
      <w:proofErr w:type="spellStart"/>
      <w:r w:rsidRPr="003E7A40">
        <w:t>likvoranalys</w:t>
      </w:r>
      <w:proofErr w:type="spellEnd"/>
      <w:r w:rsidRPr="003E7A40">
        <w:t>. Se bilaga för förslag på analyser.</w:t>
      </w:r>
    </w:p>
    <w:p w14:paraId="0BAE611C" w14:textId="77777777" w:rsidR="003E7A40" w:rsidRPr="003E7A40" w:rsidRDefault="003E7A40" w:rsidP="009F3A81">
      <w:pPr>
        <w:pStyle w:val="Punktlista"/>
      </w:pPr>
      <w:r w:rsidRPr="003E7A40">
        <w:lastRenderedPageBreak/>
        <w:t>Eventuellt kompletterande bedömning hos neuropsykolog på sjukhuset. Man har där möjlighet att utföra tester som täcker fler kognitiva domäner. Observera också att man härigenom kan upptäcka kognitiva störningar i ett tidigt skede när den globala kognitionen inte ännu är starkt påverkad.</w:t>
      </w:r>
    </w:p>
    <w:p w14:paraId="3BD0335B" w14:textId="77777777" w:rsidR="003E7A40" w:rsidRPr="003E7A40" w:rsidRDefault="003E7A40" w:rsidP="009F3A81">
      <w:pPr>
        <w:pStyle w:val="Punktlista"/>
        <w:rPr>
          <w:color w:val="000000"/>
        </w:rPr>
      </w:pPr>
      <w:r w:rsidRPr="003E7A40">
        <w:rPr>
          <w:color w:val="000000"/>
        </w:rPr>
        <w:t xml:space="preserve">Värdera utförd radiologi. Vid enstaka fall kan det finnas värde att utföra magnetkameraundersökning även om datortomografi varit </w:t>
      </w:r>
      <w:proofErr w:type="spellStart"/>
      <w:r w:rsidRPr="003E7A40">
        <w:rPr>
          <w:color w:val="000000"/>
        </w:rPr>
        <w:t>ua</w:t>
      </w:r>
      <w:proofErr w:type="spellEnd"/>
      <w:r w:rsidRPr="003E7A40">
        <w:rPr>
          <w:color w:val="000000"/>
        </w:rPr>
        <w:t>. Se bilaga för specifika undersökningsfynd man ska värdera.</w:t>
      </w:r>
    </w:p>
    <w:p w14:paraId="3D4F0F23" w14:textId="77777777" w:rsidR="003E7A40" w:rsidRPr="003E7A40" w:rsidRDefault="003E7A40" w:rsidP="009F3A81">
      <w:pPr>
        <w:pStyle w:val="Punktlista"/>
        <w:rPr>
          <w:color w:val="000000"/>
        </w:rPr>
      </w:pPr>
      <w:r w:rsidRPr="003E7A40">
        <w:rPr>
          <w:color w:val="000000"/>
        </w:rPr>
        <w:t>Vid enstaka utvalda fall utförs SPECT (DAT-</w:t>
      </w:r>
      <w:proofErr w:type="spellStart"/>
      <w:r w:rsidRPr="003E7A40">
        <w:rPr>
          <w:color w:val="000000"/>
        </w:rPr>
        <w:t>scan</w:t>
      </w:r>
      <w:proofErr w:type="spellEnd"/>
      <w:r w:rsidRPr="003E7A40">
        <w:rPr>
          <w:color w:val="000000"/>
        </w:rPr>
        <w:t>). Detta kan ha ett värde vid oklara fall med nedsatt kognition i kombination med motorikstörning (differentiering mellan Lewy Body demens och Alzheimers).</w:t>
      </w:r>
    </w:p>
    <w:p w14:paraId="1D048CD5" w14:textId="77777777" w:rsidR="003E7A40" w:rsidRPr="003E7A40" w:rsidRDefault="003E7A40" w:rsidP="009F3A81">
      <w:pPr>
        <w:pStyle w:val="Punktlista"/>
        <w:rPr>
          <w:color w:val="000000"/>
        </w:rPr>
      </w:pPr>
      <w:r w:rsidRPr="003E7A40">
        <w:rPr>
          <w:color w:val="000000"/>
        </w:rPr>
        <w:t xml:space="preserve">Vid enstaka utvalda fall kan även funktionell FDG-PET övervägas. Det finns underlag för stöd i diagnostik av Alzheimers och </w:t>
      </w:r>
      <w:proofErr w:type="spellStart"/>
      <w:r w:rsidRPr="003E7A40">
        <w:rPr>
          <w:color w:val="000000"/>
        </w:rPr>
        <w:t>frontotemporal</w:t>
      </w:r>
      <w:proofErr w:type="spellEnd"/>
      <w:r w:rsidRPr="003E7A40">
        <w:rPr>
          <w:color w:val="000000"/>
        </w:rPr>
        <w:t xml:space="preserve"> demens (och särskilt differentiering dem emellan).</w:t>
      </w:r>
    </w:p>
    <w:p w14:paraId="529B760F" w14:textId="77777777" w:rsidR="003E7A40" w:rsidRPr="003E7A40" w:rsidRDefault="003E7A40" w:rsidP="009F3A81">
      <w:pPr>
        <w:pStyle w:val="Punktlista"/>
      </w:pPr>
      <w:r w:rsidRPr="003E7A40">
        <w:t>Vid svåra fall, särskilt hos yngre personer bör man även vara frikostig med att remittera patienten till minnesmottagning Mölndals Sjukhus för second opinion om det finns oklarheter.</w:t>
      </w:r>
    </w:p>
    <w:p w14:paraId="310CFD82" w14:textId="77777777" w:rsidR="003E7A40" w:rsidRPr="003E7A40" w:rsidRDefault="003E7A40" w:rsidP="003E7A40">
      <w:pPr>
        <w:spacing w:after="0" w:line="240" w:lineRule="auto"/>
        <w:ind w:left="0" w:right="0"/>
      </w:pPr>
    </w:p>
    <w:p w14:paraId="1E9EACE7" w14:textId="2CA7CDA0" w:rsidR="003E7A40" w:rsidRPr="003E7A40" w:rsidRDefault="003E7A40" w:rsidP="009F3A81">
      <w:r w:rsidRPr="003E7A40">
        <w:t xml:space="preserve">Man får sedan samla ihop all den utredning som gjorts och försöka få en samlad bild av patient, sjukdom och förlopp. Gränserna mellan de olika formerna av demens är inte knivskarpa och vid svåra fall kan det finnas ett värde att diskutera patienten i kollegiet. Man får därefter kalla patient och anhörig för ett besök där man går igenom utredningsresultat samt bedömning. Därefter läggs en plan upp för behandling och uppföljning (om detta inte redan är gjort tidigare). </w:t>
      </w:r>
    </w:p>
    <w:p w14:paraId="3A2DD542" w14:textId="77777777" w:rsidR="00A07E37" w:rsidRDefault="00A07E37" w:rsidP="003E7A40">
      <w:pPr>
        <w:spacing w:after="0" w:line="240" w:lineRule="auto"/>
        <w:ind w:left="0" w:right="0"/>
        <w:rPr>
          <w:i/>
        </w:rPr>
      </w:pPr>
    </w:p>
    <w:p w14:paraId="3F83C313" w14:textId="3CDF8F83" w:rsidR="00A07E37" w:rsidRPr="0013339D" w:rsidRDefault="003E7A40" w:rsidP="0013339D">
      <w:pPr>
        <w:rPr>
          <w:i/>
          <w:iCs/>
        </w:rPr>
      </w:pPr>
      <w:r w:rsidRPr="0013339D">
        <w:rPr>
          <w:i/>
          <w:iCs/>
        </w:rPr>
        <w:t>Kommentar kring ovanstående utredningsalternativ.</w:t>
      </w:r>
    </w:p>
    <w:p w14:paraId="236AEDC0" w14:textId="7CA413BF" w:rsidR="003E7A40" w:rsidRDefault="003E7A40" w:rsidP="0013339D">
      <w:pPr>
        <w:rPr>
          <w:i/>
          <w:iCs/>
        </w:rPr>
      </w:pPr>
      <w:r w:rsidRPr="0013339D">
        <w:rPr>
          <w:i/>
          <w:iCs/>
        </w:rPr>
        <w:t xml:space="preserve">Målet med utredning på specialistklinik bör vara att komma så nära en slutgiltig diagnos som möjligt. Man bör utföra de moment man anser sig behöva för att ställa diagnos och detta bör ställas i relation till den övriga kliniska situationen. Man får också ha i åtanke att den behandling vi har att erbjuda i första hand är symtomlindrande. </w:t>
      </w:r>
    </w:p>
    <w:p w14:paraId="52BD942F" w14:textId="77777777" w:rsidR="00C15673" w:rsidRPr="0013339D" w:rsidRDefault="00C15673" w:rsidP="0013339D">
      <w:pPr>
        <w:rPr>
          <w:i/>
          <w:iCs/>
        </w:rPr>
      </w:pPr>
    </w:p>
    <w:p w14:paraId="582F9B4A" w14:textId="77777777" w:rsidR="003E7A40" w:rsidRPr="003E7A40" w:rsidRDefault="003E7A40" w:rsidP="00C15673">
      <w:pPr>
        <w:pStyle w:val="MellanrubrikVGR"/>
      </w:pPr>
      <w:r w:rsidRPr="003E7A40">
        <w:t>Behandling</w:t>
      </w:r>
    </w:p>
    <w:p w14:paraId="06384F46" w14:textId="6DC0EA07" w:rsidR="003E7A40" w:rsidRPr="003E7A40" w:rsidRDefault="003E7A40" w:rsidP="00C15673">
      <w:r w:rsidRPr="003E7A40">
        <w:t>Fokus för all form av behandling är att lindra symtom och kompensera för rådande funktionsnedsättningar. Råd och information kring farmakologisk behandling återfinns i Regional Medicinsk Riktlinje – Läkemedel Demens. Länk finns nedan.</w:t>
      </w:r>
    </w:p>
    <w:p w14:paraId="3945D1B3" w14:textId="77777777" w:rsidR="003E7A40" w:rsidRPr="003E7A40" w:rsidRDefault="003E7A40" w:rsidP="00C15673">
      <w:pPr>
        <w:pStyle w:val="MellanrubrikVGR"/>
      </w:pPr>
      <w:r w:rsidRPr="003E7A40">
        <w:lastRenderedPageBreak/>
        <w:t>Sjukskrivning</w:t>
      </w:r>
    </w:p>
    <w:p w14:paraId="468A8C61" w14:textId="77777777" w:rsidR="003E7A40" w:rsidRPr="003E7A40" w:rsidRDefault="003E7A40" w:rsidP="00C15673">
      <w:r w:rsidRPr="003E7A40">
        <w:t xml:space="preserve">Det finns inga tydliga riktlinjer gällande sjukskrivning för patienter under 65 år med demens. </w:t>
      </w:r>
    </w:p>
    <w:p w14:paraId="255FCDDC" w14:textId="7237CE2D" w:rsidR="003E7A40" w:rsidRPr="003E7A40" w:rsidRDefault="003E7A40" w:rsidP="00C15673">
      <w:r w:rsidRPr="003E7A40">
        <w:t xml:space="preserve">Kognitiva funktioner är avgörande för arbetsförmågan. Man får ta reda på vad patienten önskar och utifrån detta göra en rimlighetsbedömning. Arbetsgivaren bör involveras och man kan överväga deltidssjukskrivning. Att byta arbetsuppgifter är ofta inte ett alternativ då förmågan till </w:t>
      </w:r>
      <w:proofErr w:type="spellStart"/>
      <w:r w:rsidRPr="003E7A40">
        <w:t>nyinlärning</w:t>
      </w:r>
      <w:proofErr w:type="spellEnd"/>
      <w:r w:rsidRPr="003E7A40">
        <w:t xml:space="preserve"> är nedsatt.</w:t>
      </w:r>
    </w:p>
    <w:p w14:paraId="67694870" w14:textId="77777777" w:rsidR="003E7A40" w:rsidRPr="003E7A40" w:rsidRDefault="003E7A40" w:rsidP="003E7A40">
      <w:pPr>
        <w:spacing w:after="0" w:line="240" w:lineRule="auto"/>
        <w:ind w:left="0" w:right="0"/>
        <w:rPr>
          <w:rFonts w:ascii="Arial" w:hAnsi="Arial" w:cs="Arial"/>
          <w:b/>
        </w:rPr>
      </w:pPr>
    </w:p>
    <w:p w14:paraId="4D0CD085" w14:textId="77777777" w:rsidR="003E7A40" w:rsidRPr="003E7A40" w:rsidRDefault="003E7A40" w:rsidP="00C15673">
      <w:pPr>
        <w:pStyle w:val="MellanrubrikVGR"/>
      </w:pPr>
      <w:r w:rsidRPr="003E7A40">
        <w:t>Körkort</w:t>
      </w:r>
    </w:p>
    <w:p w14:paraId="7A1F531F" w14:textId="1DC3A2E6" w:rsidR="003E7A40" w:rsidRPr="003E7A40" w:rsidRDefault="003E7A40" w:rsidP="00ED5452">
      <w:r w:rsidRPr="003E7A40">
        <w:t xml:space="preserve">I grunden utgör demens ett hinder för körkortsinnehav. Om man bedömer patienten medicinskt olämplig att framföra fordon är man skyldig att göra en anmälan till </w:t>
      </w:r>
      <w:r w:rsidR="003863A7">
        <w:t>T</w:t>
      </w:r>
      <w:r w:rsidRPr="003E7A40">
        <w:t xml:space="preserve">ransportstyrelsen. Demens är ett progressivt tillstånd och enbart ”muntliga förbud” bör undvikas. </w:t>
      </w:r>
    </w:p>
    <w:p w14:paraId="1EC4B889" w14:textId="77777777" w:rsidR="003E7A40" w:rsidRPr="003E7A40" w:rsidRDefault="003E7A40" w:rsidP="00C15673">
      <w:r w:rsidRPr="003E7A40">
        <w:t>Vid lindrig demens där patienten kan föra ett självständigt liv och har intakt omdömesförmåga kan de medicinska kraven för körkortsinnehav vara uppfyllda. I dessa fall ska patienten värderas minst årligen avseende trafiksäkerhetsrisk/lämplighet och detta ska dokumenteras.</w:t>
      </w:r>
    </w:p>
    <w:p w14:paraId="13EECA44" w14:textId="56B32EFE" w:rsidR="003E7A40" w:rsidRPr="003E7A40" w:rsidRDefault="003E7A40" w:rsidP="005E2748">
      <w:r w:rsidRPr="003E7A40">
        <w:t xml:space="preserve">Vid svåra eller tveksamma fall gällande körförmåga, lämplighet och trafiksäkerhetsrisk remitteras patienten till Mobilitetscentrum i Mölndal. </w:t>
      </w:r>
    </w:p>
    <w:p w14:paraId="4AD245E1" w14:textId="77777777" w:rsidR="003E7A40" w:rsidRPr="003E7A40" w:rsidRDefault="003E7A40" w:rsidP="003E7A40">
      <w:pPr>
        <w:spacing w:after="0" w:line="240" w:lineRule="auto"/>
        <w:ind w:left="0" w:right="0"/>
        <w:rPr>
          <w:rFonts w:ascii="Arial" w:hAnsi="Arial" w:cs="Arial"/>
          <w:b/>
        </w:rPr>
      </w:pPr>
    </w:p>
    <w:p w14:paraId="7FCFA4E6" w14:textId="77777777" w:rsidR="003E7A40" w:rsidRPr="003E7A40" w:rsidRDefault="003E7A40" w:rsidP="005E2748">
      <w:pPr>
        <w:pStyle w:val="MellanrubrikVGR"/>
      </w:pPr>
      <w:r w:rsidRPr="003E7A40">
        <w:t>Vapen</w:t>
      </w:r>
    </w:p>
    <w:p w14:paraId="05D549C4" w14:textId="2908E918" w:rsidR="003E7A40" w:rsidRPr="003E7A40" w:rsidRDefault="003E7A40" w:rsidP="005E2748">
      <w:r w:rsidRPr="003E7A40">
        <w:t xml:space="preserve">Demens kan utgöra hinder för att inneha vapen. Som läkare är man skyldig att göra en bedömning om det föreligger medicinska hinder för vapeninnehav. Man är också skyldig att vid sådana fall informera patienten samt anmäla sjukdomstillståndet till polismyndigheten. </w:t>
      </w:r>
    </w:p>
    <w:p w14:paraId="627B9EA5" w14:textId="77777777" w:rsidR="003E7A40" w:rsidRPr="003E7A40" w:rsidRDefault="003E7A40" w:rsidP="003E7A40">
      <w:pPr>
        <w:spacing w:after="0" w:line="240" w:lineRule="auto"/>
        <w:ind w:left="0" w:right="0"/>
        <w:rPr>
          <w:rFonts w:ascii="Arial" w:hAnsi="Arial" w:cs="Arial"/>
          <w:b/>
        </w:rPr>
      </w:pPr>
    </w:p>
    <w:p w14:paraId="3B8213DB" w14:textId="77777777" w:rsidR="003E7A40" w:rsidRPr="003E7A40" w:rsidRDefault="003E7A40" w:rsidP="005E2748">
      <w:pPr>
        <w:pStyle w:val="MellanrubrikVGR"/>
      </w:pPr>
      <w:r w:rsidRPr="003E7A40">
        <w:t>Uppföljning</w:t>
      </w:r>
    </w:p>
    <w:p w14:paraId="303A44DB" w14:textId="23AB5847" w:rsidR="003E7A40" w:rsidRPr="003E7A40" w:rsidRDefault="003E7A40" w:rsidP="005E2748">
      <w:r w:rsidRPr="003E7A40">
        <w:t xml:space="preserve">Uppföljning sker i samband med insättning och/eller justering av läkemedel. De läkemedel som finns till förfogande är ofta behäftade med en del biverkningar och de flesta sätts in enligt ett upptrappande förfarande. Det är därför viktigt att man sörjer för att kontrollera hur detta gått samt i ett tidigt skede aktivt efterfrågar biverkningar (magtarmbesvär vanligast) och sätter upp en plan för hur man ska hantera dessa. </w:t>
      </w:r>
    </w:p>
    <w:p w14:paraId="60957763" w14:textId="7079F7A5" w:rsidR="003E7A40" w:rsidRPr="003E7A40" w:rsidRDefault="003E7A40" w:rsidP="005E2748">
      <w:r w:rsidRPr="003E7A40">
        <w:lastRenderedPageBreak/>
        <w:t>Man rekommenderar sedan uppföljning minst 1 gång/år (såvida inte den kliniska situationen kräver mer frekventa besök). Man bör bedöma allmäntillstånd, aktuella symtom samt funktions/aktivitetsnivå. Särskild vikt läggs vid beteendemässiga och psykiska symtom vid demens (BPSD) som kan kräva särskilda insatser.</w:t>
      </w:r>
    </w:p>
    <w:p w14:paraId="0B942288" w14:textId="5A289496" w:rsidR="003E7A40" w:rsidRPr="003E7A40" w:rsidRDefault="003E7A40" w:rsidP="00ED5452">
      <w:r w:rsidRPr="003E7A40">
        <w:t xml:space="preserve">Det har diskuterats lämplig vårdnivå för uppföljning av patienter med demenssjukdom och det verkar inte i nuläget föreligga någon konsensus. I grund och botten får man se vår mottagning som en konsultativ enhet där vi sätter diagnos och i utvalda fall inleder behandling. Enligt gällande riktlinjer från VGR skriver man att patienter med mindre kända demenssjukdomar alternativt svåra symtom bör följas på specialistklinik till dess att man uppnått en stabil medicinsk och social situation. Detta inkluderar även yngre patienter. Med tanke på att demens är ett progressivt tillstånd är det inte helt lätt att värdera vad som kan anses som en stabil medicinsk och social situation. Man får således göra en bedömning i varje enskilt fall. </w:t>
      </w:r>
    </w:p>
    <w:p w14:paraId="4CFD740D" w14:textId="77777777" w:rsidR="003E7A40" w:rsidRPr="003E7A40" w:rsidRDefault="003E7A40" w:rsidP="003E7A40">
      <w:pPr>
        <w:spacing w:after="0" w:line="240" w:lineRule="auto"/>
        <w:ind w:left="0" w:right="0"/>
        <w:rPr>
          <w:rFonts w:ascii="Arial" w:hAnsi="Arial" w:cs="Arial"/>
          <w:b/>
        </w:rPr>
      </w:pPr>
    </w:p>
    <w:p w14:paraId="3259FCDA" w14:textId="77777777" w:rsidR="003E7A40" w:rsidRPr="003E7A40" w:rsidRDefault="003E7A40" w:rsidP="00ED5452">
      <w:pPr>
        <w:pStyle w:val="MellanrubrikVGR"/>
      </w:pPr>
      <w:r w:rsidRPr="003E7A40">
        <w:t>Remissgenomgång</w:t>
      </w:r>
    </w:p>
    <w:p w14:paraId="414600C6" w14:textId="77777777" w:rsidR="003E7A40" w:rsidRPr="003E7A40" w:rsidRDefault="003E7A40" w:rsidP="00ED5452">
      <w:r w:rsidRPr="003E7A40">
        <w:t xml:space="preserve">Inkommande remisser till minnesmottagning hanteras på samma sätt som övriga remisser till kliniken. I samtliga fall där remittent begär minnesutredning ska man säkerställa att en </w:t>
      </w:r>
      <w:r w:rsidRPr="003E7A40">
        <w:rPr>
          <w:u w:val="single"/>
        </w:rPr>
        <w:t>komplett basal demensutredning</w:t>
      </w:r>
      <w:r w:rsidRPr="003E7A40">
        <w:t xml:space="preserve"> är gjort. I de fall där moment saknas begärs komplettering via primärvården (alt annan </w:t>
      </w:r>
      <w:proofErr w:type="spellStart"/>
      <w:r w:rsidRPr="003E7A40">
        <w:t>inremitterande</w:t>
      </w:r>
      <w:proofErr w:type="spellEnd"/>
      <w:r w:rsidRPr="003E7A40">
        <w:t xml:space="preserve">). </w:t>
      </w:r>
    </w:p>
    <w:p w14:paraId="3972CFAB" w14:textId="447830BD" w:rsidR="003E7A40" w:rsidRPr="00ED5452" w:rsidRDefault="003E7A40" w:rsidP="00ED5452">
      <w:pPr>
        <w:rPr>
          <w:smallCaps/>
        </w:rPr>
      </w:pPr>
      <w:r w:rsidRPr="003E7A40">
        <w:t xml:space="preserve">I vissa fall kan det räcka att gå igenom det material som skickats för att sätta diagnos. Man behöver då inte kalla hit patient och anhöriga för ett besök utan primärvården kan då sörja för fortsatt omhändertagande. </w:t>
      </w:r>
    </w:p>
    <w:p w14:paraId="04959CC8" w14:textId="77777777" w:rsidR="003E7A40" w:rsidRPr="003E7A40" w:rsidRDefault="003E7A40" w:rsidP="00137BB3">
      <w:pPr>
        <w:pStyle w:val="Rubrik3"/>
      </w:pPr>
      <w:r w:rsidRPr="003E7A40">
        <w:t>Ansvar</w:t>
      </w:r>
    </w:p>
    <w:p w14:paraId="3E2B9FA4" w14:textId="7612C944" w:rsidR="003E7A40" w:rsidRPr="003E7A40" w:rsidRDefault="003E7A40" w:rsidP="00137BB3">
      <w:r w:rsidRPr="003E7A40">
        <w:t xml:space="preserve">Verksamhetschefen ansvarar för implementering och efterlevnad av denna rutin. Medvetet avsteg från rutinen dokumenteras i </w:t>
      </w:r>
      <w:proofErr w:type="spellStart"/>
      <w:r w:rsidRPr="003E7A40">
        <w:t>Melior</w:t>
      </w:r>
      <w:proofErr w:type="spellEnd"/>
      <w:r w:rsidRPr="003E7A40">
        <w:t xml:space="preserve"> om det är kopplat till </w:t>
      </w:r>
      <w:r w:rsidRPr="003E7A40">
        <w:rPr>
          <w:color w:val="000000"/>
        </w:rPr>
        <w:t xml:space="preserve">patient, alla avsteg </w:t>
      </w:r>
      <w:r w:rsidRPr="003E7A40">
        <w:t xml:space="preserve">från rutinen rapporteras som en avvikelse i </w:t>
      </w:r>
      <w:proofErr w:type="spellStart"/>
      <w:r w:rsidRPr="003E7A40">
        <w:t>MedControl</w:t>
      </w:r>
      <w:proofErr w:type="spellEnd"/>
      <w:r w:rsidRPr="003E7A40">
        <w:t xml:space="preserve"> Pro.</w:t>
      </w:r>
    </w:p>
    <w:p w14:paraId="292AA5B4" w14:textId="153D3B26" w:rsidR="003E7A40" w:rsidRPr="003E7A40" w:rsidRDefault="003E7A40" w:rsidP="00137BB3">
      <w:pPr>
        <w:pStyle w:val="Rubrik3"/>
      </w:pPr>
      <w:r w:rsidRPr="003E7A40">
        <w:t xml:space="preserve">Relaterad information </w:t>
      </w:r>
    </w:p>
    <w:p w14:paraId="6423B2D8" w14:textId="77777777" w:rsidR="003E7A40" w:rsidRPr="003E7A40" w:rsidRDefault="003E7A40" w:rsidP="00137BB3">
      <w:pPr>
        <w:pStyle w:val="MellanrubrikVGR"/>
        <w:rPr>
          <w:rFonts w:ascii="Arial" w:hAnsi="Arial" w:cs="Arial"/>
        </w:rPr>
      </w:pPr>
      <w:r w:rsidRPr="003E7A40">
        <w:rPr>
          <w:rFonts w:ascii="Arial" w:hAnsi="Arial" w:cs="Arial"/>
        </w:rPr>
        <w:t>1. Kommentar kring radiologi</w:t>
      </w:r>
    </w:p>
    <w:p w14:paraId="7CFE3790" w14:textId="7473E866" w:rsidR="003E7A40" w:rsidRPr="003E7A40" w:rsidRDefault="003E7A40" w:rsidP="00137BB3">
      <w:r w:rsidRPr="003E7A40">
        <w:t>Datortomografi utförs i första hand för att utesluta andra orsaker till kognitiv svikt</w:t>
      </w:r>
      <w:r w:rsidRPr="003E7A40">
        <w:rPr>
          <w:color w:val="FF0000"/>
        </w:rPr>
        <w:t>:</w:t>
      </w:r>
      <w:r w:rsidRPr="003E7A40">
        <w:t xml:space="preserve"> hjärntumör, </w:t>
      </w:r>
      <w:proofErr w:type="spellStart"/>
      <w:r w:rsidRPr="003E7A40">
        <w:t>subduralhematom</w:t>
      </w:r>
      <w:proofErr w:type="spellEnd"/>
      <w:r w:rsidRPr="003E7A40">
        <w:t xml:space="preserve">, </w:t>
      </w:r>
      <w:proofErr w:type="spellStart"/>
      <w:r w:rsidRPr="003E7A40">
        <w:t>normaltryckshydrocefalus</w:t>
      </w:r>
      <w:proofErr w:type="spellEnd"/>
      <w:r w:rsidRPr="003E7A40">
        <w:t xml:space="preserve">, </w:t>
      </w:r>
      <w:proofErr w:type="spellStart"/>
      <w:r w:rsidRPr="003E7A40">
        <w:t>ischemiska</w:t>
      </w:r>
      <w:proofErr w:type="spellEnd"/>
      <w:r w:rsidRPr="003E7A40">
        <w:t xml:space="preserve"> skador efter stroke. Magnetkameraundersökning är som bekant snäppet skarpare i diagnostik av dessa differentialdiagnoser. </w:t>
      </w:r>
      <w:r w:rsidRPr="003E7A40">
        <w:lastRenderedPageBreak/>
        <w:t xml:space="preserve">Observera särskilt vad gäller maligna hjärntumörer som kan missas på skiktröntgen utan kontrast. </w:t>
      </w:r>
    </w:p>
    <w:p w14:paraId="3FA679B6" w14:textId="77777777" w:rsidR="003E7A40" w:rsidRPr="003E7A40" w:rsidRDefault="003E7A40" w:rsidP="00137BB3">
      <w:r w:rsidRPr="003E7A40">
        <w:t xml:space="preserve">Därutöver används radiologi för att värdera följande tre typer av förändringar som kan vara av värde vid diagnosticering av minnessjukdomar: </w:t>
      </w:r>
    </w:p>
    <w:p w14:paraId="70981242" w14:textId="77777777" w:rsidR="003E7A40" w:rsidRPr="003E7A40" w:rsidRDefault="003E7A40" w:rsidP="004A12D1">
      <w:pPr>
        <w:pStyle w:val="Punktlista"/>
      </w:pPr>
      <w:r w:rsidRPr="003E7A40">
        <w:t xml:space="preserve"> Medial temporallobsatrofi, MTA skala </w:t>
      </w:r>
      <w:proofErr w:type="gramStart"/>
      <w:r w:rsidRPr="003E7A40">
        <w:t>1-4</w:t>
      </w:r>
      <w:proofErr w:type="gramEnd"/>
      <w:r w:rsidRPr="003E7A40">
        <w:t xml:space="preserve"> (1 = normalt). Ses ofta som ett tidigt tecken på Alzheimers. </w:t>
      </w:r>
    </w:p>
    <w:p w14:paraId="15015156" w14:textId="77777777" w:rsidR="003E7A40" w:rsidRPr="003E7A40" w:rsidRDefault="003E7A40" w:rsidP="004A12D1">
      <w:pPr>
        <w:pStyle w:val="Punktlista"/>
      </w:pPr>
      <w:r w:rsidRPr="003E7A40">
        <w:t xml:space="preserve"> Global cerebral atrofi, GCA skala </w:t>
      </w:r>
      <w:proofErr w:type="gramStart"/>
      <w:r w:rsidRPr="003E7A40">
        <w:t>0-3</w:t>
      </w:r>
      <w:proofErr w:type="gramEnd"/>
      <w:r w:rsidRPr="003E7A40">
        <w:t xml:space="preserve"> (0 = normalt). Specifika regionala atrofier kan ge ledtrådar om bakomliggande genes. Tex frontal atrofi vid </w:t>
      </w:r>
      <w:proofErr w:type="spellStart"/>
      <w:r w:rsidRPr="003E7A40">
        <w:t>frontallobsdemenes</w:t>
      </w:r>
      <w:proofErr w:type="spellEnd"/>
      <w:r w:rsidRPr="003E7A40">
        <w:t xml:space="preserve">, parietal atrofi hos yngre patienter med Alzheimers, </w:t>
      </w:r>
      <w:proofErr w:type="gramStart"/>
      <w:r w:rsidRPr="003E7A40">
        <w:t>etc.</w:t>
      </w:r>
      <w:proofErr w:type="gramEnd"/>
    </w:p>
    <w:p w14:paraId="6E99FE52" w14:textId="77777777" w:rsidR="003E7A40" w:rsidRPr="003E7A40" w:rsidRDefault="003E7A40" w:rsidP="004A12D1">
      <w:pPr>
        <w:pStyle w:val="Punktlista"/>
      </w:pPr>
      <w:r w:rsidRPr="003E7A40">
        <w:t xml:space="preserve"> Vitsubstansförändringar, </w:t>
      </w:r>
      <w:proofErr w:type="spellStart"/>
      <w:r w:rsidRPr="003E7A40">
        <w:t>Fazekas</w:t>
      </w:r>
      <w:proofErr w:type="spellEnd"/>
      <w:r w:rsidRPr="003E7A40">
        <w:t xml:space="preserve"> skala </w:t>
      </w:r>
      <w:proofErr w:type="gramStart"/>
      <w:r w:rsidRPr="003E7A40">
        <w:t>0-3</w:t>
      </w:r>
      <w:proofErr w:type="gramEnd"/>
      <w:r w:rsidRPr="003E7A40">
        <w:t xml:space="preserve"> (0 = normalt). Ökande grad av småkärlssjukdom talar för vaskulär demens.</w:t>
      </w:r>
    </w:p>
    <w:p w14:paraId="24BE84D4" w14:textId="77777777" w:rsidR="003E7A40" w:rsidRPr="003E7A40" w:rsidRDefault="003E7A40" w:rsidP="003E7A40">
      <w:pPr>
        <w:tabs>
          <w:tab w:val="left" w:pos="549"/>
          <w:tab w:val="center" w:pos="4536"/>
          <w:tab w:val="right" w:pos="9019"/>
          <w:tab w:val="right" w:pos="9072"/>
        </w:tabs>
        <w:spacing w:after="0" w:line="240" w:lineRule="auto"/>
        <w:ind w:left="0" w:right="0"/>
      </w:pPr>
    </w:p>
    <w:p w14:paraId="154E3F57" w14:textId="19A71C1A" w:rsidR="003E7A40" w:rsidRPr="003E7A40" w:rsidRDefault="003E7A40" w:rsidP="00EA62E5">
      <w:r w:rsidRPr="003E7A40">
        <w:t xml:space="preserve">Observera att dessa frågeställningar inte besvaras i </w:t>
      </w:r>
      <w:proofErr w:type="spellStart"/>
      <w:r w:rsidRPr="003E7A40">
        <w:t>rtg</w:t>
      </w:r>
      <w:proofErr w:type="spellEnd"/>
      <w:r w:rsidRPr="003E7A40">
        <w:t>-utlåtande om man inte specifikt frågar efter dem. Det kan därför finnas ett värde i att skriva en granskningsremiss till röntgen för ett kompletterande utlåtande med frågeställningar enligt ovan.</w:t>
      </w:r>
    </w:p>
    <w:p w14:paraId="4592557D" w14:textId="77777777" w:rsidR="003E7A40" w:rsidRPr="003E7A40" w:rsidRDefault="003E7A40" w:rsidP="003E7A40">
      <w:pPr>
        <w:tabs>
          <w:tab w:val="left" w:pos="549"/>
          <w:tab w:val="center" w:pos="4536"/>
          <w:tab w:val="right" w:pos="9019"/>
          <w:tab w:val="right" w:pos="9072"/>
        </w:tabs>
        <w:spacing w:after="0" w:line="240" w:lineRule="auto"/>
        <w:ind w:left="0" w:right="0"/>
      </w:pPr>
    </w:p>
    <w:p w14:paraId="19E688D6" w14:textId="77777777" w:rsidR="003E7A40" w:rsidRPr="003E7A40" w:rsidRDefault="003E7A40" w:rsidP="00EA62E5">
      <w:pPr>
        <w:pStyle w:val="MellanrubrikVGR"/>
      </w:pPr>
      <w:r w:rsidRPr="003E7A40">
        <w:t xml:space="preserve">2. </w:t>
      </w:r>
      <w:proofErr w:type="spellStart"/>
      <w:r w:rsidRPr="003E7A40">
        <w:t>Likvoranalys</w:t>
      </w:r>
      <w:proofErr w:type="spellEnd"/>
    </w:p>
    <w:p w14:paraId="3C1C26D9" w14:textId="77777777" w:rsidR="003E7A40" w:rsidRPr="003E7A40" w:rsidRDefault="003E7A40" w:rsidP="00EA62E5">
      <w:r w:rsidRPr="003E7A40">
        <w:t xml:space="preserve">Demensmarkörer används för att differentiera olika primärdegenerativa sjukdomar med minnessymtom. </w:t>
      </w:r>
    </w:p>
    <w:p w14:paraId="1F0B3A03" w14:textId="77777777" w:rsidR="003E7A40" w:rsidRPr="003E7A40" w:rsidRDefault="003E7A40" w:rsidP="00EA62E5">
      <w:r w:rsidRPr="003E7A40">
        <w:t xml:space="preserve">Undersökning av </w:t>
      </w:r>
      <w:proofErr w:type="spellStart"/>
      <w:r w:rsidRPr="003E7A40">
        <w:t>celltal</w:t>
      </w:r>
      <w:proofErr w:type="spellEnd"/>
      <w:r w:rsidRPr="003E7A40">
        <w:t xml:space="preserve">, blod-hjärnbarriärfunktion och </w:t>
      </w:r>
      <w:proofErr w:type="spellStart"/>
      <w:r w:rsidRPr="003E7A40">
        <w:t>intratekal</w:t>
      </w:r>
      <w:proofErr w:type="spellEnd"/>
      <w:r w:rsidRPr="003E7A40">
        <w:t xml:space="preserve"> immunglobulinproduktion används ibland för att utesluta </w:t>
      </w:r>
      <w:proofErr w:type="spellStart"/>
      <w:r w:rsidRPr="003E7A40">
        <w:t>neuroinfektiösa</w:t>
      </w:r>
      <w:proofErr w:type="spellEnd"/>
      <w:r w:rsidRPr="003E7A40">
        <w:t xml:space="preserve"> och </w:t>
      </w:r>
      <w:proofErr w:type="spellStart"/>
      <w:r w:rsidRPr="003E7A40">
        <w:t>neuroinflammatoriska</w:t>
      </w:r>
      <w:proofErr w:type="spellEnd"/>
      <w:r w:rsidRPr="003E7A40">
        <w:t xml:space="preserve"> sjukdomar. </w:t>
      </w:r>
    </w:p>
    <w:p w14:paraId="0CBD3D24" w14:textId="77777777" w:rsidR="003E7A40" w:rsidRPr="003E7A40" w:rsidRDefault="003E7A40" w:rsidP="003E7A40">
      <w:pPr>
        <w:tabs>
          <w:tab w:val="left" w:pos="549"/>
          <w:tab w:val="center" w:pos="4536"/>
          <w:tab w:val="right" w:pos="9019"/>
          <w:tab w:val="right" w:pos="9072"/>
        </w:tabs>
        <w:spacing w:after="0" w:line="240" w:lineRule="auto"/>
        <w:ind w:left="0" w:right="0"/>
      </w:pPr>
    </w:p>
    <w:p w14:paraId="52DF3C75" w14:textId="77777777" w:rsidR="003E7A40" w:rsidRPr="003E7A40" w:rsidRDefault="003E7A40" w:rsidP="000923E6">
      <w:r w:rsidRPr="003E7A40">
        <w:t xml:space="preserve">Följande analyseras alltså i </w:t>
      </w:r>
      <w:proofErr w:type="spellStart"/>
      <w:r w:rsidRPr="003E7A40">
        <w:t>likvor</w:t>
      </w:r>
      <w:proofErr w:type="spellEnd"/>
      <w:r w:rsidRPr="003E7A40">
        <w:t>:</w:t>
      </w:r>
    </w:p>
    <w:p w14:paraId="591F3F0D" w14:textId="77777777" w:rsidR="003E7A40" w:rsidRPr="003E7A40" w:rsidRDefault="003E7A40" w:rsidP="000923E6">
      <w:pPr>
        <w:pStyle w:val="Punktlista"/>
      </w:pPr>
      <w:r w:rsidRPr="003E7A40">
        <w:t>Celler</w:t>
      </w:r>
    </w:p>
    <w:p w14:paraId="1EC2BACE" w14:textId="77777777" w:rsidR="003E7A40" w:rsidRPr="003E7A40" w:rsidRDefault="003E7A40" w:rsidP="000923E6">
      <w:pPr>
        <w:pStyle w:val="Punktlista"/>
      </w:pPr>
      <w:r w:rsidRPr="003E7A40">
        <w:t>Biomarkörer = demensmarkörer (B-</w:t>
      </w:r>
      <w:proofErr w:type="spellStart"/>
      <w:r w:rsidRPr="003E7A40">
        <w:t>amyloid</w:t>
      </w:r>
      <w:proofErr w:type="spellEnd"/>
      <w:r w:rsidRPr="003E7A40">
        <w:t>, total-</w:t>
      </w:r>
      <w:proofErr w:type="spellStart"/>
      <w:r w:rsidRPr="003E7A40">
        <w:t>tau</w:t>
      </w:r>
      <w:proofErr w:type="spellEnd"/>
      <w:r w:rsidRPr="003E7A40">
        <w:t xml:space="preserve"> och </w:t>
      </w:r>
      <w:proofErr w:type="spellStart"/>
      <w:r w:rsidRPr="003E7A40">
        <w:t>fosfo-tau</w:t>
      </w:r>
      <w:proofErr w:type="spellEnd"/>
      <w:r w:rsidRPr="003E7A40">
        <w:t>)</w:t>
      </w:r>
    </w:p>
    <w:p w14:paraId="2F852596" w14:textId="77777777" w:rsidR="003E7A40" w:rsidRPr="003E7A40" w:rsidRDefault="003E7A40" w:rsidP="000923E6">
      <w:pPr>
        <w:pStyle w:val="Punktlista"/>
      </w:pPr>
      <w:r w:rsidRPr="003E7A40">
        <w:t xml:space="preserve">Parenkymskademarkörer </w:t>
      </w:r>
      <w:proofErr w:type="spellStart"/>
      <w:r w:rsidRPr="003E7A40">
        <w:t>inkl</w:t>
      </w:r>
      <w:proofErr w:type="spellEnd"/>
      <w:r w:rsidRPr="003E7A40">
        <w:t xml:space="preserve"> </w:t>
      </w:r>
      <w:proofErr w:type="spellStart"/>
      <w:r w:rsidRPr="003E7A40">
        <w:t>neurofilament</w:t>
      </w:r>
      <w:proofErr w:type="spellEnd"/>
    </w:p>
    <w:p w14:paraId="21FFC08A" w14:textId="77777777" w:rsidR="003E7A40" w:rsidRPr="003E7A40" w:rsidRDefault="003E7A40" w:rsidP="000923E6">
      <w:pPr>
        <w:pStyle w:val="Punktlista"/>
      </w:pPr>
      <w:r w:rsidRPr="003E7A40">
        <w:t>Proteinfraktionering</w:t>
      </w:r>
    </w:p>
    <w:p w14:paraId="6B8A27D3" w14:textId="77777777" w:rsidR="003E7A40" w:rsidRPr="003E7A40" w:rsidRDefault="003E7A40" w:rsidP="000923E6">
      <w:pPr>
        <w:pStyle w:val="Punktlista"/>
      </w:pPr>
      <w:r w:rsidRPr="003E7A40">
        <w:t xml:space="preserve">Vid specifik misstanke tas analyser för </w:t>
      </w:r>
      <w:proofErr w:type="spellStart"/>
      <w:r w:rsidRPr="003E7A40">
        <w:t>neuroborrelios</w:t>
      </w:r>
      <w:proofErr w:type="spellEnd"/>
      <w:r w:rsidRPr="003E7A40">
        <w:t xml:space="preserve"> och </w:t>
      </w:r>
      <w:proofErr w:type="spellStart"/>
      <w:r w:rsidRPr="003E7A40">
        <w:t>neurosyfilis</w:t>
      </w:r>
      <w:proofErr w:type="spellEnd"/>
      <w:r w:rsidRPr="003E7A40">
        <w:t>.</w:t>
      </w:r>
    </w:p>
    <w:p w14:paraId="2E26C49C" w14:textId="77777777" w:rsidR="003E7A40" w:rsidRPr="003E7A40" w:rsidRDefault="003E7A40" w:rsidP="003E7A40">
      <w:pPr>
        <w:spacing w:after="0" w:line="240" w:lineRule="auto"/>
        <w:ind w:left="0" w:right="0"/>
      </w:pPr>
    </w:p>
    <w:p w14:paraId="2051715C" w14:textId="77777777" w:rsidR="003E7A40" w:rsidRPr="003E7A40" w:rsidRDefault="003E7A40" w:rsidP="000923E6">
      <w:r w:rsidRPr="003E7A40">
        <w:t xml:space="preserve">Exempel på mall för bedömning av </w:t>
      </w:r>
      <w:proofErr w:type="spellStart"/>
      <w:r w:rsidRPr="003E7A40">
        <w:t>likvormarkörer</w:t>
      </w:r>
      <w:proofErr w:type="spellEnd"/>
      <w:r w:rsidRPr="003E7A40">
        <w:t>:</w:t>
      </w:r>
    </w:p>
    <w:p w14:paraId="6F76A458" w14:textId="77777777" w:rsidR="003E7A40" w:rsidRPr="003E7A40" w:rsidRDefault="003E7A40" w:rsidP="003E7A40">
      <w:pPr>
        <w:spacing w:after="0" w:line="240" w:lineRule="auto"/>
        <w:ind w:left="0" w:right="0"/>
      </w:pPr>
    </w:p>
    <w:p w14:paraId="4D67A3F0" w14:textId="1B819AD8" w:rsidR="003E7A40" w:rsidRPr="000923E6" w:rsidRDefault="003E7A40" w:rsidP="000923E6">
      <w:pPr>
        <w:rPr>
          <w:i/>
          <w:iCs/>
        </w:rPr>
      </w:pPr>
      <w:r w:rsidRPr="000923E6">
        <w:rPr>
          <w:i/>
          <w:iCs/>
        </w:rPr>
        <w:lastRenderedPageBreak/>
        <w:t xml:space="preserve">Källa: Markörer i </w:t>
      </w:r>
      <w:proofErr w:type="spellStart"/>
      <w:r w:rsidRPr="000923E6">
        <w:rPr>
          <w:i/>
          <w:iCs/>
        </w:rPr>
        <w:t>likvor</w:t>
      </w:r>
      <w:proofErr w:type="spellEnd"/>
      <w:r w:rsidRPr="000923E6">
        <w:rPr>
          <w:i/>
          <w:iCs/>
        </w:rPr>
        <w:t xml:space="preserve"> och blod vid minnessjukdomar. Läkartidningen Nr 20 2009 Volym 106.</w:t>
      </w:r>
    </w:p>
    <w:p w14:paraId="1C09148B" w14:textId="77777777" w:rsidR="003E7A40" w:rsidRPr="003E7A40" w:rsidRDefault="003E7A40" w:rsidP="003E7A40">
      <w:pPr>
        <w:spacing w:after="0" w:line="240" w:lineRule="auto"/>
        <w:ind w:left="720" w:right="0"/>
        <w:contextualSpacing/>
      </w:pPr>
      <w:r w:rsidRPr="003E7A40">
        <w:rPr>
          <w:noProof/>
        </w:rPr>
        <w:drawing>
          <wp:anchor distT="0" distB="0" distL="114300" distR="114300" simplePos="0" relativeHeight="251658240" behindDoc="1" locked="0" layoutInCell="1" allowOverlap="1" wp14:anchorId="78832A3D" wp14:editId="5AF857C0">
            <wp:simplePos x="0" y="0"/>
            <wp:positionH relativeFrom="margin">
              <wp:align>right</wp:align>
            </wp:positionH>
            <wp:positionV relativeFrom="paragraph">
              <wp:posOffset>177800</wp:posOffset>
            </wp:positionV>
            <wp:extent cx="5752800" cy="2077200"/>
            <wp:effectExtent l="0" t="0" r="635" b="0"/>
            <wp:wrapNone/>
            <wp:docPr id="839945199" name="Bildobjekt 2" descr="\\vgregion.se\Hem\GOT-006\danbr8\Mina dokument\Demens\demensmarkörer bedömning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5331719" name="Picture 1" descr="\\vgregion.se\Hem\GOT-006\danbr8\Mina dokument\Demens\demensmarkörer bedömningmall.PNG"/>
                    <pic:cNvPicPr>
                      <a:picLocks noChangeAspect="1" noChangeArrowheads="1"/>
                    </pic:cNvPicPr>
                  </pic:nvPicPr>
                  <pic:blipFill>
                    <a:blip r:embed="rId17">
                      <a:extLst>
                        <a:ext uri="{28A0092B-C50C-407E-A947-70E740481C1C}">
                          <a14:useLocalDpi xmlns:a14="http://schemas.microsoft.com/office/drawing/2010/main" val="0"/>
                        </a:ext>
                      </a:extLst>
                    </a:blip>
                    <a:stretch>
                      <a:fillRect/>
                    </a:stretch>
                  </pic:blipFill>
                  <pic:spPr bwMode="auto">
                    <a:xfrm>
                      <a:off x="0" y="0"/>
                      <a:ext cx="5752800" cy="20772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365D09F" w14:textId="77777777" w:rsidR="003E7A40" w:rsidRPr="003E7A40" w:rsidRDefault="003E7A40" w:rsidP="003E7A40">
      <w:pPr>
        <w:spacing w:after="0" w:line="240" w:lineRule="auto"/>
        <w:ind w:left="720" w:right="0"/>
        <w:contextualSpacing/>
        <w:jc w:val="center"/>
      </w:pPr>
    </w:p>
    <w:p w14:paraId="1401191D" w14:textId="77777777" w:rsidR="003E7A40" w:rsidRPr="003E7A40" w:rsidRDefault="003E7A40" w:rsidP="003E7A40">
      <w:pPr>
        <w:spacing w:after="0" w:line="240" w:lineRule="auto"/>
        <w:ind w:left="0" w:right="0"/>
      </w:pPr>
    </w:p>
    <w:p w14:paraId="092D2D9A" w14:textId="77777777" w:rsidR="003E7A40" w:rsidRPr="003E7A40" w:rsidRDefault="003E7A40" w:rsidP="003E7A40">
      <w:pPr>
        <w:keepNext/>
        <w:keepLines/>
        <w:spacing w:before="240" w:after="0" w:line="240" w:lineRule="auto"/>
        <w:ind w:left="0" w:right="0"/>
        <w:outlineLvl w:val="0"/>
        <w:rPr>
          <w:rFonts w:ascii="Arial" w:hAnsi="Arial" w:cs="Arial"/>
          <w:b/>
          <w:sz w:val="28"/>
          <w:szCs w:val="28"/>
        </w:rPr>
      </w:pPr>
    </w:p>
    <w:p w14:paraId="253B2C09" w14:textId="77777777" w:rsidR="003E7A40" w:rsidRPr="003E7A40" w:rsidRDefault="003E7A40" w:rsidP="003E7A40">
      <w:pPr>
        <w:keepNext/>
        <w:keepLines/>
        <w:spacing w:before="240" w:after="0" w:line="240" w:lineRule="auto"/>
        <w:ind w:left="0" w:right="0"/>
        <w:outlineLvl w:val="0"/>
        <w:rPr>
          <w:rFonts w:ascii="Arial" w:hAnsi="Arial" w:cs="Arial"/>
          <w:b/>
          <w:sz w:val="28"/>
          <w:szCs w:val="28"/>
        </w:rPr>
      </w:pPr>
    </w:p>
    <w:p w14:paraId="6A152CDC" w14:textId="77777777" w:rsidR="003E7A40" w:rsidRPr="003E7A40" w:rsidRDefault="003E7A40" w:rsidP="003E7A40">
      <w:pPr>
        <w:keepNext/>
        <w:keepLines/>
        <w:spacing w:before="240" w:after="0" w:line="240" w:lineRule="auto"/>
        <w:ind w:left="0" w:right="0"/>
        <w:outlineLvl w:val="0"/>
        <w:rPr>
          <w:rFonts w:ascii="Arial" w:hAnsi="Arial" w:cs="Arial"/>
          <w:b/>
          <w:sz w:val="28"/>
          <w:szCs w:val="28"/>
        </w:rPr>
      </w:pPr>
    </w:p>
    <w:p w14:paraId="4966DAB9" w14:textId="77777777" w:rsidR="003E7A40" w:rsidRPr="003E7A40" w:rsidRDefault="003E7A40" w:rsidP="003E7A40">
      <w:pPr>
        <w:keepNext/>
        <w:keepLines/>
        <w:spacing w:before="240" w:after="0" w:line="240" w:lineRule="auto"/>
        <w:ind w:left="0" w:right="0"/>
        <w:outlineLvl w:val="0"/>
        <w:rPr>
          <w:rFonts w:ascii="Arial" w:hAnsi="Arial" w:cs="Arial"/>
          <w:b/>
          <w:sz w:val="28"/>
          <w:szCs w:val="28"/>
        </w:rPr>
      </w:pPr>
    </w:p>
    <w:p w14:paraId="0C3ACB7E" w14:textId="77777777" w:rsidR="003E7A40" w:rsidRDefault="003E7A40" w:rsidP="003E7A40">
      <w:pPr>
        <w:keepNext/>
        <w:keepLines/>
        <w:spacing w:before="240" w:after="0" w:line="240" w:lineRule="auto"/>
        <w:ind w:left="0" w:right="0"/>
        <w:outlineLvl w:val="0"/>
        <w:rPr>
          <w:rFonts w:ascii="Arial" w:hAnsi="Arial" w:cs="Arial"/>
          <w:b/>
          <w:sz w:val="28"/>
          <w:szCs w:val="28"/>
        </w:rPr>
      </w:pPr>
    </w:p>
    <w:p w14:paraId="5CC9CBE6" w14:textId="77777777" w:rsidR="000923E6" w:rsidRPr="003E7A40" w:rsidRDefault="000923E6" w:rsidP="003E7A40">
      <w:pPr>
        <w:keepNext/>
        <w:keepLines/>
        <w:spacing w:before="240" w:after="0" w:line="240" w:lineRule="auto"/>
        <w:ind w:left="0" w:right="0"/>
        <w:outlineLvl w:val="0"/>
        <w:rPr>
          <w:rFonts w:ascii="Arial" w:hAnsi="Arial" w:cs="Arial"/>
          <w:b/>
          <w:sz w:val="28"/>
          <w:szCs w:val="28"/>
        </w:rPr>
      </w:pPr>
    </w:p>
    <w:p w14:paraId="469D4ABC" w14:textId="77777777" w:rsidR="003E7A40" w:rsidRPr="003E7A40" w:rsidRDefault="003E7A40" w:rsidP="0078272B">
      <w:pPr>
        <w:pStyle w:val="Rubrik3"/>
      </w:pPr>
      <w:r w:rsidRPr="003E7A40">
        <w:t>Referensförteckning/Fördjupande läsning</w:t>
      </w:r>
    </w:p>
    <w:p w14:paraId="55606B02" w14:textId="3DE7ED29" w:rsidR="003E7A40" w:rsidRPr="003E7A40" w:rsidRDefault="00835E16" w:rsidP="5B7BBF83">
      <w:pPr>
        <w:spacing w:after="0" w:line="240" w:lineRule="auto"/>
      </w:pPr>
      <w:hyperlink r:id="rId18" w:history="1">
        <w:r w:rsidRPr="00835E16">
          <w:rPr>
            <w:rStyle w:val="Hyperlnk"/>
          </w:rPr>
          <w:t>RMR Demenssjukdom, utredning och uppföljning</w:t>
        </w:r>
      </w:hyperlink>
    </w:p>
    <w:p w14:paraId="6EF61719" w14:textId="77777777" w:rsidR="003E7A40" w:rsidRPr="003E7A40" w:rsidRDefault="00000000" w:rsidP="0078272B">
      <w:hyperlink r:id="rId19">
        <w:r w:rsidR="003E7A40" w:rsidRPr="5B7BBF83">
          <w:rPr>
            <w:rStyle w:val="Hyperlnk"/>
          </w:rPr>
          <w:t>Regional medicinsk riktlinje – Läkemedel demens</w:t>
        </w:r>
      </w:hyperlink>
    </w:p>
    <w:p w14:paraId="5FA6C323" w14:textId="77777777" w:rsidR="003E7A40" w:rsidRPr="003E7A40" w:rsidRDefault="003E7A40" w:rsidP="003E7A40">
      <w:pPr>
        <w:spacing w:after="0" w:line="240" w:lineRule="auto"/>
        <w:ind w:left="0" w:right="0"/>
      </w:pPr>
    </w:p>
    <w:p w14:paraId="1B98EEF5" w14:textId="77777777" w:rsidR="003E7A40" w:rsidRPr="003E7A40" w:rsidRDefault="003E7A40" w:rsidP="0078272B">
      <w:r w:rsidRPr="003E7A40">
        <w:t xml:space="preserve">Markörer i </w:t>
      </w:r>
      <w:proofErr w:type="spellStart"/>
      <w:r w:rsidRPr="003E7A40">
        <w:t>likvor</w:t>
      </w:r>
      <w:proofErr w:type="spellEnd"/>
      <w:r w:rsidRPr="003E7A40">
        <w:t xml:space="preserve"> och blod vid minnessjukdomar Läkartidningen Nr 20 2009 Volym 106.</w:t>
      </w:r>
    </w:p>
    <w:p w14:paraId="5513ED4B" w14:textId="6B2C399D" w:rsidR="003E7A40" w:rsidRDefault="00000000" w:rsidP="0078272B">
      <w:pPr>
        <w:rPr>
          <w:color w:val="0563C1"/>
          <w:u w:val="single"/>
        </w:rPr>
      </w:pPr>
      <w:hyperlink r:id="rId20" w:history="1">
        <w:r w:rsidR="00AF28DB" w:rsidRPr="00AF28DB">
          <w:rPr>
            <w:color w:val="0000FF"/>
            <w:u w:val="single"/>
          </w:rPr>
          <w:t xml:space="preserve">Markörer i </w:t>
        </w:r>
        <w:proofErr w:type="spellStart"/>
        <w:r w:rsidR="00AF28DB" w:rsidRPr="00AF28DB">
          <w:rPr>
            <w:color w:val="0000FF"/>
            <w:u w:val="single"/>
          </w:rPr>
          <w:t>likvor</w:t>
        </w:r>
        <w:proofErr w:type="spellEnd"/>
        <w:r w:rsidR="00AF28DB" w:rsidRPr="00AF28DB">
          <w:rPr>
            <w:color w:val="0000FF"/>
            <w:u w:val="single"/>
          </w:rPr>
          <w:t xml:space="preserve"> och blod vid minnessjukdomar (lakartidningen.se)</w:t>
        </w:r>
      </w:hyperlink>
    </w:p>
    <w:bookmarkEnd w:id="0"/>
    <w:p w14:paraId="0C809242" w14:textId="77777777" w:rsidR="00C93083" w:rsidRDefault="00C93083" w:rsidP="0078272B">
      <w:pPr>
        <w:rPr>
          <w:color w:val="0563C1"/>
          <w:u w:val="single"/>
        </w:rPr>
      </w:pPr>
    </w:p>
    <w:sectPr w:rsidR="00C93083" w:rsidSect="003E7A4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2D6D38" w14:textId="77777777" w:rsidR="002B4D72" w:rsidRDefault="002B4D72">
      <w:r>
        <w:separator/>
      </w:r>
    </w:p>
  </w:endnote>
  <w:endnote w:type="continuationSeparator" w:id="0">
    <w:p w14:paraId="0120F16E" w14:textId="77777777" w:rsidR="002B4D72" w:rsidRDefault="002B4D72">
      <w:r>
        <w:continuationSeparator/>
      </w:r>
    </w:p>
  </w:endnote>
  <w:endnote w:type="continuationNotice" w:id="1">
    <w:p w14:paraId="4CE66D16" w14:textId="77777777" w:rsidR="002B4D72" w:rsidRDefault="002B4D7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D83339" w14:textId="77777777" w:rsidR="002B4D72" w:rsidRDefault="002B4D72"/>
  </w:footnote>
  <w:footnote w:type="continuationSeparator" w:id="0">
    <w:p w14:paraId="41C1BB91" w14:textId="77777777" w:rsidR="002B4D72" w:rsidRDefault="002B4D72">
      <w:r>
        <w:continuationSeparator/>
      </w:r>
    </w:p>
  </w:footnote>
  <w:footnote w:type="continuationNotice" w:id="1">
    <w:p w14:paraId="47995C31" w14:textId="77777777" w:rsidR="002B4D72" w:rsidRDefault="002B4D7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8E1902"/>
    <w:multiLevelType w:val="hybridMultilevel"/>
    <w:tmpl w:val="4E767606"/>
    <w:lvl w:ilvl="0" w:tplc="E34EAE2C">
      <w:start w:val="1"/>
      <w:numFmt w:val="decimal"/>
      <w:lvlText w:val="%1."/>
      <w:lvlJc w:val="left"/>
      <w:pPr>
        <w:ind w:left="720" w:hanging="360"/>
      </w:pPr>
    </w:lvl>
    <w:lvl w:ilvl="1" w:tplc="71FAF9A6" w:tentative="1">
      <w:start w:val="1"/>
      <w:numFmt w:val="lowerLetter"/>
      <w:lvlText w:val="%2."/>
      <w:lvlJc w:val="left"/>
      <w:pPr>
        <w:ind w:left="1440" w:hanging="360"/>
      </w:pPr>
    </w:lvl>
    <w:lvl w:ilvl="2" w:tplc="F15E25FE" w:tentative="1">
      <w:start w:val="1"/>
      <w:numFmt w:val="lowerRoman"/>
      <w:lvlText w:val="%3."/>
      <w:lvlJc w:val="right"/>
      <w:pPr>
        <w:ind w:left="2160" w:hanging="180"/>
      </w:pPr>
    </w:lvl>
    <w:lvl w:ilvl="3" w:tplc="EAEAA922" w:tentative="1">
      <w:start w:val="1"/>
      <w:numFmt w:val="decimal"/>
      <w:lvlText w:val="%4."/>
      <w:lvlJc w:val="left"/>
      <w:pPr>
        <w:ind w:left="2880" w:hanging="360"/>
      </w:pPr>
    </w:lvl>
    <w:lvl w:ilvl="4" w:tplc="F1B672FE" w:tentative="1">
      <w:start w:val="1"/>
      <w:numFmt w:val="lowerLetter"/>
      <w:lvlText w:val="%5."/>
      <w:lvlJc w:val="left"/>
      <w:pPr>
        <w:ind w:left="3600" w:hanging="360"/>
      </w:pPr>
    </w:lvl>
    <w:lvl w:ilvl="5" w:tplc="12521FB8" w:tentative="1">
      <w:start w:val="1"/>
      <w:numFmt w:val="lowerRoman"/>
      <w:lvlText w:val="%6."/>
      <w:lvlJc w:val="right"/>
      <w:pPr>
        <w:ind w:left="4320" w:hanging="180"/>
      </w:pPr>
    </w:lvl>
    <w:lvl w:ilvl="6" w:tplc="24620D6E" w:tentative="1">
      <w:start w:val="1"/>
      <w:numFmt w:val="decimal"/>
      <w:lvlText w:val="%7."/>
      <w:lvlJc w:val="left"/>
      <w:pPr>
        <w:ind w:left="5040" w:hanging="360"/>
      </w:pPr>
    </w:lvl>
    <w:lvl w:ilvl="7" w:tplc="B8367B30" w:tentative="1">
      <w:start w:val="1"/>
      <w:numFmt w:val="lowerLetter"/>
      <w:lvlText w:val="%8."/>
      <w:lvlJc w:val="left"/>
      <w:pPr>
        <w:ind w:left="5760" w:hanging="360"/>
      </w:pPr>
    </w:lvl>
    <w:lvl w:ilvl="8" w:tplc="62361956" w:tentative="1">
      <w:start w:val="1"/>
      <w:numFmt w:val="lowerRoman"/>
      <w:lvlText w:val="%9."/>
      <w:lvlJc w:val="right"/>
      <w:pPr>
        <w:ind w:left="6480"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17F4DD3"/>
    <w:multiLevelType w:val="hybridMultilevel"/>
    <w:tmpl w:val="A89CDBF8"/>
    <w:lvl w:ilvl="0" w:tplc="46D015AC">
      <w:start w:val="1"/>
      <w:numFmt w:val="bullet"/>
      <w:lvlText w:val=""/>
      <w:lvlJc w:val="left"/>
      <w:pPr>
        <w:ind w:left="720" w:hanging="360"/>
      </w:pPr>
      <w:rPr>
        <w:rFonts w:ascii="Symbol" w:hAnsi="Symbol" w:hint="default"/>
      </w:rPr>
    </w:lvl>
    <w:lvl w:ilvl="1" w:tplc="B3C4DD1C" w:tentative="1">
      <w:start w:val="1"/>
      <w:numFmt w:val="bullet"/>
      <w:lvlText w:val="o"/>
      <w:lvlJc w:val="left"/>
      <w:pPr>
        <w:ind w:left="1440" w:hanging="360"/>
      </w:pPr>
      <w:rPr>
        <w:rFonts w:ascii="Courier New" w:hAnsi="Courier New" w:cs="Courier New" w:hint="default"/>
      </w:rPr>
    </w:lvl>
    <w:lvl w:ilvl="2" w:tplc="2882803E" w:tentative="1">
      <w:start w:val="1"/>
      <w:numFmt w:val="bullet"/>
      <w:lvlText w:val=""/>
      <w:lvlJc w:val="left"/>
      <w:pPr>
        <w:ind w:left="2160" w:hanging="360"/>
      </w:pPr>
      <w:rPr>
        <w:rFonts w:ascii="Wingdings" w:hAnsi="Wingdings" w:hint="default"/>
      </w:rPr>
    </w:lvl>
    <w:lvl w:ilvl="3" w:tplc="571C2E12" w:tentative="1">
      <w:start w:val="1"/>
      <w:numFmt w:val="bullet"/>
      <w:lvlText w:val=""/>
      <w:lvlJc w:val="left"/>
      <w:pPr>
        <w:ind w:left="2880" w:hanging="360"/>
      </w:pPr>
      <w:rPr>
        <w:rFonts w:ascii="Symbol" w:hAnsi="Symbol" w:hint="default"/>
      </w:rPr>
    </w:lvl>
    <w:lvl w:ilvl="4" w:tplc="B2588FF8" w:tentative="1">
      <w:start w:val="1"/>
      <w:numFmt w:val="bullet"/>
      <w:lvlText w:val="o"/>
      <w:lvlJc w:val="left"/>
      <w:pPr>
        <w:ind w:left="3600" w:hanging="360"/>
      </w:pPr>
      <w:rPr>
        <w:rFonts w:ascii="Courier New" w:hAnsi="Courier New" w:cs="Courier New" w:hint="default"/>
      </w:rPr>
    </w:lvl>
    <w:lvl w:ilvl="5" w:tplc="98463B48" w:tentative="1">
      <w:start w:val="1"/>
      <w:numFmt w:val="bullet"/>
      <w:lvlText w:val=""/>
      <w:lvlJc w:val="left"/>
      <w:pPr>
        <w:ind w:left="4320" w:hanging="360"/>
      </w:pPr>
      <w:rPr>
        <w:rFonts w:ascii="Wingdings" w:hAnsi="Wingdings" w:hint="default"/>
      </w:rPr>
    </w:lvl>
    <w:lvl w:ilvl="6" w:tplc="91420B30" w:tentative="1">
      <w:start w:val="1"/>
      <w:numFmt w:val="bullet"/>
      <w:lvlText w:val=""/>
      <w:lvlJc w:val="left"/>
      <w:pPr>
        <w:ind w:left="5040" w:hanging="360"/>
      </w:pPr>
      <w:rPr>
        <w:rFonts w:ascii="Symbol" w:hAnsi="Symbol" w:hint="default"/>
      </w:rPr>
    </w:lvl>
    <w:lvl w:ilvl="7" w:tplc="73E46802" w:tentative="1">
      <w:start w:val="1"/>
      <w:numFmt w:val="bullet"/>
      <w:lvlText w:val="o"/>
      <w:lvlJc w:val="left"/>
      <w:pPr>
        <w:ind w:left="5760" w:hanging="360"/>
      </w:pPr>
      <w:rPr>
        <w:rFonts w:ascii="Courier New" w:hAnsi="Courier New" w:cs="Courier New" w:hint="default"/>
      </w:rPr>
    </w:lvl>
    <w:lvl w:ilvl="8" w:tplc="89C260B4" w:tentative="1">
      <w:start w:val="1"/>
      <w:numFmt w:val="bullet"/>
      <w:lvlText w:val=""/>
      <w:lvlJc w:val="left"/>
      <w:pPr>
        <w:ind w:left="6480" w:hanging="360"/>
      </w:pPr>
      <w:rPr>
        <w:rFonts w:ascii="Wingdings" w:hAnsi="Wingdings" w:hint="default"/>
      </w:rPr>
    </w:lvl>
  </w:abstractNum>
  <w:abstractNum w:abstractNumId="10" w15:restartNumberingAfterBreak="0">
    <w:nsid w:val="2CE74BB4"/>
    <w:multiLevelType w:val="hybridMultilevel"/>
    <w:tmpl w:val="25BE4D30"/>
    <w:lvl w:ilvl="0" w:tplc="D0F62624">
      <w:start w:val="1"/>
      <w:numFmt w:val="bullet"/>
      <w:lvlText w:val=""/>
      <w:lvlJc w:val="left"/>
      <w:pPr>
        <w:ind w:left="720" w:hanging="360"/>
      </w:pPr>
      <w:rPr>
        <w:rFonts w:ascii="Symbol" w:hAnsi="Symbol" w:hint="default"/>
      </w:rPr>
    </w:lvl>
    <w:lvl w:ilvl="1" w:tplc="9634D38E">
      <w:start w:val="1"/>
      <w:numFmt w:val="bullet"/>
      <w:lvlText w:val="o"/>
      <w:lvlJc w:val="left"/>
      <w:pPr>
        <w:ind w:left="1440" w:hanging="360"/>
      </w:pPr>
      <w:rPr>
        <w:rFonts w:ascii="Courier New" w:hAnsi="Courier New" w:cs="Courier New" w:hint="default"/>
      </w:rPr>
    </w:lvl>
    <w:lvl w:ilvl="2" w:tplc="6B9CC9B4" w:tentative="1">
      <w:start w:val="1"/>
      <w:numFmt w:val="bullet"/>
      <w:lvlText w:val=""/>
      <w:lvlJc w:val="left"/>
      <w:pPr>
        <w:ind w:left="2160" w:hanging="360"/>
      </w:pPr>
      <w:rPr>
        <w:rFonts w:ascii="Wingdings" w:hAnsi="Wingdings" w:hint="default"/>
      </w:rPr>
    </w:lvl>
    <w:lvl w:ilvl="3" w:tplc="824C4664" w:tentative="1">
      <w:start w:val="1"/>
      <w:numFmt w:val="bullet"/>
      <w:lvlText w:val=""/>
      <w:lvlJc w:val="left"/>
      <w:pPr>
        <w:ind w:left="2880" w:hanging="360"/>
      </w:pPr>
      <w:rPr>
        <w:rFonts w:ascii="Symbol" w:hAnsi="Symbol" w:hint="default"/>
      </w:rPr>
    </w:lvl>
    <w:lvl w:ilvl="4" w:tplc="C4884B44" w:tentative="1">
      <w:start w:val="1"/>
      <w:numFmt w:val="bullet"/>
      <w:lvlText w:val="o"/>
      <w:lvlJc w:val="left"/>
      <w:pPr>
        <w:ind w:left="3600" w:hanging="360"/>
      </w:pPr>
      <w:rPr>
        <w:rFonts w:ascii="Courier New" w:hAnsi="Courier New" w:cs="Courier New" w:hint="default"/>
      </w:rPr>
    </w:lvl>
    <w:lvl w:ilvl="5" w:tplc="08BA324E" w:tentative="1">
      <w:start w:val="1"/>
      <w:numFmt w:val="bullet"/>
      <w:lvlText w:val=""/>
      <w:lvlJc w:val="left"/>
      <w:pPr>
        <w:ind w:left="4320" w:hanging="360"/>
      </w:pPr>
      <w:rPr>
        <w:rFonts w:ascii="Wingdings" w:hAnsi="Wingdings" w:hint="default"/>
      </w:rPr>
    </w:lvl>
    <w:lvl w:ilvl="6" w:tplc="5D3C51A6" w:tentative="1">
      <w:start w:val="1"/>
      <w:numFmt w:val="bullet"/>
      <w:lvlText w:val=""/>
      <w:lvlJc w:val="left"/>
      <w:pPr>
        <w:ind w:left="5040" w:hanging="360"/>
      </w:pPr>
      <w:rPr>
        <w:rFonts w:ascii="Symbol" w:hAnsi="Symbol" w:hint="default"/>
      </w:rPr>
    </w:lvl>
    <w:lvl w:ilvl="7" w:tplc="D3C0FF8A" w:tentative="1">
      <w:start w:val="1"/>
      <w:numFmt w:val="bullet"/>
      <w:lvlText w:val="o"/>
      <w:lvlJc w:val="left"/>
      <w:pPr>
        <w:ind w:left="5760" w:hanging="360"/>
      </w:pPr>
      <w:rPr>
        <w:rFonts w:ascii="Courier New" w:hAnsi="Courier New" w:cs="Courier New" w:hint="default"/>
      </w:rPr>
    </w:lvl>
    <w:lvl w:ilvl="8" w:tplc="D53E4CFE" w:tentative="1">
      <w:start w:val="1"/>
      <w:numFmt w:val="bullet"/>
      <w:lvlText w:val=""/>
      <w:lvlJc w:val="left"/>
      <w:pPr>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F314C68"/>
    <w:multiLevelType w:val="hybridMultilevel"/>
    <w:tmpl w:val="C1F8DF8C"/>
    <w:lvl w:ilvl="0" w:tplc="2E0E2924">
      <w:start w:val="1"/>
      <w:numFmt w:val="bullet"/>
      <w:lvlText w:val=""/>
      <w:lvlJc w:val="left"/>
      <w:pPr>
        <w:ind w:left="720" w:hanging="360"/>
      </w:pPr>
      <w:rPr>
        <w:rFonts w:ascii="Symbol" w:hAnsi="Symbol" w:hint="default"/>
      </w:rPr>
    </w:lvl>
    <w:lvl w:ilvl="1" w:tplc="99DC101A" w:tentative="1">
      <w:start w:val="1"/>
      <w:numFmt w:val="bullet"/>
      <w:lvlText w:val="o"/>
      <w:lvlJc w:val="left"/>
      <w:pPr>
        <w:ind w:left="1440" w:hanging="360"/>
      </w:pPr>
      <w:rPr>
        <w:rFonts w:ascii="Courier New" w:hAnsi="Courier New" w:cs="Courier New" w:hint="default"/>
      </w:rPr>
    </w:lvl>
    <w:lvl w:ilvl="2" w:tplc="F79CBED4" w:tentative="1">
      <w:start w:val="1"/>
      <w:numFmt w:val="bullet"/>
      <w:lvlText w:val=""/>
      <w:lvlJc w:val="left"/>
      <w:pPr>
        <w:ind w:left="2160" w:hanging="360"/>
      </w:pPr>
      <w:rPr>
        <w:rFonts w:ascii="Wingdings" w:hAnsi="Wingdings" w:hint="default"/>
      </w:rPr>
    </w:lvl>
    <w:lvl w:ilvl="3" w:tplc="7BB0A01C" w:tentative="1">
      <w:start w:val="1"/>
      <w:numFmt w:val="bullet"/>
      <w:lvlText w:val=""/>
      <w:lvlJc w:val="left"/>
      <w:pPr>
        <w:ind w:left="2880" w:hanging="360"/>
      </w:pPr>
      <w:rPr>
        <w:rFonts w:ascii="Symbol" w:hAnsi="Symbol" w:hint="default"/>
      </w:rPr>
    </w:lvl>
    <w:lvl w:ilvl="4" w:tplc="F57A0DA4" w:tentative="1">
      <w:start w:val="1"/>
      <w:numFmt w:val="bullet"/>
      <w:lvlText w:val="o"/>
      <w:lvlJc w:val="left"/>
      <w:pPr>
        <w:ind w:left="3600" w:hanging="360"/>
      </w:pPr>
      <w:rPr>
        <w:rFonts w:ascii="Courier New" w:hAnsi="Courier New" w:cs="Courier New" w:hint="default"/>
      </w:rPr>
    </w:lvl>
    <w:lvl w:ilvl="5" w:tplc="921A5546" w:tentative="1">
      <w:start w:val="1"/>
      <w:numFmt w:val="bullet"/>
      <w:lvlText w:val=""/>
      <w:lvlJc w:val="left"/>
      <w:pPr>
        <w:ind w:left="4320" w:hanging="360"/>
      </w:pPr>
      <w:rPr>
        <w:rFonts w:ascii="Wingdings" w:hAnsi="Wingdings" w:hint="default"/>
      </w:rPr>
    </w:lvl>
    <w:lvl w:ilvl="6" w:tplc="DB722A16" w:tentative="1">
      <w:start w:val="1"/>
      <w:numFmt w:val="bullet"/>
      <w:lvlText w:val=""/>
      <w:lvlJc w:val="left"/>
      <w:pPr>
        <w:ind w:left="5040" w:hanging="360"/>
      </w:pPr>
      <w:rPr>
        <w:rFonts w:ascii="Symbol" w:hAnsi="Symbol" w:hint="default"/>
      </w:rPr>
    </w:lvl>
    <w:lvl w:ilvl="7" w:tplc="D4762ABE" w:tentative="1">
      <w:start w:val="1"/>
      <w:numFmt w:val="bullet"/>
      <w:lvlText w:val="o"/>
      <w:lvlJc w:val="left"/>
      <w:pPr>
        <w:ind w:left="5760" w:hanging="360"/>
      </w:pPr>
      <w:rPr>
        <w:rFonts w:ascii="Courier New" w:hAnsi="Courier New" w:cs="Courier New" w:hint="default"/>
      </w:rPr>
    </w:lvl>
    <w:lvl w:ilvl="8" w:tplc="FE64015A" w:tentative="1">
      <w:start w:val="1"/>
      <w:numFmt w:val="bullet"/>
      <w:lvlText w:val=""/>
      <w:lvlJc w:val="left"/>
      <w:pPr>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020AA2"/>
    <w:multiLevelType w:val="hybridMultilevel"/>
    <w:tmpl w:val="97D66CAC"/>
    <w:lvl w:ilvl="0" w:tplc="041D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6F961F25"/>
    <w:multiLevelType w:val="hybridMultilevel"/>
    <w:tmpl w:val="0D806736"/>
    <w:lvl w:ilvl="0" w:tplc="A75A96D6">
      <w:start w:val="1"/>
      <w:numFmt w:val="bullet"/>
      <w:lvlText w:val=""/>
      <w:lvlJc w:val="left"/>
      <w:pPr>
        <w:ind w:left="720" w:hanging="360"/>
      </w:pPr>
      <w:rPr>
        <w:rFonts w:ascii="Symbol" w:hAnsi="Symbol" w:hint="default"/>
      </w:rPr>
    </w:lvl>
    <w:lvl w:ilvl="1" w:tplc="173CC1EA" w:tentative="1">
      <w:start w:val="1"/>
      <w:numFmt w:val="bullet"/>
      <w:lvlText w:val="o"/>
      <w:lvlJc w:val="left"/>
      <w:pPr>
        <w:ind w:left="1440" w:hanging="360"/>
      </w:pPr>
      <w:rPr>
        <w:rFonts w:ascii="Courier New" w:hAnsi="Courier New" w:cs="Courier New" w:hint="default"/>
      </w:rPr>
    </w:lvl>
    <w:lvl w:ilvl="2" w:tplc="DAB4C6CC" w:tentative="1">
      <w:start w:val="1"/>
      <w:numFmt w:val="bullet"/>
      <w:lvlText w:val=""/>
      <w:lvlJc w:val="left"/>
      <w:pPr>
        <w:ind w:left="2160" w:hanging="360"/>
      </w:pPr>
      <w:rPr>
        <w:rFonts w:ascii="Wingdings" w:hAnsi="Wingdings" w:hint="default"/>
      </w:rPr>
    </w:lvl>
    <w:lvl w:ilvl="3" w:tplc="01021F0A" w:tentative="1">
      <w:start w:val="1"/>
      <w:numFmt w:val="bullet"/>
      <w:lvlText w:val=""/>
      <w:lvlJc w:val="left"/>
      <w:pPr>
        <w:ind w:left="2880" w:hanging="360"/>
      </w:pPr>
      <w:rPr>
        <w:rFonts w:ascii="Symbol" w:hAnsi="Symbol" w:hint="default"/>
      </w:rPr>
    </w:lvl>
    <w:lvl w:ilvl="4" w:tplc="1FFEA26E" w:tentative="1">
      <w:start w:val="1"/>
      <w:numFmt w:val="bullet"/>
      <w:lvlText w:val="o"/>
      <w:lvlJc w:val="left"/>
      <w:pPr>
        <w:ind w:left="3600" w:hanging="360"/>
      </w:pPr>
      <w:rPr>
        <w:rFonts w:ascii="Courier New" w:hAnsi="Courier New" w:cs="Courier New" w:hint="default"/>
      </w:rPr>
    </w:lvl>
    <w:lvl w:ilvl="5" w:tplc="C31EC8F8" w:tentative="1">
      <w:start w:val="1"/>
      <w:numFmt w:val="bullet"/>
      <w:lvlText w:val=""/>
      <w:lvlJc w:val="left"/>
      <w:pPr>
        <w:ind w:left="4320" w:hanging="360"/>
      </w:pPr>
      <w:rPr>
        <w:rFonts w:ascii="Wingdings" w:hAnsi="Wingdings" w:hint="default"/>
      </w:rPr>
    </w:lvl>
    <w:lvl w:ilvl="6" w:tplc="8BC0E340" w:tentative="1">
      <w:start w:val="1"/>
      <w:numFmt w:val="bullet"/>
      <w:lvlText w:val=""/>
      <w:lvlJc w:val="left"/>
      <w:pPr>
        <w:ind w:left="5040" w:hanging="360"/>
      </w:pPr>
      <w:rPr>
        <w:rFonts w:ascii="Symbol" w:hAnsi="Symbol" w:hint="default"/>
      </w:rPr>
    </w:lvl>
    <w:lvl w:ilvl="7" w:tplc="C9009D2C" w:tentative="1">
      <w:start w:val="1"/>
      <w:numFmt w:val="bullet"/>
      <w:lvlText w:val="o"/>
      <w:lvlJc w:val="left"/>
      <w:pPr>
        <w:ind w:left="5760" w:hanging="360"/>
      </w:pPr>
      <w:rPr>
        <w:rFonts w:ascii="Courier New" w:hAnsi="Courier New" w:cs="Courier New" w:hint="default"/>
      </w:rPr>
    </w:lvl>
    <w:lvl w:ilvl="8" w:tplc="227651FE" w:tentative="1">
      <w:start w:val="1"/>
      <w:numFmt w:val="bullet"/>
      <w:lvlText w:val=""/>
      <w:lvlJc w:val="left"/>
      <w:pPr>
        <w:ind w:left="6480" w:hanging="360"/>
      </w:pPr>
      <w:rPr>
        <w:rFonts w:ascii="Wingdings" w:hAnsi="Wingdings"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66624975">
    <w:abstractNumId w:val="23"/>
  </w:num>
  <w:num w:numId="2" w16cid:durableId="1260409184">
    <w:abstractNumId w:val="19"/>
  </w:num>
  <w:num w:numId="3" w16cid:durableId="570892351">
    <w:abstractNumId w:val="0"/>
  </w:num>
  <w:num w:numId="4" w16cid:durableId="1280145046">
    <w:abstractNumId w:val="7"/>
  </w:num>
  <w:num w:numId="5" w16cid:durableId="808938483">
    <w:abstractNumId w:val="21"/>
  </w:num>
  <w:num w:numId="6" w16cid:durableId="103891975">
    <w:abstractNumId w:val="2"/>
  </w:num>
  <w:num w:numId="7" w16cid:durableId="356079446">
    <w:abstractNumId w:val="14"/>
  </w:num>
  <w:num w:numId="8" w16cid:durableId="992637113">
    <w:abstractNumId w:val="11"/>
  </w:num>
  <w:num w:numId="9" w16cid:durableId="1132600457">
    <w:abstractNumId w:val="1"/>
  </w:num>
  <w:num w:numId="10" w16cid:durableId="1512911401">
    <w:abstractNumId w:val="1"/>
  </w:num>
  <w:num w:numId="11" w16cid:durableId="289941242">
    <w:abstractNumId w:val="4"/>
  </w:num>
  <w:num w:numId="12" w16cid:durableId="285045530">
    <w:abstractNumId w:val="5"/>
  </w:num>
  <w:num w:numId="13" w16cid:durableId="156767396">
    <w:abstractNumId w:val="18"/>
  </w:num>
  <w:num w:numId="14" w16cid:durableId="2036925444">
    <w:abstractNumId w:val="12"/>
  </w:num>
  <w:num w:numId="15" w16cid:durableId="935987597">
    <w:abstractNumId w:val="8"/>
  </w:num>
  <w:num w:numId="16" w16cid:durableId="644507398">
    <w:abstractNumId w:val="16"/>
  </w:num>
  <w:num w:numId="17" w16cid:durableId="706760260">
    <w:abstractNumId w:val="6"/>
  </w:num>
  <w:num w:numId="18" w16cid:durableId="1387298764">
    <w:abstractNumId w:val="13"/>
  </w:num>
  <w:num w:numId="19" w16cid:durableId="435292517">
    <w:abstractNumId w:val="22"/>
  </w:num>
  <w:num w:numId="20" w16cid:durableId="415054669">
    <w:abstractNumId w:val="9"/>
  </w:num>
  <w:num w:numId="21" w16cid:durableId="938831959">
    <w:abstractNumId w:val="10"/>
  </w:num>
  <w:num w:numId="22" w16cid:durableId="379287794">
    <w:abstractNumId w:val="20"/>
  </w:num>
  <w:num w:numId="23" w16cid:durableId="1018237375">
    <w:abstractNumId w:val="15"/>
  </w:num>
  <w:num w:numId="24" w16cid:durableId="2111578764">
    <w:abstractNumId w:val="3"/>
  </w:num>
  <w:num w:numId="25" w16cid:durableId="23797952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5D4D"/>
    <w:rsid w:val="00015E29"/>
    <w:rsid w:val="00016CF0"/>
    <w:rsid w:val="00023F9A"/>
    <w:rsid w:val="0002435C"/>
    <w:rsid w:val="00026B6D"/>
    <w:rsid w:val="00030552"/>
    <w:rsid w:val="00030C4F"/>
    <w:rsid w:val="00030DDD"/>
    <w:rsid w:val="000313BB"/>
    <w:rsid w:val="00033ED5"/>
    <w:rsid w:val="00041071"/>
    <w:rsid w:val="00050500"/>
    <w:rsid w:val="0005691C"/>
    <w:rsid w:val="00056ECB"/>
    <w:rsid w:val="00056ED5"/>
    <w:rsid w:val="000655CC"/>
    <w:rsid w:val="000700AE"/>
    <w:rsid w:val="00077540"/>
    <w:rsid w:val="00084024"/>
    <w:rsid w:val="0009062C"/>
    <w:rsid w:val="000923E6"/>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39D"/>
    <w:rsid w:val="00133A0F"/>
    <w:rsid w:val="0013580F"/>
    <w:rsid w:val="00137B6D"/>
    <w:rsid w:val="00137BB3"/>
    <w:rsid w:val="00137D4C"/>
    <w:rsid w:val="0014070B"/>
    <w:rsid w:val="001422C1"/>
    <w:rsid w:val="001522AE"/>
    <w:rsid w:val="00157D5B"/>
    <w:rsid w:val="00161FE6"/>
    <w:rsid w:val="001647EA"/>
    <w:rsid w:val="00164C3D"/>
    <w:rsid w:val="00166D3A"/>
    <w:rsid w:val="00167572"/>
    <w:rsid w:val="00181FDC"/>
    <w:rsid w:val="001860B9"/>
    <w:rsid w:val="00186F2B"/>
    <w:rsid w:val="001874D6"/>
    <w:rsid w:val="0019632A"/>
    <w:rsid w:val="001A4E7C"/>
    <w:rsid w:val="001B762C"/>
    <w:rsid w:val="001C0661"/>
    <w:rsid w:val="001C4D0A"/>
    <w:rsid w:val="001C5FEF"/>
    <w:rsid w:val="00211487"/>
    <w:rsid w:val="00211D91"/>
    <w:rsid w:val="00217DEC"/>
    <w:rsid w:val="00227A5B"/>
    <w:rsid w:val="00235B57"/>
    <w:rsid w:val="00250F24"/>
    <w:rsid w:val="002523C5"/>
    <w:rsid w:val="0025380B"/>
    <w:rsid w:val="0025703A"/>
    <w:rsid w:val="00257CB8"/>
    <w:rsid w:val="00262F3D"/>
    <w:rsid w:val="00263281"/>
    <w:rsid w:val="002651D6"/>
    <w:rsid w:val="0026551F"/>
    <w:rsid w:val="00273800"/>
    <w:rsid w:val="00280A85"/>
    <w:rsid w:val="00284119"/>
    <w:rsid w:val="00290B5C"/>
    <w:rsid w:val="00294791"/>
    <w:rsid w:val="002B0B30"/>
    <w:rsid w:val="002B0C78"/>
    <w:rsid w:val="002B4D72"/>
    <w:rsid w:val="002C0C02"/>
    <w:rsid w:val="002C1277"/>
    <w:rsid w:val="002C60AD"/>
    <w:rsid w:val="002D0E0E"/>
    <w:rsid w:val="002D51D3"/>
    <w:rsid w:val="002D6023"/>
    <w:rsid w:val="002E263F"/>
    <w:rsid w:val="002E6C10"/>
    <w:rsid w:val="002E6F81"/>
    <w:rsid w:val="002F08BA"/>
    <w:rsid w:val="002F2CFF"/>
    <w:rsid w:val="002F568B"/>
    <w:rsid w:val="002F7818"/>
    <w:rsid w:val="003066D0"/>
    <w:rsid w:val="00311401"/>
    <w:rsid w:val="003203D7"/>
    <w:rsid w:val="00320F86"/>
    <w:rsid w:val="00324171"/>
    <w:rsid w:val="00326C24"/>
    <w:rsid w:val="00327CD1"/>
    <w:rsid w:val="00337F99"/>
    <w:rsid w:val="0034307B"/>
    <w:rsid w:val="00345EB1"/>
    <w:rsid w:val="00350CC4"/>
    <w:rsid w:val="0035371C"/>
    <w:rsid w:val="00360E0D"/>
    <w:rsid w:val="0036357D"/>
    <w:rsid w:val="00363B23"/>
    <w:rsid w:val="0036594C"/>
    <w:rsid w:val="00367D19"/>
    <w:rsid w:val="00371BED"/>
    <w:rsid w:val="00384019"/>
    <w:rsid w:val="003854F1"/>
    <w:rsid w:val="003863A7"/>
    <w:rsid w:val="0039118E"/>
    <w:rsid w:val="00397F54"/>
    <w:rsid w:val="003A0D43"/>
    <w:rsid w:val="003B2A4B"/>
    <w:rsid w:val="003C2ADF"/>
    <w:rsid w:val="003D099E"/>
    <w:rsid w:val="003D21A2"/>
    <w:rsid w:val="003D29D2"/>
    <w:rsid w:val="003E0705"/>
    <w:rsid w:val="003E2FF7"/>
    <w:rsid w:val="003E7A40"/>
    <w:rsid w:val="003F1013"/>
    <w:rsid w:val="003F1ACF"/>
    <w:rsid w:val="00404948"/>
    <w:rsid w:val="00406BEA"/>
    <w:rsid w:val="00413765"/>
    <w:rsid w:val="00413A60"/>
    <w:rsid w:val="004230F7"/>
    <w:rsid w:val="00423884"/>
    <w:rsid w:val="0043167E"/>
    <w:rsid w:val="0043409A"/>
    <w:rsid w:val="00443C1E"/>
    <w:rsid w:val="00446255"/>
    <w:rsid w:val="00451935"/>
    <w:rsid w:val="00454999"/>
    <w:rsid w:val="00460ED0"/>
    <w:rsid w:val="00465651"/>
    <w:rsid w:val="00470CE7"/>
    <w:rsid w:val="00470F4F"/>
    <w:rsid w:val="00472482"/>
    <w:rsid w:val="00480DC7"/>
    <w:rsid w:val="004876F6"/>
    <w:rsid w:val="0049236A"/>
    <w:rsid w:val="00492718"/>
    <w:rsid w:val="00492E35"/>
    <w:rsid w:val="004A12D1"/>
    <w:rsid w:val="004A355D"/>
    <w:rsid w:val="004A4970"/>
    <w:rsid w:val="004B2183"/>
    <w:rsid w:val="004B2A01"/>
    <w:rsid w:val="004B369E"/>
    <w:rsid w:val="004C2559"/>
    <w:rsid w:val="004D364B"/>
    <w:rsid w:val="004D7BA3"/>
    <w:rsid w:val="004F4518"/>
    <w:rsid w:val="004F4C62"/>
    <w:rsid w:val="00501433"/>
    <w:rsid w:val="00511CC4"/>
    <w:rsid w:val="00522166"/>
    <w:rsid w:val="00530772"/>
    <w:rsid w:val="00531E60"/>
    <w:rsid w:val="005353FF"/>
    <w:rsid w:val="00536A5A"/>
    <w:rsid w:val="00541D07"/>
    <w:rsid w:val="00544BAB"/>
    <w:rsid w:val="00545F31"/>
    <w:rsid w:val="005578FA"/>
    <w:rsid w:val="00565129"/>
    <w:rsid w:val="00565CD0"/>
    <w:rsid w:val="00567820"/>
    <w:rsid w:val="005770AD"/>
    <w:rsid w:val="00581414"/>
    <w:rsid w:val="00582490"/>
    <w:rsid w:val="005826FA"/>
    <w:rsid w:val="00595884"/>
    <w:rsid w:val="0059665D"/>
    <w:rsid w:val="00597E28"/>
    <w:rsid w:val="005A2E3B"/>
    <w:rsid w:val="005A4A52"/>
    <w:rsid w:val="005A54ED"/>
    <w:rsid w:val="005A5D5B"/>
    <w:rsid w:val="005A6081"/>
    <w:rsid w:val="005A627D"/>
    <w:rsid w:val="005C0045"/>
    <w:rsid w:val="005C084E"/>
    <w:rsid w:val="005C1200"/>
    <w:rsid w:val="005C2B9F"/>
    <w:rsid w:val="005C4606"/>
    <w:rsid w:val="005C6A3C"/>
    <w:rsid w:val="005D0B0C"/>
    <w:rsid w:val="005E02B3"/>
    <w:rsid w:val="005E1E24"/>
    <w:rsid w:val="005E2748"/>
    <w:rsid w:val="0060596B"/>
    <w:rsid w:val="00606D97"/>
    <w:rsid w:val="00614E64"/>
    <w:rsid w:val="00617710"/>
    <w:rsid w:val="00617EE6"/>
    <w:rsid w:val="0062184C"/>
    <w:rsid w:val="00623724"/>
    <w:rsid w:val="00626380"/>
    <w:rsid w:val="00627BEA"/>
    <w:rsid w:val="006319DB"/>
    <w:rsid w:val="0065372F"/>
    <w:rsid w:val="0065595B"/>
    <w:rsid w:val="00660269"/>
    <w:rsid w:val="0066509E"/>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5BC0"/>
    <w:rsid w:val="006D5D25"/>
    <w:rsid w:val="006D7535"/>
    <w:rsid w:val="006E450B"/>
    <w:rsid w:val="006E7A0F"/>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272B"/>
    <w:rsid w:val="0078609F"/>
    <w:rsid w:val="007917BA"/>
    <w:rsid w:val="007A5C6F"/>
    <w:rsid w:val="007D4241"/>
    <w:rsid w:val="007D4317"/>
    <w:rsid w:val="007D4EA3"/>
    <w:rsid w:val="007E50CD"/>
    <w:rsid w:val="007F1CFF"/>
    <w:rsid w:val="007F5DD5"/>
    <w:rsid w:val="00811485"/>
    <w:rsid w:val="00821A1B"/>
    <w:rsid w:val="008262E9"/>
    <w:rsid w:val="00827E69"/>
    <w:rsid w:val="00835C4D"/>
    <w:rsid w:val="00835E16"/>
    <w:rsid w:val="00843F48"/>
    <w:rsid w:val="008445AC"/>
    <w:rsid w:val="00851423"/>
    <w:rsid w:val="008542F3"/>
    <w:rsid w:val="00857848"/>
    <w:rsid w:val="008654B6"/>
    <w:rsid w:val="00865CD8"/>
    <w:rsid w:val="0087139C"/>
    <w:rsid w:val="00880E83"/>
    <w:rsid w:val="00892F28"/>
    <w:rsid w:val="008A0C5F"/>
    <w:rsid w:val="008A3DEA"/>
    <w:rsid w:val="008A4EB9"/>
    <w:rsid w:val="008A74C0"/>
    <w:rsid w:val="008B1694"/>
    <w:rsid w:val="008C3CEA"/>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746BF"/>
    <w:rsid w:val="009B1F6B"/>
    <w:rsid w:val="009C0D12"/>
    <w:rsid w:val="009C192E"/>
    <w:rsid w:val="009D6819"/>
    <w:rsid w:val="009D6D1C"/>
    <w:rsid w:val="009E0CF9"/>
    <w:rsid w:val="009E531B"/>
    <w:rsid w:val="009E6C56"/>
    <w:rsid w:val="009E7DCF"/>
    <w:rsid w:val="009F3A81"/>
    <w:rsid w:val="009F4A56"/>
    <w:rsid w:val="009F4E65"/>
    <w:rsid w:val="00A006A5"/>
    <w:rsid w:val="00A05942"/>
    <w:rsid w:val="00A068B8"/>
    <w:rsid w:val="00A07BEC"/>
    <w:rsid w:val="00A07E37"/>
    <w:rsid w:val="00A264BE"/>
    <w:rsid w:val="00A272CA"/>
    <w:rsid w:val="00A33051"/>
    <w:rsid w:val="00A407AD"/>
    <w:rsid w:val="00A40923"/>
    <w:rsid w:val="00A41C05"/>
    <w:rsid w:val="00A42426"/>
    <w:rsid w:val="00A514B7"/>
    <w:rsid w:val="00A54A0B"/>
    <w:rsid w:val="00A65FD4"/>
    <w:rsid w:val="00A715A9"/>
    <w:rsid w:val="00A81198"/>
    <w:rsid w:val="00A81E48"/>
    <w:rsid w:val="00A82035"/>
    <w:rsid w:val="00A90D77"/>
    <w:rsid w:val="00A9285E"/>
    <w:rsid w:val="00A92E07"/>
    <w:rsid w:val="00AA0B3A"/>
    <w:rsid w:val="00AA6EB4"/>
    <w:rsid w:val="00AA767D"/>
    <w:rsid w:val="00AB0CC9"/>
    <w:rsid w:val="00AC3CDE"/>
    <w:rsid w:val="00AC3FF6"/>
    <w:rsid w:val="00AD73EC"/>
    <w:rsid w:val="00AE5BC7"/>
    <w:rsid w:val="00AF28DB"/>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8E1"/>
    <w:rsid w:val="00BA0066"/>
    <w:rsid w:val="00BB69DB"/>
    <w:rsid w:val="00BC037A"/>
    <w:rsid w:val="00BC322E"/>
    <w:rsid w:val="00BC44CD"/>
    <w:rsid w:val="00BC48A6"/>
    <w:rsid w:val="00BC7D0A"/>
    <w:rsid w:val="00BE7978"/>
    <w:rsid w:val="00C07DDB"/>
    <w:rsid w:val="00C15673"/>
    <w:rsid w:val="00C4115D"/>
    <w:rsid w:val="00C43BDD"/>
    <w:rsid w:val="00C47778"/>
    <w:rsid w:val="00C5011E"/>
    <w:rsid w:val="00C50EE5"/>
    <w:rsid w:val="00C5240A"/>
    <w:rsid w:val="00C5398F"/>
    <w:rsid w:val="00C556F5"/>
    <w:rsid w:val="00C70E19"/>
    <w:rsid w:val="00C7225D"/>
    <w:rsid w:val="00C72574"/>
    <w:rsid w:val="00C7430C"/>
    <w:rsid w:val="00C85DA1"/>
    <w:rsid w:val="00C9071C"/>
    <w:rsid w:val="00C908FF"/>
    <w:rsid w:val="00C91377"/>
    <w:rsid w:val="00C93083"/>
    <w:rsid w:val="00C97BD3"/>
    <w:rsid w:val="00CA39EF"/>
    <w:rsid w:val="00CA521F"/>
    <w:rsid w:val="00CB0493"/>
    <w:rsid w:val="00CB17FF"/>
    <w:rsid w:val="00CB1ED7"/>
    <w:rsid w:val="00CC167C"/>
    <w:rsid w:val="00CC52D9"/>
    <w:rsid w:val="00CD6647"/>
    <w:rsid w:val="00CE4B73"/>
    <w:rsid w:val="00CF46F0"/>
    <w:rsid w:val="00CF6845"/>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64D01"/>
    <w:rsid w:val="00E7237C"/>
    <w:rsid w:val="00E77C46"/>
    <w:rsid w:val="00E86CE8"/>
    <w:rsid w:val="00E90E82"/>
    <w:rsid w:val="00EA00CB"/>
    <w:rsid w:val="00EA1BAA"/>
    <w:rsid w:val="00EA3FCD"/>
    <w:rsid w:val="00EA42A0"/>
    <w:rsid w:val="00EA62E5"/>
    <w:rsid w:val="00EB6714"/>
    <w:rsid w:val="00EC0A68"/>
    <w:rsid w:val="00EC5006"/>
    <w:rsid w:val="00ED49C3"/>
    <w:rsid w:val="00ED5452"/>
    <w:rsid w:val="00ED6CE8"/>
    <w:rsid w:val="00ED7AA6"/>
    <w:rsid w:val="00EE1DB2"/>
    <w:rsid w:val="00EE2A56"/>
    <w:rsid w:val="00EE3818"/>
    <w:rsid w:val="00F22264"/>
    <w:rsid w:val="00F2564D"/>
    <w:rsid w:val="00F35B05"/>
    <w:rsid w:val="00F413D9"/>
    <w:rsid w:val="00F5135F"/>
    <w:rsid w:val="00F51F78"/>
    <w:rsid w:val="00F7493E"/>
    <w:rsid w:val="00F85FFB"/>
    <w:rsid w:val="00F86F47"/>
    <w:rsid w:val="00F90B64"/>
    <w:rsid w:val="00FB2F0F"/>
    <w:rsid w:val="00FB5086"/>
    <w:rsid w:val="00FB5411"/>
    <w:rsid w:val="00FB6392"/>
    <w:rsid w:val="00FB695A"/>
    <w:rsid w:val="00FD3C70"/>
    <w:rsid w:val="00FD6820"/>
    <w:rsid w:val="00FE12D8"/>
    <w:rsid w:val="00FF7C02"/>
    <w:rsid w:val="024801E3"/>
    <w:rsid w:val="24B220E3"/>
    <w:rsid w:val="3CB26755"/>
    <w:rsid w:val="49951321"/>
    <w:rsid w:val="5B7BBF8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AA0FB059-47B9-46EA-A141-087F4C85AA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F85FFB"/>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F85FFB"/>
    <w:rPr>
      <w:rFonts w:asciiTheme="minorHAnsi" w:eastAsiaTheme="minorEastAsia" w:hAnsiTheme="minorHAnsi" w:cstheme="minorBidi"/>
      <w:color w:val="5A5A5A" w:themeColor="text1" w:themeTint="A5"/>
      <w:spacing w:val="15"/>
      <w:sz w:val="22"/>
      <w:szCs w:val="22"/>
    </w:rPr>
  </w:style>
  <w:style w:type="character" w:styleId="Olstomnmnande">
    <w:name w:val="Unresolved Mention"/>
    <w:basedOn w:val="Standardstycketeckensnitt"/>
    <w:uiPriority w:val="99"/>
    <w:semiHidden/>
    <w:unhideWhenUsed/>
    <w:rsid w:val="00AF28D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sn11800-2140136717-653/surrogate/Demenssjukdom%2c%20utredning%20och%20uppf%c3%b6ljning.pdf"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hyperlink" Target="https://lakartidningen.se/tema-demens-1/2009/05/markorer-i-likvor-och-blod-vid-minnessjukdomar/"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sn11800-2140136717-40/surrogate/Demens.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43</TotalTime>
  <Pages>7</Pages>
  <Words>1865</Words>
  <Characters>9890</Characters>
  <Application>Microsoft Office Word</Application>
  <DocSecurity>0</DocSecurity>
  <Lines>82</Lines>
  <Paragraphs>23</Paragraphs>
  <ScaleCrop>false</ScaleCrop>
  <Manager/>
  <Company/>
  <LinksUpToDate>false</LinksUpToDate>
  <CharactersWithSpaces>11732</CharactersWithSpaces>
  <SharedDoc>false</SharedDoc>
  <HyperlinkBase/>
  <HLinks>
    <vt:vector size="18" baseType="variant">
      <vt:variant>
        <vt:i4>2293884</vt:i4>
      </vt:variant>
      <vt:variant>
        <vt:i4>6</vt:i4>
      </vt:variant>
      <vt:variant>
        <vt:i4>0</vt:i4>
      </vt:variant>
      <vt:variant>
        <vt:i4>5</vt:i4>
      </vt:variant>
      <vt:variant>
        <vt:lpwstr>https://lakartidningen.se/tema-demens-1/2009/05/markorer-i-likvor-och-blod-vid-minnessjukdomar/</vt:lpwstr>
      </vt:variant>
      <vt:variant>
        <vt:lpwstr/>
      </vt:variant>
      <vt:variant>
        <vt:i4>1769554</vt:i4>
      </vt:variant>
      <vt:variant>
        <vt:i4>3</vt:i4>
      </vt:variant>
      <vt:variant>
        <vt:i4>0</vt:i4>
      </vt:variant>
      <vt:variant>
        <vt:i4>5</vt:i4>
      </vt:variant>
      <vt:variant>
        <vt:lpwstr>https://mellanarkiv-offentlig.vgregion.se/alfresco/s/archive/stream/public/v1/source/available/sofia/ssn11800-2140136717-40/surrogate/Demens.pdf</vt:lpwstr>
      </vt:variant>
      <vt:variant>
        <vt:lpwstr/>
      </vt:variant>
      <vt:variant>
        <vt:i4>2949218</vt:i4>
      </vt:variant>
      <vt:variant>
        <vt:i4>0</vt:i4>
      </vt:variant>
      <vt:variant>
        <vt:i4>0</vt:i4>
      </vt:variant>
      <vt:variant>
        <vt:i4>5</vt:i4>
      </vt:variant>
      <vt:variant>
        <vt:lpwstr>https://mellanarkiv-offentlig.vgregion.se/alfresco/s/archive/stream/public/v1/source/available/sofia/ssn11800-2140136717-653/surrogate/Demenssjukdom%2c utredning och uppf%c3%b6ljning.pdf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Demensutredning Kungälvs sjukhus</dc:title>
  <dc:subject/>
  <dc:creator>patrik.jens.johansson@vgregion.se</dc:creator>
  <keywords/>
  <lastModifiedBy>Annika Sigurdsson</lastModifiedBy>
  <revision>53</revision>
  <lastPrinted>2016-03-31T19:56:00.0000000Z</lastPrinted>
  <dcterms:created xsi:type="dcterms:W3CDTF">2022-01-17T23:20:00.0000000Z</dcterms:created>
  <dcterms:modified xsi:type="dcterms:W3CDTF">2024-09-18T07:56:00.0000000Z</dcterms:modified>
</coreProperties>
</file>