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B854C3" w14:textId="77777777" w:rsidR="004D1581" w:rsidRDefault="004D1581" w:rsidP="00F35B05">
      <w:pPr>
        <w:pStyle w:val="Rubrik2"/>
        <w:sectPr w:rsidR="004D1581" w:rsidSect="004D1581">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37B09840" w14:textId="4E81BEE5" w:rsidR="560DE28C" w:rsidRDefault="560DE28C" w:rsidP="16EFD2B3">
      <w:pPr>
        <w:pStyle w:val="Rubrik1"/>
      </w:pPr>
      <w:r>
        <w:t>BARNÖGON Blefarit</w:t>
      </w:r>
    </w:p>
    <w:p w14:paraId="5F98A85C" w14:textId="77777777" w:rsidR="004D1581" w:rsidRPr="004D1581" w:rsidRDefault="004D1581" w:rsidP="16EFD2B3">
      <w:pPr>
        <w:pStyle w:val="Rubrik2"/>
        <w:rPr>
          <w:rFonts w:ascii="Arial" w:hAnsi="Arial" w:cs="Arial"/>
          <w:b/>
        </w:rPr>
      </w:pPr>
      <w:r>
        <w:t>Syfte</w:t>
      </w:r>
    </w:p>
    <w:p w14:paraId="7E7FC45C" w14:textId="77777777" w:rsidR="004D1581" w:rsidRPr="004D1581" w:rsidRDefault="004D1581" w:rsidP="16EFD2B3">
      <w:pPr>
        <w:rPr>
          <w:rFonts w:ascii="Arial" w:hAnsi="Arial" w:cs="Arial"/>
          <w:sz w:val="20"/>
          <w:szCs w:val="20"/>
        </w:rPr>
      </w:pPr>
      <w:r>
        <w:t>Blefarit är en inflammation i främre och/eller bakre ögonlockskanten. Ofta ses en ökad kolonisation av bakterie på ögonlockskanten av till exempel Staph. Aureus, KNS, P. acnes eller Corynebakterier. Staph. Aureus toxin kan påverka kornea och orsaka astigmatism, ärrbildning och i värsta fall perforation. Barn får ofta korneal påverkan vid blefarit eftersom deras immunsystem är mer omoget. För att minimera risken för permanent synskada/amblyopi skall därför barn med blefarit följas och behandlas mer aktivt än vuxna. Vid uttalad blefarit bör man överväga att utreda angående underliggande orsaker som atopi eller andra allergiska tillstånd.</w:t>
      </w:r>
    </w:p>
    <w:p w14:paraId="069CEFB1" w14:textId="77777777" w:rsidR="004D1581" w:rsidRPr="004D1581" w:rsidRDefault="004D1581" w:rsidP="004D1581">
      <w:pPr>
        <w:spacing w:after="0" w:line="240" w:lineRule="auto"/>
        <w:ind w:left="0" w:right="0"/>
        <w:rPr>
          <w:rFonts w:ascii="Arial" w:hAnsi="Arial" w:cs="Arial"/>
          <w:sz w:val="20"/>
        </w:rPr>
      </w:pPr>
    </w:p>
    <w:p w14:paraId="4DA40CED" w14:textId="77777777" w:rsidR="004D1581" w:rsidRPr="004D1581" w:rsidRDefault="004D1581" w:rsidP="004D1581">
      <w:pPr>
        <w:spacing w:after="0" w:line="240" w:lineRule="auto"/>
        <w:ind w:left="0" w:right="0"/>
        <w:rPr>
          <w:rFonts w:ascii="Arial" w:hAnsi="Arial" w:cs="Arial"/>
          <w:sz w:val="20"/>
        </w:rPr>
      </w:pPr>
    </w:p>
    <w:p w14:paraId="2990BFB5" w14:textId="26D7420C" w:rsidR="004D1581" w:rsidRPr="004D1581" w:rsidRDefault="00CA3EB0" w:rsidP="16EFD2B3">
      <w:pPr>
        <w:pStyle w:val="Rubrik2"/>
        <w:rPr>
          <w:rFonts w:ascii="Arial" w:hAnsi="Arial" w:cs="Arial"/>
          <w:b/>
        </w:rPr>
      </w:pPr>
      <w:r>
        <w:t>Beskrivning</w:t>
      </w:r>
    </w:p>
    <w:p w14:paraId="311753E7" w14:textId="781A06A1" w:rsidR="004D1581" w:rsidRPr="004D1581" w:rsidRDefault="004D1581" w:rsidP="005A33CA">
      <w:pPr>
        <w:pStyle w:val="MellanrubrikVGR"/>
        <w:rPr>
          <w:rFonts w:ascii="Arial" w:hAnsi="Arial" w:cs="Arial"/>
          <w:bCs/>
          <w:i/>
          <w:iCs/>
          <w:sz w:val="20"/>
          <w:szCs w:val="20"/>
        </w:rPr>
      </w:pPr>
      <w:r>
        <w:t>Blefarit hos barn</w:t>
      </w:r>
    </w:p>
    <w:p w14:paraId="66FA93E4" w14:textId="77777777" w:rsidR="004D1581" w:rsidRPr="004D1581" w:rsidRDefault="004D1581" w:rsidP="16EFD2B3">
      <w:pPr>
        <w:pStyle w:val="Punktlista"/>
        <w:rPr>
          <w:rFonts w:ascii="Arial" w:hAnsi="Arial" w:cs="Arial"/>
          <w:sz w:val="20"/>
          <w:szCs w:val="20"/>
        </w:rPr>
      </w:pPr>
      <w:r>
        <w:t xml:space="preserve">Debutålder från 6 mån, vanligt vid 4 - 6 år (mitt i synutvecklingen).  </w:t>
      </w:r>
    </w:p>
    <w:p w14:paraId="36087CE7" w14:textId="77777777" w:rsidR="004D1581" w:rsidRPr="004D1581" w:rsidRDefault="004D1581" w:rsidP="16EFD2B3">
      <w:pPr>
        <w:pStyle w:val="Punktlista"/>
        <w:rPr>
          <w:rFonts w:ascii="Arial" w:hAnsi="Arial" w:cs="Arial"/>
          <w:sz w:val="20"/>
          <w:szCs w:val="20"/>
        </w:rPr>
      </w:pPr>
      <w:r>
        <w:t xml:space="preserve">Skov av röda ögon, irritation och ljuskänslighet – förväxlas ofta med allergiska besvär. </w:t>
      </w:r>
    </w:p>
    <w:p w14:paraId="7EAC730B" w14:textId="77777777" w:rsidR="004D1581" w:rsidRPr="004D1581" w:rsidRDefault="004D1581" w:rsidP="16EFD2B3">
      <w:pPr>
        <w:pStyle w:val="Punktlista"/>
        <w:rPr>
          <w:rFonts w:ascii="Arial" w:hAnsi="Arial" w:cs="Arial"/>
          <w:sz w:val="20"/>
          <w:szCs w:val="20"/>
        </w:rPr>
      </w:pPr>
      <w:r>
        <w:t xml:space="preserve">Många barn har även hudbesvär – rosacea, seborrhoisk eller atopisk dermatit. </w:t>
      </w:r>
    </w:p>
    <w:p w14:paraId="38C677FD" w14:textId="77777777" w:rsidR="004D1581" w:rsidRPr="004D1581" w:rsidRDefault="004D1581" w:rsidP="16EFD2B3">
      <w:pPr>
        <w:pStyle w:val="Punktlista"/>
        <w:rPr>
          <w:rFonts w:ascii="Arial" w:hAnsi="Arial" w:cs="Arial"/>
          <w:sz w:val="20"/>
          <w:szCs w:val="20"/>
        </w:rPr>
      </w:pPr>
      <w:r>
        <w:t xml:space="preserve">Upprepade vaglar hos småbarn medför hög risk för senare blefarit med korneal påverkan. </w:t>
      </w:r>
    </w:p>
    <w:p w14:paraId="67EA610A" w14:textId="0F03EA92" w:rsidR="004D1581" w:rsidRPr="004D1581" w:rsidRDefault="004D1581" w:rsidP="005A33CA">
      <w:pPr>
        <w:pStyle w:val="MellanrubrikVGR"/>
        <w:rPr>
          <w:rFonts w:ascii="Arial" w:hAnsi="Arial" w:cs="Arial"/>
          <w:sz w:val="20"/>
          <w:szCs w:val="20"/>
        </w:rPr>
      </w:pPr>
      <w:r>
        <w:t>Korneala förändringar hos barn</w:t>
      </w:r>
    </w:p>
    <w:p w14:paraId="2599BCB0" w14:textId="77777777" w:rsidR="004D1581" w:rsidRPr="004D1581" w:rsidRDefault="004D1581" w:rsidP="16EFD2B3">
      <w:pPr>
        <w:pStyle w:val="Punktlista"/>
        <w:rPr>
          <w:rFonts w:ascii="Arial" w:hAnsi="Arial" w:cs="Arial"/>
          <w:sz w:val="20"/>
          <w:szCs w:val="20"/>
        </w:rPr>
      </w:pPr>
      <w:r>
        <w:t xml:space="preserve">~40% har korneal påverkan vid akut blefarit. </w:t>
      </w:r>
    </w:p>
    <w:p w14:paraId="15E86FAD" w14:textId="77777777" w:rsidR="004D1581" w:rsidRPr="004D1581" w:rsidRDefault="004D1581" w:rsidP="16EFD2B3">
      <w:pPr>
        <w:pStyle w:val="Punktlista"/>
        <w:rPr>
          <w:rFonts w:ascii="Arial" w:hAnsi="Arial" w:cs="Arial"/>
          <w:sz w:val="20"/>
          <w:szCs w:val="20"/>
        </w:rPr>
      </w:pPr>
      <w:r>
        <w:t>~80% har korneal påverkan vid kronisk blefarit.</w:t>
      </w:r>
    </w:p>
    <w:p w14:paraId="1110FB1E" w14:textId="77777777" w:rsidR="004D1581" w:rsidRPr="004D1581" w:rsidRDefault="004D1581" w:rsidP="16EFD2B3">
      <w:pPr>
        <w:pStyle w:val="Punktlista"/>
        <w:rPr>
          <w:rFonts w:ascii="Arial" w:hAnsi="Arial" w:cs="Arial"/>
          <w:sz w:val="20"/>
          <w:szCs w:val="20"/>
        </w:rPr>
      </w:pPr>
      <w:r>
        <w:t xml:space="preserve">Riskfaktorer: Fotofobi, vaglar, flickor och asymmetrisk sjukdom. </w:t>
      </w:r>
    </w:p>
    <w:p w14:paraId="364FE4AC" w14:textId="77777777" w:rsidR="004D1581" w:rsidRPr="004D1581" w:rsidRDefault="004D1581" w:rsidP="00CA3EB0">
      <w:pPr>
        <w:pStyle w:val="Rubrik2"/>
        <w:rPr>
          <w:rFonts w:ascii="Arial" w:hAnsi="Arial" w:cs="Arial"/>
          <w:sz w:val="22"/>
          <w:szCs w:val="22"/>
        </w:rPr>
      </w:pPr>
      <w:r>
        <w:lastRenderedPageBreak/>
        <w:t>Klassificering</w:t>
      </w:r>
    </w:p>
    <w:p w14:paraId="3204694F" w14:textId="249628C5" w:rsidR="004D1581" w:rsidRPr="002F29A5" w:rsidRDefault="004D1581" w:rsidP="00CA3EB0">
      <w:pPr>
        <w:pStyle w:val="MellanrubrikVGR"/>
        <w:rPr>
          <w:rFonts w:ascii="Arial" w:hAnsi="Arial" w:cs="Arial"/>
          <w:sz w:val="20"/>
          <w:szCs w:val="20"/>
        </w:rPr>
      </w:pPr>
      <w:r w:rsidRPr="002F29A5">
        <w:t>Främre blefarit</w:t>
      </w:r>
    </w:p>
    <w:p w14:paraId="6E48D8D5" w14:textId="77777777" w:rsidR="004D1581" w:rsidRPr="004D1581" w:rsidRDefault="004D1581" w:rsidP="16EFD2B3">
      <w:pPr>
        <w:rPr>
          <w:rFonts w:ascii="Arial" w:hAnsi="Arial" w:cs="Arial"/>
          <w:sz w:val="20"/>
          <w:szCs w:val="20"/>
        </w:rPr>
      </w:pPr>
      <w:r>
        <w:t xml:space="preserve">Bakteriell infektion dominerar -Stafylokockorsakad/ Seborroisk eller blandform. </w:t>
      </w:r>
    </w:p>
    <w:p w14:paraId="7BB35B1C" w14:textId="77777777" w:rsidR="004D1581" w:rsidRPr="004D1581" w:rsidRDefault="004D1581" w:rsidP="16EFD2B3">
      <w:pPr>
        <w:pStyle w:val="Punktlista"/>
        <w:rPr>
          <w:rFonts w:ascii="Arial" w:hAnsi="Arial" w:cs="Arial"/>
          <w:sz w:val="20"/>
          <w:szCs w:val="20"/>
        </w:rPr>
      </w:pPr>
      <w:r>
        <w:t xml:space="preserve">Symptom: brinnande känsla, ibland främmande kroppskänsla. </w:t>
      </w:r>
    </w:p>
    <w:p w14:paraId="2ABB4B91" w14:textId="77777777" w:rsidR="004D1581" w:rsidRPr="004D1581" w:rsidRDefault="004D1581" w:rsidP="16EFD2B3">
      <w:pPr>
        <w:pStyle w:val="Punktlista"/>
        <w:rPr>
          <w:rFonts w:ascii="Arial" w:hAnsi="Arial" w:cs="Arial"/>
          <w:sz w:val="20"/>
          <w:szCs w:val="20"/>
        </w:rPr>
      </w:pPr>
      <w:r>
        <w:t xml:space="preserve">Status: rodnade ögonlockskanter, krustor/fjäll runt ögonfransarna.  </w:t>
      </w:r>
    </w:p>
    <w:p w14:paraId="6E4EC008" w14:textId="77777777" w:rsidR="004D1581" w:rsidRPr="004D1581" w:rsidRDefault="004D1581" w:rsidP="16EFD2B3">
      <w:pPr>
        <w:pStyle w:val="Punktlista"/>
        <w:rPr>
          <w:rFonts w:ascii="Arial" w:hAnsi="Arial" w:cs="Arial"/>
          <w:sz w:val="20"/>
          <w:szCs w:val="20"/>
        </w:rPr>
      </w:pPr>
      <w:r>
        <w:t>Stafylokockorsakad – hårda fjäll.</w:t>
      </w:r>
    </w:p>
    <w:p w14:paraId="5E29E240" w14:textId="77777777" w:rsidR="004D1581" w:rsidRPr="004D1581" w:rsidRDefault="004D1581" w:rsidP="16EFD2B3">
      <w:pPr>
        <w:pStyle w:val="Punktlista"/>
        <w:rPr>
          <w:rFonts w:ascii="Arial" w:hAnsi="Arial" w:cs="Arial"/>
          <w:sz w:val="20"/>
          <w:szCs w:val="20"/>
        </w:rPr>
      </w:pPr>
      <w:r>
        <w:t xml:space="preserve">Seborroisk – mjuka, feta, spridda fjäll samt hopklibbade ögonfransar.  </w:t>
      </w:r>
    </w:p>
    <w:p w14:paraId="07D98818" w14:textId="77777777" w:rsidR="004D1581" w:rsidRPr="004D1581" w:rsidRDefault="004D1581" w:rsidP="16EFD2B3">
      <w:pPr>
        <w:pStyle w:val="Punktlista"/>
        <w:rPr>
          <w:rFonts w:ascii="Arial" w:hAnsi="Arial" w:cs="Arial"/>
          <w:sz w:val="20"/>
          <w:szCs w:val="20"/>
        </w:rPr>
      </w:pPr>
      <w:r>
        <w:t>Kornea status: ffa punktatakeratit.</w:t>
      </w:r>
    </w:p>
    <w:p w14:paraId="031CCE98" w14:textId="77777777" w:rsidR="002F29A5" w:rsidRDefault="002F29A5" w:rsidP="002F29A5">
      <w:pPr>
        <w:rPr>
          <w:b/>
          <w:bCs/>
        </w:rPr>
      </w:pPr>
    </w:p>
    <w:p w14:paraId="197B314F" w14:textId="7DECDE65" w:rsidR="004D1581" w:rsidRPr="002F29A5" w:rsidRDefault="004D1581" w:rsidP="00CA3EB0">
      <w:pPr>
        <w:pStyle w:val="MellanrubrikVGR"/>
        <w:rPr>
          <w:rFonts w:ascii="Arial" w:hAnsi="Arial" w:cs="Arial"/>
          <w:sz w:val="20"/>
          <w:szCs w:val="20"/>
        </w:rPr>
      </w:pPr>
      <w:r w:rsidRPr="002F29A5">
        <w:t>Bakre blefarit/ Meibomit</w:t>
      </w:r>
    </w:p>
    <w:p w14:paraId="261F62F1" w14:textId="77777777" w:rsidR="004D1581" w:rsidRPr="004D1581" w:rsidRDefault="004D1581" w:rsidP="16EFD2B3">
      <w:pPr>
        <w:rPr>
          <w:rFonts w:ascii="Arial" w:hAnsi="Arial" w:cs="Arial"/>
          <w:sz w:val="20"/>
          <w:szCs w:val="20"/>
        </w:rPr>
      </w:pPr>
      <w:r>
        <w:t xml:space="preserve">Mer inflammation än infektion.  </w:t>
      </w:r>
    </w:p>
    <w:p w14:paraId="1D2376B8" w14:textId="77777777" w:rsidR="004D1581" w:rsidRPr="004D1581" w:rsidRDefault="004D1581" w:rsidP="16EFD2B3">
      <w:pPr>
        <w:rPr>
          <w:rFonts w:ascii="Arial" w:hAnsi="Arial" w:cs="Arial"/>
          <w:sz w:val="20"/>
          <w:szCs w:val="20"/>
        </w:rPr>
      </w:pPr>
      <w:r>
        <w:t>Ofta associerad med hudsjukdom såsom rosacea och seborroisk dermatit.</w:t>
      </w:r>
    </w:p>
    <w:p w14:paraId="748E2909" w14:textId="77777777" w:rsidR="004D1581" w:rsidRPr="004D1581" w:rsidRDefault="004D1581" w:rsidP="16EFD2B3">
      <w:pPr>
        <w:pStyle w:val="Punktlista"/>
        <w:rPr>
          <w:rFonts w:ascii="Arial" w:hAnsi="Arial" w:cs="Arial"/>
          <w:sz w:val="20"/>
          <w:szCs w:val="20"/>
        </w:rPr>
      </w:pPr>
      <w:r>
        <w:t xml:space="preserve">Symptom: irritation, klåda och ljuskänslighet.  </w:t>
      </w:r>
    </w:p>
    <w:p w14:paraId="0CC94751" w14:textId="77777777" w:rsidR="004D1581" w:rsidRPr="004D1581" w:rsidRDefault="004D1581" w:rsidP="16EFD2B3">
      <w:pPr>
        <w:pStyle w:val="Punktlista"/>
        <w:rPr>
          <w:rFonts w:ascii="Arial" w:hAnsi="Arial" w:cs="Arial"/>
          <w:sz w:val="20"/>
          <w:szCs w:val="20"/>
        </w:rPr>
      </w:pPr>
      <w:r>
        <w:t xml:space="preserve">Status: oljig, löddrande tårfilm, små oljedroppar/pluggar i Meiboms körtlar, vaglar, stearinliknande talg tömmer sig vid tryck på ögonlocket, gula krustor. </w:t>
      </w:r>
    </w:p>
    <w:p w14:paraId="20C1AA72" w14:textId="77777777" w:rsidR="004D1581" w:rsidRPr="004D1581" w:rsidRDefault="004D1581" w:rsidP="16EFD2B3">
      <w:pPr>
        <w:pStyle w:val="Punktlista"/>
        <w:rPr>
          <w:rFonts w:ascii="Arial" w:hAnsi="Arial" w:cs="Arial"/>
          <w:sz w:val="20"/>
          <w:szCs w:val="20"/>
        </w:rPr>
      </w:pPr>
      <w:r>
        <w:t xml:space="preserve">Kornea status: ffa flyktenoid keratit/Horn Trantas dots, marginal keratit. </w:t>
      </w:r>
    </w:p>
    <w:p w14:paraId="40B49DD9" w14:textId="77777777" w:rsidR="004D1581" w:rsidRPr="004D1581" w:rsidRDefault="004D1581" w:rsidP="004D1581">
      <w:pPr>
        <w:spacing w:after="0" w:line="240" w:lineRule="auto"/>
        <w:ind w:left="0" w:right="0"/>
        <w:rPr>
          <w:rFonts w:ascii="Arial" w:hAnsi="Arial" w:cs="Arial"/>
          <w:sz w:val="20"/>
          <w:szCs w:val="20"/>
        </w:rPr>
      </w:pPr>
    </w:p>
    <w:p w14:paraId="4D3848EB" w14:textId="77777777" w:rsidR="007742FE" w:rsidRDefault="004D1581" w:rsidP="002F29A5">
      <w:r>
        <w:t xml:space="preserve">Tänk på diff. diagnoserna Mollusker och kvalster (Demodex) hos barn. </w:t>
      </w:r>
    </w:p>
    <w:p w14:paraId="034A2B3A" w14:textId="77777777" w:rsidR="007742FE" w:rsidRDefault="007742FE" w:rsidP="002F29A5"/>
    <w:p w14:paraId="128D5582" w14:textId="035231B9" w:rsidR="004D1581" w:rsidRPr="004D1581" w:rsidRDefault="004D1581" w:rsidP="00CA3EB0">
      <w:pPr>
        <w:pStyle w:val="Rubrik2"/>
        <w:rPr>
          <w:rFonts w:ascii="Arial" w:hAnsi="Arial" w:cs="Arial"/>
          <w:sz w:val="22"/>
          <w:szCs w:val="22"/>
        </w:rPr>
      </w:pPr>
      <w:r>
        <w:t xml:space="preserve">Behandling av blefarit hos barn </w:t>
      </w:r>
    </w:p>
    <w:p w14:paraId="0F17CD11" w14:textId="481B6C71" w:rsidR="004D1581" w:rsidRPr="007742FE" w:rsidRDefault="004D1581" w:rsidP="007742FE">
      <w:pPr>
        <w:rPr>
          <w:rFonts w:ascii="Arial" w:hAnsi="Arial" w:cs="Arial"/>
          <w:sz w:val="20"/>
          <w:szCs w:val="20"/>
        </w:rPr>
      </w:pPr>
      <w:r>
        <w:t xml:space="preserve">Barn skall i princip alltid behandlas med antibiotika (och steroider vid kornealt engagemang) då endast ögonlocks hygien samt smörjande droppar sällan hjälper.  </w:t>
      </w:r>
    </w:p>
    <w:p w14:paraId="1F22C9E3" w14:textId="77777777" w:rsidR="004D1581" w:rsidRPr="004D1581" w:rsidRDefault="004D1581" w:rsidP="16EFD2B3">
      <w:pPr>
        <w:rPr>
          <w:rFonts w:ascii="Arial" w:hAnsi="Arial" w:cs="Arial"/>
          <w:sz w:val="20"/>
          <w:szCs w:val="20"/>
        </w:rPr>
      </w:pPr>
      <w:r>
        <w:t xml:space="preserve">Ögonlocks hygien och smörjande droppar skall dock alltid ordineras för att förebyggande recidiv. </w:t>
      </w:r>
    </w:p>
    <w:p w14:paraId="14A7D299" w14:textId="77777777" w:rsidR="004D1581" w:rsidRPr="004D1581" w:rsidRDefault="004D1581" w:rsidP="16EFD2B3">
      <w:pPr>
        <w:pStyle w:val="Punktlista"/>
        <w:rPr>
          <w:rFonts w:ascii="Arial" w:hAnsi="Arial" w:cs="Arial"/>
          <w:sz w:val="20"/>
          <w:szCs w:val="20"/>
        </w:rPr>
      </w:pPr>
      <w:r>
        <w:t xml:space="preserve">Ögonlockshygien (uppvärmning av ögonlock i minst 4 min x 1–2 dagligen, samt massage av ögonlockskanter)  </w:t>
      </w:r>
    </w:p>
    <w:p w14:paraId="0546F5DA" w14:textId="77777777" w:rsidR="004D1581" w:rsidRPr="004D1581" w:rsidRDefault="004D1581" w:rsidP="16EFD2B3">
      <w:pPr>
        <w:pStyle w:val="Punktlista"/>
        <w:rPr>
          <w:rFonts w:ascii="Arial" w:hAnsi="Arial" w:cs="Arial"/>
          <w:sz w:val="20"/>
          <w:szCs w:val="20"/>
        </w:rPr>
      </w:pPr>
      <w:r>
        <w:t xml:space="preserve">Smörjande droppar/spray helst med lipidinnehåll dagtid 1x3-6. </w:t>
      </w:r>
    </w:p>
    <w:p w14:paraId="0E525D80" w14:textId="77777777" w:rsidR="004D1581" w:rsidRPr="004D1581" w:rsidRDefault="004D1581" w:rsidP="004D1581">
      <w:pPr>
        <w:spacing w:after="0" w:line="240" w:lineRule="auto"/>
        <w:ind w:left="0" w:right="0"/>
        <w:rPr>
          <w:rFonts w:ascii="Arial" w:hAnsi="Arial" w:cs="Arial"/>
          <w:sz w:val="20"/>
          <w:szCs w:val="20"/>
        </w:rPr>
      </w:pPr>
    </w:p>
    <w:p w14:paraId="08D9BEE9" w14:textId="77777777" w:rsidR="004D1581" w:rsidRPr="004D1581" w:rsidRDefault="004D1581" w:rsidP="16EFD2B3">
      <w:pPr>
        <w:rPr>
          <w:rFonts w:ascii="Arial" w:hAnsi="Arial" w:cs="Arial"/>
          <w:sz w:val="20"/>
          <w:szCs w:val="20"/>
        </w:rPr>
      </w:pPr>
      <w:r>
        <w:lastRenderedPageBreak/>
        <w:t xml:space="preserve">Endast ”smörjande vätskedroppar” typ Viscotears, Oftagel fungerar sällan för att förebygga recidiv. </w:t>
      </w:r>
    </w:p>
    <w:p w14:paraId="247DA818" w14:textId="77777777" w:rsidR="004D1581" w:rsidRPr="004D1581" w:rsidRDefault="004D1581" w:rsidP="16EFD2B3">
      <w:pPr>
        <w:rPr>
          <w:rFonts w:ascii="Arial" w:hAnsi="Arial" w:cs="Arial"/>
          <w:sz w:val="20"/>
          <w:szCs w:val="20"/>
        </w:rPr>
      </w:pPr>
      <w:r>
        <w:t>Speciellt barn med bakre blefarit behöver tårsubstitut med lipid innehåll (går tyvärr ej att skriva på recept).</w:t>
      </w:r>
    </w:p>
    <w:p w14:paraId="03A66415" w14:textId="77777777" w:rsidR="004D1581" w:rsidRPr="004D1581" w:rsidRDefault="004D1581" w:rsidP="16EFD2B3">
      <w:pPr>
        <w:pStyle w:val="Punktlista"/>
        <w:rPr>
          <w:rFonts w:ascii="Arial" w:hAnsi="Arial" w:cs="Arial"/>
          <w:sz w:val="20"/>
          <w:szCs w:val="20"/>
        </w:rPr>
      </w:pPr>
      <w:r>
        <w:t xml:space="preserve">Oljeemulstioner: Cationorm, Systane balance </w:t>
      </w:r>
    </w:p>
    <w:p w14:paraId="215A386C" w14:textId="77777777" w:rsidR="004D1581" w:rsidRPr="004D1581" w:rsidRDefault="004D1581" w:rsidP="16EFD2B3">
      <w:pPr>
        <w:pStyle w:val="Punktlista"/>
        <w:rPr>
          <w:rFonts w:ascii="Arial" w:hAnsi="Arial" w:cs="Arial"/>
          <w:sz w:val="20"/>
          <w:szCs w:val="20"/>
          <w:lang w:val="en-US"/>
        </w:rPr>
      </w:pPr>
      <w:r w:rsidRPr="16EFD2B3">
        <w:rPr>
          <w:lang w:val="en-US"/>
        </w:rPr>
        <w:t xml:space="preserve">Lipider: Tears again (även spray), Tears again sensitive, Oxyal trippel action </w:t>
      </w:r>
    </w:p>
    <w:p w14:paraId="1D3342F4" w14:textId="77777777" w:rsidR="004D1581" w:rsidRPr="004D1581" w:rsidRDefault="004D1581" w:rsidP="16EFD2B3">
      <w:pPr>
        <w:pStyle w:val="Punktlista"/>
        <w:rPr>
          <w:rFonts w:ascii="Arial" w:hAnsi="Arial" w:cs="Arial"/>
          <w:sz w:val="20"/>
          <w:szCs w:val="20"/>
        </w:rPr>
      </w:pPr>
      <w:r>
        <w:t xml:space="preserve">Smörjande salva till natten för att mjuka upp krustor: VitaPos, Oculentum SimpLex </w:t>
      </w:r>
    </w:p>
    <w:p w14:paraId="529C5B90" w14:textId="77777777" w:rsidR="004D1581" w:rsidRPr="004D1581" w:rsidRDefault="004D1581" w:rsidP="004D1581">
      <w:pPr>
        <w:spacing w:after="0" w:line="240" w:lineRule="auto"/>
        <w:ind w:left="0" w:right="0"/>
        <w:rPr>
          <w:rFonts w:ascii="Arial" w:hAnsi="Arial" w:cs="Arial"/>
          <w:sz w:val="20"/>
          <w:szCs w:val="20"/>
        </w:rPr>
      </w:pPr>
    </w:p>
    <w:p w14:paraId="537183BF" w14:textId="77777777" w:rsidR="004D1581" w:rsidRPr="004D1581" w:rsidRDefault="004D1581" w:rsidP="16EFD2B3">
      <w:pPr>
        <w:pStyle w:val="MellanrubrikVGR"/>
        <w:rPr>
          <w:rFonts w:ascii="Arial" w:hAnsi="Arial" w:cs="Arial"/>
          <w:bCs/>
          <w:sz w:val="20"/>
          <w:szCs w:val="20"/>
        </w:rPr>
      </w:pPr>
      <w:r>
        <w:t xml:space="preserve">Antibiotikadroppar  </w:t>
      </w:r>
    </w:p>
    <w:p w14:paraId="44D80776" w14:textId="77777777" w:rsidR="004D1581" w:rsidRPr="004D1581" w:rsidRDefault="004D1581" w:rsidP="16EFD2B3">
      <w:pPr>
        <w:rPr>
          <w:rFonts w:ascii="Arial" w:hAnsi="Arial" w:cs="Arial"/>
          <w:sz w:val="20"/>
          <w:szCs w:val="20"/>
        </w:rPr>
      </w:pPr>
      <w:r>
        <w:t xml:space="preserve">Mest infektion i ögonlockskanterna, blekt bulb utan kornealt engagemang. </w:t>
      </w:r>
    </w:p>
    <w:p w14:paraId="2EA301E0" w14:textId="77777777" w:rsidR="004D1581" w:rsidRPr="004D1581" w:rsidRDefault="004D1581" w:rsidP="16EFD2B3">
      <w:pPr>
        <w:pStyle w:val="Punktlista"/>
        <w:rPr>
          <w:rFonts w:ascii="Arial" w:hAnsi="Arial" w:cs="Arial"/>
          <w:sz w:val="20"/>
          <w:szCs w:val="20"/>
        </w:rPr>
      </w:pPr>
      <w:r>
        <w:t xml:space="preserve">Fucithalmic 1x3 i 2 veckor (främre blefarit) </w:t>
      </w:r>
    </w:p>
    <w:p w14:paraId="3E8BB735" w14:textId="77777777" w:rsidR="004D1581" w:rsidRPr="004D1581" w:rsidRDefault="004D1581" w:rsidP="16EFD2B3">
      <w:pPr>
        <w:pStyle w:val="Punktlista"/>
        <w:rPr>
          <w:rFonts w:ascii="Arial" w:hAnsi="Arial" w:cs="Arial"/>
          <w:sz w:val="20"/>
          <w:szCs w:val="20"/>
        </w:rPr>
      </w:pPr>
      <w:r>
        <w:t xml:space="preserve">Azyter 1x2 i 3–6 dagar (godkänt även för spädbarn)  </w:t>
      </w:r>
    </w:p>
    <w:p w14:paraId="11003503" w14:textId="77777777" w:rsidR="004D1581" w:rsidRPr="004D1581" w:rsidRDefault="004D1581" w:rsidP="004D1581">
      <w:pPr>
        <w:spacing w:after="0" w:line="240" w:lineRule="auto"/>
        <w:ind w:left="0" w:right="0"/>
        <w:rPr>
          <w:rFonts w:ascii="Arial" w:hAnsi="Arial" w:cs="Arial"/>
          <w:sz w:val="20"/>
          <w:szCs w:val="20"/>
        </w:rPr>
      </w:pPr>
    </w:p>
    <w:p w14:paraId="4FFE75E0" w14:textId="77777777" w:rsidR="004D1581" w:rsidRPr="004D1581" w:rsidRDefault="004D1581" w:rsidP="16EFD2B3">
      <w:pPr>
        <w:pStyle w:val="MellanrubrikVGR"/>
        <w:rPr>
          <w:rFonts w:ascii="Arial" w:hAnsi="Arial" w:cs="Arial"/>
          <w:bCs/>
          <w:sz w:val="20"/>
          <w:szCs w:val="20"/>
        </w:rPr>
      </w:pPr>
      <w:r>
        <w:t xml:space="preserve">Antibiotika och Kortison droppar   </w:t>
      </w:r>
    </w:p>
    <w:p w14:paraId="6FFCFEA5" w14:textId="77777777" w:rsidR="004D1581" w:rsidRPr="004D1581" w:rsidRDefault="004D1581" w:rsidP="16EFD2B3">
      <w:pPr>
        <w:rPr>
          <w:rFonts w:ascii="Arial" w:hAnsi="Arial" w:cs="Arial"/>
          <w:sz w:val="20"/>
          <w:szCs w:val="20"/>
        </w:rPr>
      </w:pPr>
      <w:r>
        <w:t xml:space="preserve">Mer inflammation, rodnad bulb och vid kornealt engagemang/kärlinväxt.  </w:t>
      </w:r>
    </w:p>
    <w:p w14:paraId="57C1EBD6" w14:textId="77777777" w:rsidR="004D1581" w:rsidRPr="004D1581" w:rsidRDefault="004D1581" w:rsidP="16EFD2B3">
      <w:pPr>
        <w:rPr>
          <w:rFonts w:ascii="Arial" w:hAnsi="Arial" w:cs="Arial"/>
          <w:sz w:val="20"/>
          <w:szCs w:val="20"/>
        </w:rPr>
      </w:pPr>
      <w:r>
        <w:t xml:space="preserve">OBS allvarlighetsgraden av keratopati avgörande för behandling, överväg att avvakta steroider och initialt ge potentare antibiotika om allvarlig keratit bild. </w:t>
      </w:r>
    </w:p>
    <w:p w14:paraId="45816029" w14:textId="77777777" w:rsidR="004D1581" w:rsidRPr="004D1581" w:rsidRDefault="004D1581" w:rsidP="004D1581">
      <w:pPr>
        <w:spacing w:after="0" w:line="240" w:lineRule="auto"/>
        <w:ind w:left="0" w:right="0"/>
        <w:rPr>
          <w:rFonts w:ascii="Arial" w:hAnsi="Arial" w:cs="Arial"/>
          <w:i/>
          <w:iCs/>
          <w:sz w:val="20"/>
          <w:szCs w:val="20"/>
        </w:rPr>
      </w:pPr>
    </w:p>
    <w:p w14:paraId="0F52E28F" w14:textId="77777777" w:rsidR="004D1581" w:rsidRPr="004D1581" w:rsidRDefault="004D1581" w:rsidP="16EFD2B3">
      <w:pPr>
        <w:pStyle w:val="Punktlista"/>
        <w:rPr>
          <w:rFonts w:ascii="Arial" w:hAnsi="Arial" w:cs="Arial"/>
          <w:sz w:val="20"/>
          <w:szCs w:val="20"/>
        </w:rPr>
      </w:pPr>
      <w:r>
        <w:t xml:space="preserve">Terracortril med Polymyxin B 1x3 i 2–3 veckor (trappa ut)  </w:t>
      </w:r>
    </w:p>
    <w:p w14:paraId="79CA3D5F" w14:textId="77777777" w:rsidR="004D1581" w:rsidRPr="004D1581" w:rsidRDefault="004D1581" w:rsidP="004D1581">
      <w:pPr>
        <w:spacing w:after="0" w:line="240" w:lineRule="auto"/>
        <w:ind w:left="0" w:right="0"/>
        <w:rPr>
          <w:rFonts w:ascii="Arial" w:hAnsi="Arial" w:cs="Arial"/>
          <w:sz w:val="20"/>
          <w:szCs w:val="20"/>
        </w:rPr>
      </w:pPr>
    </w:p>
    <w:p w14:paraId="5EA152E8" w14:textId="77777777" w:rsidR="004D1581" w:rsidRPr="004D1581" w:rsidRDefault="004D1581" w:rsidP="16EFD2B3">
      <w:pPr>
        <w:rPr>
          <w:rFonts w:ascii="Arial" w:hAnsi="Arial" w:cs="Arial"/>
          <w:sz w:val="20"/>
          <w:szCs w:val="20"/>
        </w:rPr>
      </w:pPr>
      <w:r>
        <w:t xml:space="preserve">Vid recidiv eller om upprepade Terracortril kurer per år behövs, prova: </w:t>
      </w:r>
    </w:p>
    <w:p w14:paraId="6DF66F9C" w14:textId="77777777" w:rsidR="004D1581" w:rsidRPr="004D1581" w:rsidRDefault="004D1581" w:rsidP="16EFD2B3">
      <w:pPr>
        <w:pStyle w:val="Punktlista"/>
        <w:rPr>
          <w:rFonts w:ascii="Arial" w:hAnsi="Arial" w:cs="Arial"/>
          <w:sz w:val="20"/>
          <w:szCs w:val="20"/>
        </w:rPr>
      </w:pPr>
      <w:r>
        <w:t xml:space="preserve">Azyter 1x2 i 3–6 dagar + Softacort 1x2 i 1–3 veckor (trappa ut Softacort) </w:t>
      </w:r>
    </w:p>
    <w:p w14:paraId="2224B201" w14:textId="77777777" w:rsidR="004D1581" w:rsidRPr="004D1581" w:rsidRDefault="004D1581" w:rsidP="16EFD2B3">
      <w:pPr>
        <w:pStyle w:val="Punktlista"/>
        <w:rPr>
          <w:rFonts w:ascii="Arial" w:hAnsi="Arial" w:cs="Arial"/>
          <w:sz w:val="20"/>
          <w:szCs w:val="20"/>
        </w:rPr>
      </w:pPr>
      <w:r>
        <w:t xml:space="preserve">Azyter 1x2 i 3–6 dagar + Dexafree 1x2-3 i 1–3 veckor (Dexafree vid kraftigare inflammation, trappa ut Dexafree) </w:t>
      </w:r>
    </w:p>
    <w:p w14:paraId="74CD8D6D" w14:textId="77777777" w:rsidR="004D1581" w:rsidRPr="004D1581" w:rsidRDefault="004D1581" w:rsidP="004D1581">
      <w:pPr>
        <w:spacing w:after="0" w:line="240" w:lineRule="auto"/>
        <w:ind w:left="0" w:right="0"/>
        <w:rPr>
          <w:rFonts w:ascii="Arial" w:hAnsi="Arial" w:cs="Arial"/>
          <w:sz w:val="20"/>
          <w:szCs w:val="20"/>
        </w:rPr>
      </w:pPr>
    </w:p>
    <w:p w14:paraId="0CB7903A" w14:textId="77777777" w:rsidR="004D1581" w:rsidRPr="004D1581" w:rsidRDefault="004D1581" w:rsidP="16EFD2B3">
      <w:pPr>
        <w:rPr>
          <w:rFonts w:ascii="Arial" w:hAnsi="Arial" w:cs="Arial"/>
          <w:sz w:val="20"/>
          <w:szCs w:val="20"/>
        </w:rPr>
      </w:pPr>
      <w:r>
        <w:t xml:space="preserve">Vid långvarig blefarit rekommenderas 3 veckors kur enligt Moorefield: </w:t>
      </w:r>
    </w:p>
    <w:p w14:paraId="7924BDD6" w14:textId="77777777" w:rsidR="004D1581" w:rsidRPr="004D1581" w:rsidRDefault="004D1581" w:rsidP="16EFD2B3">
      <w:pPr>
        <w:pStyle w:val="Punktlista"/>
        <w:rPr>
          <w:rFonts w:ascii="Arial" w:hAnsi="Arial" w:cs="Arial"/>
          <w:i/>
          <w:iCs/>
          <w:sz w:val="20"/>
          <w:szCs w:val="20"/>
        </w:rPr>
      </w:pPr>
      <w:r>
        <w:t xml:space="preserve">Azyter 1x3 i 3 dagar i rad, upprepa 1 gång/veckan i 3 veckor + Softacort 1x2 i 3 veckor </w:t>
      </w:r>
    </w:p>
    <w:p w14:paraId="6780F563" w14:textId="729004EC" w:rsidR="004D1581" w:rsidRPr="004D1581" w:rsidRDefault="004D1581" w:rsidP="16EFD2B3">
      <w:pPr>
        <w:spacing w:after="0" w:line="240" w:lineRule="auto"/>
        <w:ind w:left="0" w:right="0"/>
        <w:rPr>
          <w:rFonts w:ascii="Arial" w:hAnsi="Arial" w:cs="Arial"/>
          <w:sz w:val="20"/>
          <w:szCs w:val="20"/>
        </w:rPr>
      </w:pPr>
    </w:p>
    <w:p w14:paraId="5952BB38" w14:textId="77777777" w:rsidR="004D1581" w:rsidRPr="004D1581" w:rsidRDefault="004D1581" w:rsidP="16EFD2B3">
      <w:pPr>
        <w:pStyle w:val="MellanrubrikVGR"/>
        <w:rPr>
          <w:rFonts w:ascii="Arial" w:hAnsi="Arial" w:cs="Arial"/>
          <w:bCs/>
          <w:sz w:val="20"/>
          <w:szCs w:val="20"/>
        </w:rPr>
      </w:pPr>
      <w:r>
        <w:lastRenderedPageBreak/>
        <w:t xml:space="preserve">Peroral antibiotikabehandling  </w:t>
      </w:r>
    </w:p>
    <w:p w14:paraId="55E52E88" w14:textId="77777777" w:rsidR="004D1581" w:rsidRPr="004D1581" w:rsidRDefault="004D1581" w:rsidP="16EFD2B3">
      <w:pPr>
        <w:rPr>
          <w:rFonts w:ascii="Arial" w:hAnsi="Arial" w:cs="Arial"/>
          <w:sz w:val="20"/>
          <w:szCs w:val="20"/>
        </w:rPr>
      </w:pPr>
      <w:r>
        <w:t xml:space="preserve">Om lokal behandling inte fungerar eller om underliggande sjukdom behöver behandlas. </w:t>
      </w:r>
    </w:p>
    <w:p w14:paraId="5436F36B" w14:textId="77777777" w:rsidR="004D1581" w:rsidRPr="004D1581" w:rsidRDefault="004D1581" w:rsidP="16EFD2B3">
      <w:pPr>
        <w:rPr>
          <w:rFonts w:ascii="Arial" w:hAnsi="Arial" w:cs="Arial"/>
          <w:sz w:val="20"/>
          <w:szCs w:val="20"/>
        </w:rPr>
      </w:pPr>
      <w:r>
        <w:t>Ge antibiotika med anti-inflammatoriska effekt till exempel Azitromax (barn&gt; 2år) eller Erymax.</w:t>
      </w:r>
    </w:p>
    <w:p w14:paraId="3C0E792B" w14:textId="7953F667" w:rsidR="004D1581" w:rsidRDefault="004D1581" w:rsidP="16EFD2B3">
      <w:r>
        <w:t>Konsultera barnläkare för dosering.</w:t>
      </w:r>
    </w:p>
    <w:p w14:paraId="39EBF643" w14:textId="77777777" w:rsidR="00BF7504" w:rsidRPr="004D1581" w:rsidRDefault="00BF7504" w:rsidP="16EFD2B3">
      <w:pPr>
        <w:rPr>
          <w:rFonts w:ascii="Arial" w:hAnsi="Arial" w:cs="Arial"/>
          <w:sz w:val="20"/>
          <w:szCs w:val="20"/>
        </w:rPr>
      </w:pPr>
    </w:p>
    <w:p w14:paraId="23BFEB64" w14:textId="47683B62" w:rsidR="004D1581" w:rsidRPr="004D1581" w:rsidRDefault="004D1581" w:rsidP="00BF7504">
      <w:pPr>
        <w:pStyle w:val="Rubrik2"/>
        <w:rPr>
          <w:rFonts w:ascii="Arial" w:hAnsi="Arial" w:cs="Arial"/>
          <w:sz w:val="20"/>
          <w:szCs w:val="20"/>
        </w:rPr>
      </w:pPr>
      <w:r>
        <w:t>Ansvar</w:t>
      </w:r>
    </w:p>
    <w:p w14:paraId="63D67153" w14:textId="55D06949" w:rsidR="004D1581" w:rsidRDefault="004D1581" w:rsidP="16EFD2B3">
      <w:r>
        <w:t>Denna rutin gäller för process Barn/skelning/elektrofysiologi.</w:t>
      </w:r>
    </w:p>
    <w:p w14:paraId="0FDF9EBE" w14:textId="77777777" w:rsidR="00BF7504" w:rsidRPr="004D1581" w:rsidRDefault="00BF7504" w:rsidP="16EFD2B3">
      <w:pPr>
        <w:rPr>
          <w:rFonts w:ascii="Arial" w:hAnsi="Arial" w:cs="Arial"/>
          <w:sz w:val="20"/>
          <w:szCs w:val="20"/>
        </w:rPr>
      </w:pPr>
    </w:p>
    <w:p w14:paraId="34C65BCA" w14:textId="61D65EE5" w:rsidR="004D1581" w:rsidRPr="004D1581" w:rsidRDefault="7151E0C5" w:rsidP="16EFD2B3">
      <w:pPr>
        <w:pStyle w:val="Rubrik2"/>
      </w:pPr>
      <w:r>
        <w:t>Referenser och relaterade dokument</w:t>
      </w:r>
    </w:p>
    <w:p w14:paraId="22E4D94F" w14:textId="72EC69DE" w:rsidR="004D1581" w:rsidRPr="00BF7504" w:rsidRDefault="004D1581" w:rsidP="00BF7504">
      <w:pPr>
        <w:pStyle w:val="Punktlista"/>
        <w:rPr>
          <w:rFonts w:ascii="Arial" w:hAnsi="Arial" w:cs="Arial"/>
          <w:sz w:val="20"/>
          <w:szCs w:val="20"/>
        </w:rPr>
      </w:pPr>
      <w:r>
        <w:t>O'Gallagher M, Bunce C, Hingorani M, Larkin F, Tuft S, Dahlmann-Noor A. Topical treatments for blepharokeratoconjunctivitis in children. Cochrane Database Syst Rev. 2017;2(2):Cd011965.</w:t>
      </w:r>
    </w:p>
    <w:p w14:paraId="5A375DAE" w14:textId="41235C42" w:rsidR="004D1581" w:rsidRPr="00BF7504" w:rsidRDefault="004D1581" w:rsidP="00BF7504">
      <w:pPr>
        <w:pStyle w:val="Punktlista"/>
        <w:rPr>
          <w:rFonts w:ascii="Arial" w:hAnsi="Arial" w:cs="Arial"/>
          <w:sz w:val="20"/>
          <w:szCs w:val="20"/>
        </w:rPr>
      </w:pPr>
      <w:r>
        <w:t>Hammersmith KM. Blepharokeratoconjunctivitis in children. Curr Opin Ophthalmol. 2015;26(4):301-305.</w:t>
      </w:r>
    </w:p>
    <w:p w14:paraId="5905F0EF" w14:textId="520E5799" w:rsidR="004D1581" w:rsidRPr="00BF7504" w:rsidRDefault="004D1581" w:rsidP="00BF7504">
      <w:pPr>
        <w:pStyle w:val="Punktlista"/>
        <w:rPr>
          <w:rFonts w:ascii="Arial" w:hAnsi="Arial" w:cs="Arial"/>
          <w:sz w:val="20"/>
          <w:szCs w:val="20"/>
        </w:rPr>
      </w:pPr>
      <w:r>
        <w:t>Jones SM, Weinstein JM, Cumberland P, Klein N, Nischal KK. Visual outcome and corneal changes in children with chronic blepharokeratoconjunctivitis. Ophthalmology. 2007;114(12):2271-2280.</w:t>
      </w:r>
    </w:p>
    <w:bookmarkEnd w:id="0"/>
    <w:p w14:paraId="76B9F95B" w14:textId="62F329D7" w:rsidR="00536A5A" w:rsidRPr="00536A5A" w:rsidRDefault="004D1581" w:rsidP="00BF7504">
      <w:pPr>
        <w:pStyle w:val="Punktlista"/>
        <w:rPr>
          <w:rFonts w:ascii="Arial" w:hAnsi="Arial" w:cs="Arial"/>
          <w:sz w:val="20"/>
          <w:szCs w:val="20"/>
        </w:rPr>
      </w:pPr>
      <w:r>
        <w:t>Tavassoli S, Wong N, Chan E. Ocular manifestations of rosacea: A clinical review. Clin Exp Ophthalmol. 2021;49(2):104-117.</w:t>
      </w:r>
    </w:p>
    <w:sectPr w:rsidR="00536A5A" w:rsidRPr="00536A5A" w:rsidSect="004D1581">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82D195D" w14:textId="77777777" w:rsidR="004B6298" w:rsidRDefault="004B6298">
      <w:r>
        <w:separator/>
      </w:r>
    </w:p>
  </w:endnote>
  <w:endnote w:type="continuationSeparator" w:id="0">
    <w:p w14:paraId="4788A05B" w14:textId="77777777" w:rsidR="004B6298" w:rsidRDefault="004B6298">
      <w:r>
        <w:continuationSeparator/>
      </w:r>
    </w:p>
  </w:endnote>
  <w:endnote w:type="continuationNotice" w:id="1">
    <w:p w14:paraId="48A7CBBB" w14:textId="77777777" w:rsidR="004B6298" w:rsidRDefault="004B629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DE8E4B1" w14:textId="77777777" w:rsidR="004B6298" w:rsidRDefault="004B6298"/>
  </w:footnote>
  <w:footnote w:type="continuationSeparator" w:id="0">
    <w:p w14:paraId="56C3F249" w14:textId="77777777" w:rsidR="004B6298" w:rsidRDefault="004B6298">
      <w:r>
        <w:continuationSeparator/>
      </w:r>
    </w:p>
  </w:footnote>
  <w:footnote w:type="continuationNotice" w:id="1">
    <w:p w14:paraId="55575B66" w14:textId="77777777" w:rsidR="004B6298" w:rsidRDefault="004B629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14="http://schemas.microsoft.com/office/drawing/2010/main" xmlns:pic="http://schemas.openxmlformats.org/drawingml/2006/picture" xmlns:adec="http://schemas.microsoft.com/office/drawing/2017/decorative" xmlns:a="http://schemas.openxmlformats.org/drawingml/2006/main">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2503B2"/>
    <w:multiLevelType w:val="hybridMultilevel"/>
    <w:tmpl w:val="853AA4CC"/>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6AA2C06"/>
    <w:multiLevelType w:val="hybridMultilevel"/>
    <w:tmpl w:val="39BAFBC0"/>
    <w:lvl w:ilvl="0" w:tplc="FFFFFFFF">
      <w:start w:val="1"/>
      <w:numFmt w:val="bullet"/>
      <w:lvlText w:val="o"/>
      <w:lvlJc w:val="left"/>
      <w:pPr>
        <w:ind w:left="1080" w:hanging="360"/>
      </w:pPr>
      <w:rPr>
        <w:rFonts w:ascii="Courier New" w:hAnsi="Courier New" w:cs="Courier New" w:hint="default"/>
      </w:rPr>
    </w:lvl>
    <w:lvl w:ilvl="1" w:tplc="FFFFFFFF">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2AAB236E"/>
    <w:multiLevelType w:val="hybridMultilevel"/>
    <w:tmpl w:val="DF5E9DC0"/>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33224E24"/>
    <w:multiLevelType w:val="hybridMultilevel"/>
    <w:tmpl w:val="D0644C00"/>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3507026A"/>
    <w:multiLevelType w:val="hybridMultilevel"/>
    <w:tmpl w:val="B0D80578"/>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5"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73041BE"/>
    <w:multiLevelType w:val="hybridMultilevel"/>
    <w:tmpl w:val="26CA7876"/>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0"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66B90CA3"/>
    <w:multiLevelType w:val="hybridMultilevel"/>
    <w:tmpl w:val="C7709D56"/>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 w15:restartNumberingAfterBreak="0">
    <w:nsid w:val="704B44CE"/>
    <w:multiLevelType w:val="hybridMultilevel"/>
    <w:tmpl w:val="BCA0F098"/>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3"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4"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6" w15:restartNumberingAfterBreak="0">
    <w:nsid w:val="7F622769"/>
    <w:multiLevelType w:val="hybridMultilevel"/>
    <w:tmpl w:val="844CD660"/>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2038962459">
    <w:abstractNumId w:val="25"/>
  </w:num>
  <w:num w:numId="2" w16cid:durableId="35588307">
    <w:abstractNumId w:val="20"/>
  </w:num>
  <w:num w:numId="3" w16cid:durableId="578903243">
    <w:abstractNumId w:val="0"/>
  </w:num>
  <w:num w:numId="4" w16cid:durableId="688026808">
    <w:abstractNumId w:val="8"/>
  </w:num>
  <w:num w:numId="5" w16cid:durableId="1989555485">
    <w:abstractNumId w:val="23"/>
  </w:num>
  <w:num w:numId="6" w16cid:durableId="263272712">
    <w:abstractNumId w:val="2"/>
  </w:num>
  <w:num w:numId="7" w16cid:durableId="344987330">
    <w:abstractNumId w:val="16"/>
  </w:num>
  <w:num w:numId="8" w16cid:durableId="558369956">
    <w:abstractNumId w:val="13"/>
  </w:num>
  <w:num w:numId="9" w16cid:durableId="1055130230">
    <w:abstractNumId w:val="1"/>
  </w:num>
  <w:num w:numId="10" w16cid:durableId="1027103086">
    <w:abstractNumId w:val="1"/>
  </w:num>
  <w:num w:numId="11" w16cid:durableId="2035843065">
    <w:abstractNumId w:val="3"/>
  </w:num>
  <w:num w:numId="12" w16cid:durableId="1637830949">
    <w:abstractNumId w:val="4"/>
  </w:num>
  <w:num w:numId="13" w16cid:durableId="825970756">
    <w:abstractNumId w:val="19"/>
  </w:num>
  <w:num w:numId="14" w16cid:durableId="741027116">
    <w:abstractNumId w:val="14"/>
  </w:num>
  <w:num w:numId="15" w16cid:durableId="245919929">
    <w:abstractNumId w:val="9"/>
  </w:num>
  <w:num w:numId="16" w16cid:durableId="292373250">
    <w:abstractNumId w:val="18"/>
  </w:num>
  <w:num w:numId="17" w16cid:durableId="1079794349">
    <w:abstractNumId w:val="6"/>
  </w:num>
  <w:num w:numId="18" w16cid:durableId="1757052762">
    <w:abstractNumId w:val="15"/>
  </w:num>
  <w:num w:numId="19" w16cid:durableId="1679304916">
    <w:abstractNumId w:val="24"/>
  </w:num>
  <w:num w:numId="20" w16cid:durableId="383942570">
    <w:abstractNumId w:val="21"/>
  </w:num>
  <w:num w:numId="21" w16cid:durableId="2125927588">
    <w:abstractNumId w:val="26"/>
  </w:num>
  <w:num w:numId="22" w16cid:durableId="191961968">
    <w:abstractNumId w:val="10"/>
  </w:num>
  <w:num w:numId="23" w16cid:durableId="1343901098">
    <w:abstractNumId w:val="5"/>
  </w:num>
  <w:num w:numId="24" w16cid:durableId="749081530">
    <w:abstractNumId w:val="17"/>
  </w:num>
  <w:num w:numId="25" w16cid:durableId="2026052986">
    <w:abstractNumId w:val="7"/>
  </w:num>
  <w:num w:numId="26" w16cid:durableId="2034112735">
    <w:abstractNumId w:val="12"/>
  </w:num>
  <w:num w:numId="27" w16cid:durableId="1784767118">
    <w:abstractNumId w:val="11"/>
  </w:num>
  <w:num w:numId="28" w16cid:durableId="898904307">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9A5"/>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B6298"/>
    <w:rsid w:val="004C2559"/>
    <w:rsid w:val="004D1581"/>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33CA"/>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42FE"/>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C26"/>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BF7504"/>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3EB0"/>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057DDD49"/>
    <w:rsid w:val="16EFD2B3"/>
    <w:rsid w:val="1A277375"/>
    <w:rsid w:val="1B5B3529"/>
    <w:rsid w:val="1B96EEA3"/>
    <w:rsid w:val="30B4C649"/>
    <w:rsid w:val="31CF5FA0"/>
    <w:rsid w:val="397D8129"/>
    <w:rsid w:val="3B4F6B82"/>
    <w:rsid w:val="513A7169"/>
    <w:rsid w:val="560DE28C"/>
    <w:rsid w:val="622B2FC9"/>
    <w:rsid w:val="647B2B65"/>
    <w:rsid w:val="689A714D"/>
    <w:rsid w:val="6B2CF8ED"/>
    <w:rsid w:val="7151E0C5"/>
    <w:rsid w:val="7286B024"/>
    <w:rsid w:val="72F14E87"/>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4</TotalTime>
  <Pages>4</Pages>
  <Words>773</Words>
  <Characters>4097</Characters>
  <Application>Microsoft Office Word</Application>
  <DocSecurity>0</DocSecurity>
  <Lines>34</Lines>
  <Paragraphs>9</Paragraphs>
  <ScaleCrop>false</ScaleCrop>
  <Manager/>
  <Company/>
  <LinksUpToDate>false</LinksUpToDate>
  <CharactersWithSpaces>4861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BARNÖGON Blefarit</dc:title>
  <dc:subject/>
  <dc:creator>patrik.jens.johansson@vgregion.se</dc:creator>
  <keywords/>
  <lastModifiedBy>Louise Toriseva</lastModifiedBy>
  <revision>8</revision>
  <lastPrinted>2016-03-31T10:56:00.0000000Z</lastPrinted>
  <dcterms:created xsi:type="dcterms:W3CDTF">2022-04-27T06:32:00.0000000Z</dcterms:created>
  <dcterms:modified xsi:type="dcterms:W3CDTF">2024-12-06T13:52:00.0000000Z</dcterms:modified>
</coreProperties>
</file>