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884614" w:rsidP="003C6212" w:rsidRDefault="00884614" w14:paraId="36B6B26D" w14:textId="77777777">
      <w:pPr>
        <w:pStyle w:val="Rubrik2"/>
        <w:ind w:left="567" w:right="-143"/>
        <w:sectPr w:rsidR="00884614" w:rsidSect="0088461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D41BE8" w:rsidP="00DC1552" w:rsidRDefault="004C0701" w14:paraId="01CCD8FF" w14:textId="7E0FD4F8">
      <w:pPr>
        <w:pStyle w:val="Rubrik1"/>
      </w:pPr>
      <w:bookmarkStart w:name="_Toc115074894" w:id="1"/>
      <w:bookmarkStart w:name="_Toc204086393" w:id="2"/>
      <w:r>
        <w:t xml:space="preserve">Skaftfrakturer i </w:t>
      </w:r>
      <w:r w:rsidRPr="00DC1552">
        <w:t>överarmen</w:t>
      </w:r>
      <w:r>
        <w:t xml:space="preserve"> (humerus)</w:t>
      </w:r>
      <w:bookmarkEnd w:id="1"/>
      <w:bookmarkEnd w:id="2"/>
    </w:p>
    <w:p w:rsidR="004C0701" w:rsidP="00DC1552" w:rsidRDefault="66CE5032" w14:paraId="4570607E" w14:textId="7FED6A6C">
      <w:pPr>
        <w:pStyle w:val="Rubrik2"/>
      </w:pPr>
      <w:bookmarkStart w:name="_Toc204086394" w:id="3"/>
      <w:r>
        <w:t xml:space="preserve">Förändringar </w:t>
      </w:r>
      <w:r w:rsidRPr="00DC1552">
        <w:t>sedan</w:t>
      </w:r>
      <w:r>
        <w:t xml:space="preserve"> föregående </w:t>
      </w:r>
      <w:r w:rsidR="773FEAEB">
        <w:t>version</w:t>
      </w:r>
      <w:bookmarkEnd w:id="3"/>
    </w:p>
    <w:p w:rsidR="472EBD1F" w:rsidP="00DC1552" w:rsidRDefault="009B77DB" w14:paraId="3B8CD0BB" w14:textId="4CCCBB1C">
      <w:r>
        <w:t xml:space="preserve">2022-10-28. </w:t>
      </w:r>
      <w:r w:rsidR="472EBD1F">
        <w:t xml:space="preserve">Ändring av rekommenderad ortos för frakturer i distala tredjedelen. </w:t>
      </w:r>
    </w:p>
    <w:p w:rsidR="00D84E91" w:rsidP="00DC1552" w:rsidRDefault="00D84E91" w14:paraId="46951D71" w14:textId="2D8DFD75">
      <w:r>
        <w:t xml:space="preserve">2024-12-02. </w:t>
      </w:r>
      <w:r w:rsidR="00DE4FE4">
        <w:t>Ändring av innehållsansvarig och innehållsgranskare.</w:t>
      </w:r>
    </w:p>
    <w:p w:rsidR="547A18E5" w:rsidP="00716455" w:rsidRDefault="547A18E5" w14:paraId="33AD0F7C" w14:textId="3FDE9468">
      <w:pPr>
        <w:ind w:left="0" w:right="-143"/>
      </w:pPr>
    </w:p>
    <w:bookmarkStart w:name="_Toc204086395" w:displacedByCustomXml="next" w:id="4"/>
    <w:sdt>
      <w:sdtPr>
        <w:rPr>
          <w:rFonts w:ascii="Times New Roman" w:hAnsi="Times New Roman" w:eastAsia="Times New Roman" w:cs="Times New Roman"/>
          <w:bCs w:val="0"/>
          <w:color w:val="auto"/>
          <w:sz w:val="24"/>
          <w:szCs w:val="24"/>
        </w:rPr>
        <w:id w:val="1901001809"/>
        <w:docPartObj>
          <w:docPartGallery w:val="Table of Contents"/>
          <w:docPartUnique/>
        </w:docPartObj>
      </w:sdtPr>
      <w:sdtContent>
        <w:p w:rsidRPr="003C6212" w:rsidR="00074B42" w:rsidP="4A53433C" w:rsidRDefault="00074B42" w14:paraId="47371FDB" w14:textId="1B5A376C">
          <w:pPr>
            <w:pStyle w:val="Rubrik2"/>
            <w:rPr>
              <w:rStyle w:val="Rubrik1Char"/>
              <w:color w:val="auto"/>
            </w:rPr>
          </w:pPr>
          <w:r w:rsidRPr="003C6212">
            <w:rPr>
              <w:rStyle w:val="Rubrik1Char"/>
              <w:color w:val="auto"/>
            </w:rPr>
            <w:t>Innehåll</w:t>
          </w:r>
          <w:r w:rsidRPr="003C6212" w:rsidR="00174048">
            <w:rPr>
              <w:rStyle w:val="Rubrik1Char"/>
              <w:color w:val="auto"/>
            </w:rPr>
            <w:t>sförteckning</w:t>
          </w:r>
          <w:bookmarkEnd w:id="4"/>
        </w:p>
        <w:p w:rsidR="00922E1B" w:rsidRDefault="4DD8B7D7" w14:paraId="53D4D975" w14:textId="0A0B05AB">
          <w:pPr>
            <w:pStyle w:val="Innehll1"/>
            <w:rPr>
              <w:rFonts w:asciiTheme="minorHAnsi" w:hAnsiTheme="minorHAnsi" w:eastAsiaTheme="minorEastAsia" w:cstheme="minorBidi"/>
              <w:noProof/>
              <w:kern w:val="2"/>
              <w14:ligatures w14:val="standardContextual"/>
            </w:rPr>
          </w:pPr>
          <w:r>
            <w:fldChar w:fldCharType="begin"/>
          </w:r>
          <w:r w:rsidR="00074B42">
            <w:instrText>TOC \o "1-3" \z \u \h</w:instrText>
          </w:r>
          <w:r>
            <w:fldChar w:fldCharType="separate"/>
          </w:r>
          <w:hyperlink w:history="1" w:anchor="_Toc204086393">
            <w:r w:rsidRPr="009F283F" w:rsidR="00922E1B">
              <w:rPr>
                <w:rStyle w:val="Hyperlnk"/>
                <w:rFonts w:eastAsia="MS Gothic"/>
                <w:noProof/>
              </w:rPr>
              <w:t>Skaftfrakturer i överarmen (humerus)</w:t>
            </w:r>
            <w:r w:rsidR="00922E1B">
              <w:rPr>
                <w:noProof/>
                <w:webHidden/>
              </w:rPr>
              <w:tab/>
            </w:r>
            <w:r w:rsidR="00922E1B">
              <w:rPr>
                <w:noProof/>
                <w:webHidden/>
              </w:rPr>
              <w:fldChar w:fldCharType="begin"/>
            </w:r>
            <w:r w:rsidR="00922E1B">
              <w:rPr>
                <w:noProof/>
                <w:webHidden/>
              </w:rPr>
              <w:instrText xml:space="preserve"> PAGEREF _Toc204086393 \h </w:instrText>
            </w:r>
            <w:r w:rsidR="00922E1B">
              <w:rPr>
                <w:noProof/>
                <w:webHidden/>
              </w:rPr>
            </w:r>
            <w:r w:rsidR="00922E1B">
              <w:rPr>
                <w:noProof/>
                <w:webHidden/>
              </w:rPr>
              <w:fldChar w:fldCharType="separate"/>
            </w:r>
            <w:r w:rsidR="00922E1B">
              <w:rPr>
                <w:noProof/>
                <w:webHidden/>
              </w:rPr>
              <w:t>1</w:t>
            </w:r>
            <w:r w:rsidR="00922E1B">
              <w:rPr>
                <w:noProof/>
                <w:webHidden/>
              </w:rPr>
              <w:fldChar w:fldCharType="end"/>
            </w:r>
          </w:hyperlink>
        </w:p>
        <w:p w:rsidR="00922E1B" w:rsidRDefault="00922E1B" w14:paraId="27A731BA" w14:textId="2012A20B">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4086394">
            <w:r w:rsidRPr="009F283F">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_Toc204086394 \h </w:instrText>
            </w:r>
            <w:r>
              <w:rPr>
                <w:noProof/>
                <w:webHidden/>
              </w:rPr>
            </w:r>
            <w:r>
              <w:rPr>
                <w:noProof/>
                <w:webHidden/>
              </w:rPr>
              <w:fldChar w:fldCharType="separate"/>
            </w:r>
            <w:r>
              <w:rPr>
                <w:noProof/>
                <w:webHidden/>
              </w:rPr>
              <w:t>1</w:t>
            </w:r>
            <w:r>
              <w:rPr>
                <w:noProof/>
                <w:webHidden/>
              </w:rPr>
              <w:fldChar w:fldCharType="end"/>
            </w:r>
          </w:hyperlink>
        </w:p>
        <w:p w:rsidR="00922E1B" w:rsidRDefault="00922E1B" w14:paraId="542B6657" w14:textId="22AF5AFE">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4086395">
            <w:r w:rsidRPr="009F283F">
              <w:rPr>
                <w:rStyle w:val="Hyperlnk"/>
                <w:rFonts w:ascii="Calibri" w:hAnsi="Calibri" w:eastAsia="MS Gothic"/>
                <w:noProof/>
                <w:kern w:val="32"/>
              </w:rPr>
              <w:t>Innehållsförteckning</w:t>
            </w:r>
            <w:r>
              <w:rPr>
                <w:noProof/>
                <w:webHidden/>
              </w:rPr>
              <w:tab/>
            </w:r>
            <w:r>
              <w:rPr>
                <w:noProof/>
                <w:webHidden/>
              </w:rPr>
              <w:fldChar w:fldCharType="begin"/>
            </w:r>
            <w:r>
              <w:rPr>
                <w:noProof/>
                <w:webHidden/>
              </w:rPr>
              <w:instrText xml:space="preserve"> PAGEREF _Toc204086395 \h </w:instrText>
            </w:r>
            <w:r>
              <w:rPr>
                <w:noProof/>
                <w:webHidden/>
              </w:rPr>
            </w:r>
            <w:r>
              <w:rPr>
                <w:noProof/>
                <w:webHidden/>
              </w:rPr>
              <w:fldChar w:fldCharType="separate"/>
            </w:r>
            <w:r>
              <w:rPr>
                <w:noProof/>
                <w:webHidden/>
              </w:rPr>
              <w:t>1</w:t>
            </w:r>
            <w:r>
              <w:rPr>
                <w:noProof/>
                <w:webHidden/>
              </w:rPr>
              <w:fldChar w:fldCharType="end"/>
            </w:r>
          </w:hyperlink>
        </w:p>
        <w:p w:rsidR="00922E1B" w:rsidRDefault="00922E1B" w14:paraId="2001F32C" w14:textId="3D33EF21">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4086396">
            <w:r w:rsidRPr="009F283F">
              <w:rPr>
                <w:rStyle w:val="Hyperlnk"/>
                <w:rFonts w:eastAsia="MS Gothic"/>
                <w:noProof/>
              </w:rPr>
              <w:t>Bakgrund och syfte</w:t>
            </w:r>
            <w:r>
              <w:rPr>
                <w:noProof/>
                <w:webHidden/>
              </w:rPr>
              <w:tab/>
            </w:r>
            <w:r>
              <w:rPr>
                <w:noProof/>
                <w:webHidden/>
              </w:rPr>
              <w:fldChar w:fldCharType="begin"/>
            </w:r>
            <w:r>
              <w:rPr>
                <w:noProof/>
                <w:webHidden/>
              </w:rPr>
              <w:instrText xml:space="preserve"> PAGEREF _Toc204086396 \h </w:instrText>
            </w:r>
            <w:r>
              <w:rPr>
                <w:noProof/>
                <w:webHidden/>
              </w:rPr>
            </w:r>
            <w:r>
              <w:rPr>
                <w:noProof/>
                <w:webHidden/>
              </w:rPr>
              <w:fldChar w:fldCharType="separate"/>
            </w:r>
            <w:r>
              <w:rPr>
                <w:noProof/>
                <w:webHidden/>
              </w:rPr>
              <w:t>2</w:t>
            </w:r>
            <w:r>
              <w:rPr>
                <w:noProof/>
                <w:webHidden/>
              </w:rPr>
              <w:fldChar w:fldCharType="end"/>
            </w:r>
          </w:hyperlink>
        </w:p>
        <w:p w:rsidR="00922E1B" w:rsidRDefault="00922E1B" w14:paraId="05DA911E" w14:textId="7DC5C8C8">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4086397">
            <w:r w:rsidRPr="009F283F">
              <w:rPr>
                <w:rStyle w:val="Hyperlnk"/>
                <w:rFonts w:eastAsia="MS Gothic"/>
                <w:noProof/>
              </w:rPr>
              <w:t>Utförande</w:t>
            </w:r>
            <w:r>
              <w:rPr>
                <w:noProof/>
                <w:webHidden/>
              </w:rPr>
              <w:tab/>
            </w:r>
            <w:r>
              <w:rPr>
                <w:noProof/>
                <w:webHidden/>
              </w:rPr>
              <w:fldChar w:fldCharType="begin"/>
            </w:r>
            <w:r>
              <w:rPr>
                <w:noProof/>
                <w:webHidden/>
              </w:rPr>
              <w:instrText xml:space="preserve"> PAGEREF _Toc204086397 \h </w:instrText>
            </w:r>
            <w:r>
              <w:rPr>
                <w:noProof/>
                <w:webHidden/>
              </w:rPr>
            </w:r>
            <w:r>
              <w:rPr>
                <w:noProof/>
                <w:webHidden/>
              </w:rPr>
              <w:fldChar w:fldCharType="separate"/>
            </w:r>
            <w:r>
              <w:rPr>
                <w:noProof/>
                <w:webHidden/>
              </w:rPr>
              <w:t>3</w:t>
            </w:r>
            <w:r>
              <w:rPr>
                <w:noProof/>
                <w:webHidden/>
              </w:rPr>
              <w:fldChar w:fldCharType="end"/>
            </w:r>
          </w:hyperlink>
        </w:p>
        <w:p w:rsidR="00922E1B" w:rsidRDefault="00922E1B" w14:paraId="2CFDCCDE" w14:textId="510351B2">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398">
            <w:r w:rsidRPr="009F283F">
              <w:rPr>
                <w:rStyle w:val="Hyperlnk"/>
                <w:rFonts w:eastAsia="MS Gothic"/>
                <w:noProof/>
              </w:rPr>
              <w:t>På akuten- Bedömning och behandling</w:t>
            </w:r>
            <w:r>
              <w:rPr>
                <w:noProof/>
                <w:webHidden/>
              </w:rPr>
              <w:tab/>
            </w:r>
            <w:r>
              <w:rPr>
                <w:noProof/>
                <w:webHidden/>
              </w:rPr>
              <w:fldChar w:fldCharType="begin"/>
            </w:r>
            <w:r>
              <w:rPr>
                <w:noProof/>
                <w:webHidden/>
              </w:rPr>
              <w:instrText xml:space="preserve"> PAGEREF _Toc204086398 \h </w:instrText>
            </w:r>
            <w:r>
              <w:rPr>
                <w:noProof/>
                <w:webHidden/>
              </w:rPr>
            </w:r>
            <w:r>
              <w:rPr>
                <w:noProof/>
                <w:webHidden/>
              </w:rPr>
              <w:fldChar w:fldCharType="separate"/>
            </w:r>
            <w:r>
              <w:rPr>
                <w:noProof/>
                <w:webHidden/>
              </w:rPr>
              <w:t>3</w:t>
            </w:r>
            <w:r>
              <w:rPr>
                <w:noProof/>
                <w:webHidden/>
              </w:rPr>
              <w:fldChar w:fldCharType="end"/>
            </w:r>
          </w:hyperlink>
        </w:p>
        <w:p w:rsidR="00922E1B" w:rsidRDefault="00922E1B" w14:paraId="1FA9377E" w14:textId="6D12C23B">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399">
            <w:r w:rsidRPr="009F283F">
              <w:rPr>
                <w:rStyle w:val="Hyperlnk"/>
                <w:rFonts w:eastAsia="MS Gothic"/>
                <w:noProof/>
              </w:rPr>
              <w:t>Indikationer för kirurgi i tidigt skede</w:t>
            </w:r>
            <w:r>
              <w:rPr>
                <w:noProof/>
                <w:webHidden/>
              </w:rPr>
              <w:tab/>
            </w:r>
            <w:r>
              <w:rPr>
                <w:noProof/>
                <w:webHidden/>
              </w:rPr>
              <w:fldChar w:fldCharType="begin"/>
            </w:r>
            <w:r>
              <w:rPr>
                <w:noProof/>
                <w:webHidden/>
              </w:rPr>
              <w:instrText xml:space="preserve"> PAGEREF _Toc204086399 \h </w:instrText>
            </w:r>
            <w:r>
              <w:rPr>
                <w:noProof/>
                <w:webHidden/>
              </w:rPr>
            </w:r>
            <w:r>
              <w:rPr>
                <w:noProof/>
                <w:webHidden/>
              </w:rPr>
              <w:fldChar w:fldCharType="separate"/>
            </w:r>
            <w:r>
              <w:rPr>
                <w:noProof/>
                <w:webHidden/>
              </w:rPr>
              <w:t>3</w:t>
            </w:r>
            <w:r>
              <w:rPr>
                <w:noProof/>
                <w:webHidden/>
              </w:rPr>
              <w:fldChar w:fldCharType="end"/>
            </w:r>
          </w:hyperlink>
        </w:p>
        <w:p w:rsidR="00922E1B" w:rsidRDefault="00922E1B" w14:paraId="39C2A441" w14:textId="792F701C">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00">
            <w:r w:rsidRPr="009F283F">
              <w:rPr>
                <w:rStyle w:val="Hyperlnk"/>
                <w:rFonts w:eastAsia="MS Gothic"/>
                <w:noProof/>
              </w:rPr>
              <w:t>Icke kirurgisk behandling med ortos</w:t>
            </w:r>
            <w:r>
              <w:rPr>
                <w:noProof/>
                <w:webHidden/>
              </w:rPr>
              <w:tab/>
            </w:r>
            <w:r>
              <w:rPr>
                <w:noProof/>
                <w:webHidden/>
              </w:rPr>
              <w:fldChar w:fldCharType="begin"/>
            </w:r>
            <w:r>
              <w:rPr>
                <w:noProof/>
                <w:webHidden/>
              </w:rPr>
              <w:instrText xml:space="preserve"> PAGEREF _Toc204086400 \h </w:instrText>
            </w:r>
            <w:r>
              <w:rPr>
                <w:noProof/>
                <w:webHidden/>
              </w:rPr>
            </w:r>
            <w:r>
              <w:rPr>
                <w:noProof/>
                <w:webHidden/>
              </w:rPr>
              <w:fldChar w:fldCharType="separate"/>
            </w:r>
            <w:r>
              <w:rPr>
                <w:noProof/>
                <w:webHidden/>
              </w:rPr>
              <w:t>4</w:t>
            </w:r>
            <w:r>
              <w:rPr>
                <w:noProof/>
                <w:webHidden/>
              </w:rPr>
              <w:fldChar w:fldCharType="end"/>
            </w:r>
          </w:hyperlink>
        </w:p>
        <w:p w:rsidR="00922E1B" w:rsidRDefault="00922E1B" w14:paraId="7B243663" w14:textId="48EBBD64">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01">
            <w:r w:rsidRPr="009F283F">
              <w:rPr>
                <w:rStyle w:val="Hyperlnk"/>
                <w:rFonts w:eastAsia="MS Gothic"/>
                <w:noProof/>
              </w:rPr>
              <w:t>Första behandling av radialis påverkan</w:t>
            </w:r>
            <w:r>
              <w:rPr>
                <w:noProof/>
                <w:webHidden/>
              </w:rPr>
              <w:tab/>
            </w:r>
            <w:r>
              <w:rPr>
                <w:noProof/>
                <w:webHidden/>
              </w:rPr>
              <w:fldChar w:fldCharType="begin"/>
            </w:r>
            <w:r>
              <w:rPr>
                <w:noProof/>
                <w:webHidden/>
              </w:rPr>
              <w:instrText xml:space="preserve"> PAGEREF _Toc204086401 \h </w:instrText>
            </w:r>
            <w:r>
              <w:rPr>
                <w:noProof/>
                <w:webHidden/>
              </w:rPr>
            </w:r>
            <w:r>
              <w:rPr>
                <w:noProof/>
                <w:webHidden/>
              </w:rPr>
              <w:fldChar w:fldCharType="separate"/>
            </w:r>
            <w:r>
              <w:rPr>
                <w:noProof/>
                <w:webHidden/>
              </w:rPr>
              <w:t>5</w:t>
            </w:r>
            <w:r>
              <w:rPr>
                <w:noProof/>
                <w:webHidden/>
              </w:rPr>
              <w:fldChar w:fldCharType="end"/>
            </w:r>
          </w:hyperlink>
        </w:p>
        <w:p w:rsidR="00922E1B" w:rsidRDefault="00922E1B" w14:paraId="37477FEF" w14:textId="5F8A2001">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02">
            <w:r w:rsidRPr="009F283F">
              <w:rPr>
                <w:rStyle w:val="Hyperlnk"/>
                <w:rFonts w:eastAsia="MS Gothic"/>
                <w:noProof/>
              </w:rPr>
              <w:t>Rökning</w:t>
            </w:r>
            <w:r>
              <w:rPr>
                <w:noProof/>
                <w:webHidden/>
              </w:rPr>
              <w:tab/>
            </w:r>
            <w:r>
              <w:rPr>
                <w:noProof/>
                <w:webHidden/>
              </w:rPr>
              <w:fldChar w:fldCharType="begin"/>
            </w:r>
            <w:r>
              <w:rPr>
                <w:noProof/>
                <w:webHidden/>
              </w:rPr>
              <w:instrText xml:space="preserve"> PAGEREF _Toc204086402 \h </w:instrText>
            </w:r>
            <w:r>
              <w:rPr>
                <w:noProof/>
                <w:webHidden/>
              </w:rPr>
            </w:r>
            <w:r>
              <w:rPr>
                <w:noProof/>
                <w:webHidden/>
              </w:rPr>
              <w:fldChar w:fldCharType="separate"/>
            </w:r>
            <w:r>
              <w:rPr>
                <w:noProof/>
                <w:webHidden/>
              </w:rPr>
              <w:t>5</w:t>
            </w:r>
            <w:r>
              <w:rPr>
                <w:noProof/>
                <w:webHidden/>
              </w:rPr>
              <w:fldChar w:fldCharType="end"/>
            </w:r>
          </w:hyperlink>
        </w:p>
        <w:p w:rsidR="00922E1B" w:rsidRDefault="00922E1B" w14:paraId="4D03B2FD" w14:textId="53AD158B">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03">
            <w:r w:rsidRPr="009F283F">
              <w:rPr>
                <w:rStyle w:val="Hyperlnk"/>
                <w:rFonts w:eastAsia="MS Gothic"/>
                <w:noProof/>
              </w:rPr>
              <w:t>Frakturregistret</w:t>
            </w:r>
            <w:r>
              <w:rPr>
                <w:noProof/>
                <w:webHidden/>
              </w:rPr>
              <w:tab/>
            </w:r>
            <w:r>
              <w:rPr>
                <w:noProof/>
                <w:webHidden/>
              </w:rPr>
              <w:fldChar w:fldCharType="begin"/>
            </w:r>
            <w:r>
              <w:rPr>
                <w:noProof/>
                <w:webHidden/>
              </w:rPr>
              <w:instrText xml:space="preserve"> PAGEREF _Toc204086403 \h </w:instrText>
            </w:r>
            <w:r>
              <w:rPr>
                <w:noProof/>
                <w:webHidden/>
              </w:rPr>
            </w:r>
            <w:r>
              <w:rPr>
                <w:noProof/>
                <w:webHidden/>
              </w:rPr>
              <w:fldChar w:fldCharType="separate"/>
            </w:r>
            <w:r>
              <w:rPr>
                <w:noProof/>
                <w:webHidden/>
              </w:rPr>
              <w:t>5</w:t>
            </w:r>
            <w:r>
              <w:rPr>
                <w:noProof/>
                <w:webHidden/>
              </w:rPr>
              <w:fldChar w:fldCharType="end"/>
            </w:r>
          </w:hyperlink>
        </w:p>
        <w:p w:rsidR="00922E1B" w:rsidRDefault="00922E1B" w14:paraId="21F67279" w14:textId="2DC9AB7F">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4086404">
            <w:r w:rsidRPr="009F283F">
              <w:rPr>
                <w:rStyle w:val="Hyperlnk"/>
                <w:rFonts w:eastAsia="MS Gothic"/>
                <w:noProof/>
              </w:rPr>
              <w:t>Uppföljning</w:t>
            </w:r>
            <w:r>
              <w:rPr>
                <w:noProof/>
                <w:webHidden/>
              </w:rPr>
              <w:tab/>
            </w:r>
            <w:r>
              <w:rPr>
                <w:noProof/>
                <w:webHidden/>
              </w:rPr>
              <w:fldChar w:fldCharType="begin"/>
            </w:r>
            <w:r>
              <w:rPr>
                <w:noProof/>
                <w:webHidden/>
              </w:rPr>
              <w:instrText xml:space="preserve"> PAGEREF _Toc204086404 \h </w:instrText>
            </w:r>
            <w:r>
              <w:rPr>
                <w:noProof/>
                <w:webHidden/>
              </w:rPr>
            </w:r>
            <w:r>
              <w:rPr>
                <w:noProof/>
                <w:webHidden/>
              </w:rPr>
              <w:fldChar w:fldCharType="separate"/>
            </w:r>
            <w:r>
              <w:rPr>
                <w:noProof/>
                <w:webHidden/>
              </w:rPr>
              <w:t>6</w:t>
            </w:r>
            <w:r>
              <w:rPr>
                <w:noProof/>
                <w:webHidden/>
              </w:rPr>
              <w:fldChar w:fldCharType="end"/>
            </w:r>
          </w:hyperlink>
        </w:p>
        <w:p w:rsidR="00922E1B" w:rsidRDefault="00922E1B" w14:paraId="06924847" w14:textId="078EAC93">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05">
            <w:r w:rsidRPr="009F283F">
              <w:rPr>
                <w:rStyle w:val="Hyperlnk"/>
                <w:rFonts w:eastAsia="MS Gothic"/>
                <w:noProof/>
              </w:rPr>
              <w:t>Återbesök efter 1 vecka</w:t>
            </w:r>
            <w:r>
              <w:rPr>
                <w:noProof/>
                <w:webHidden/>
              </w:rPr>
              <w:tab/>
            </w:r>
            <w:r>
              <w:rPr>
                <w:noProof/>
                <w:webHidden/>
              </w:rPr>
              <w:fldChar w:fldCharType="begin"/>
            </w:r>
            <w:r>
              <w:rPr>
                <w:noProof/>
                <w:webHidden/>
              </w:rPr>
              <w:instrText xml:space="preserve"> PAGEREF _Toc204086405 \h </w:instrText>
            </w:r>
            <w:r>
              <w:rPr>
                <w:noProof/>
                <w:webHidden/>
              </w:rPr>
            </w:r>
            <w:r>
              <w:rPr>
                <w:noProof/>
                <w:webHidden/>
              </w:rPr>
              <w:fldChar w:fldCharType="separate"/>
            </w:r>
            <w:r>
              <w:rPr>
                <w:noProof/>
                <w:webHidden/>
              </w:rPr>
              <w:t>6</w:t>
            </w:r>
            <w:r>
              <w:rPr>
                <w:noProof/>
                <w:webHidden/>
              </w:rPr>
              <w:fldChar w:fldCharType="end"/>
            </w:r>
          </w:hyperlink>
        </w:p>
        <w:p w:rsidR="00922E1B" w:rsidRDefault="00922E1B" w14:paraId="34EB87BD" w14:textId="59CBB297">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06">
            <w:r w:rsidRPr="009F283F">
              <w:rPr>
                <w:rStyle w:val="Hyperlnk"/>
                <w:rFonts w:eastAsia="MS Gothic"/>
                <w:noProof/>
              </w:rPr>
              <w:t>Återbesök efter 3 veckor</w:t>
            </w:r>
            <w:r>
              <w:rPr>
                <w:noProof/>
                <w:webHidden/>
              </w:rPr>
              <w:tab/>
            </w:r>
            <w:r>
              <w:rPr>
                <w:noProof/>
                <w:webHidden/>
              </w:rPr>
              <w:fldChar w:fldCharType="begin"/>
            </w:r>
            <w:r>
              <w:rPr>
                <w:noProof/>
                <w:webHidden/>
              </w:rPr>
              <w:instrText xml:space="preserve"> PAGEREF _Toc204086406 \h </w:instrText>
            </w:r>
            <w:r>
              <w:rPr>
                <w:noProof/>
                <w:webHidden/>
              </w:rPr>
            </w:r>
            <w:r>
              <w:rPr>
                <w:noProof/>
                <w:webHidden/>
              </w:rPr>
              <w:fldChar w:fldCharType="separate"/>
            </w:r>
            <w:r>
              <w:rPr>
                <w:noProof/>
                <w:webHidden/>
              </w:rPr>
              <w:t>7</w:t>
            </w:r>
            <w:r>
              <w:rPr>
                <w:noProof/>
                <w:webHidden/>
              </w:rPr>
              <w:fldChar w:fldCharType="end"/>
            </w:r>
          </w:hyperlink>
        </w:p>
        <w:p w:rsidR="00922E1B" w:rsidRDefault="00922E1B" w14:paraId="4AC31D20" w14:textId="239CF3FD">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07">
            <w:r w:rsidRPr="009F283F">
              <w:rPr>
                <w:rStyle w:val="Hyperlnk"/>
                <w:rFonts w:eastAsia="MS Gothic"/>
                <w:noProof/>
              </w:rPr>
              <w:t>Återbesök efter 6 veckor</w:t>
            </w:r>
            <w:r>
              <w:rPr>
                <w:noProof/>
                <w:webHidden/>
              </w:rPr>
              <w:tab/>
            </w:r>
            <w:r>
              <w:rPr>
                <w:noProof/>
                <w:webHidden/>
              </w:rPr>
              <w:fldChar w:fldCharType="begin"/>
            </w:r>
            <w:r>
              <w:rPr>
                <w:noProof/>
                <w:webHidden/>
              </w:rPr>
              <w:instrText xml:space="preserve"> PAGEREF _Toc204086407 \h </w:instrText>
            </w:r>
            <w:r>
              <w:rPr>
                <w:noProof/>
                <w:webHidden/>
              </w:rPr>
            </w:r>
            <w:r>
              <w:rPr>
                <w:noProof/>
                <w:webHidden/>
              </w:rPr>
              <w:fldChar w:fldCharType="separate"/>
            </w:r>
            <w:r>
              <w:rPr>
                <w:noProof/>
                <w:webHidden/>
              </w:rPr>
              <w:t>7</w:t>
            </w:r>
            <w:r>
              <w:rPr>
                <w:noProof/>
                <w:webHidden/>
              </w:rPr>
              <w:fldChar w:fldCharType="end"/>
            </w:r>
          </w:hyperlink>
        </w:p>
        <w:p w:rsidR="00922E1B" w:rsidRDefault="00922E1B" w14:paraId="3A4128B2" w14:textId="7EC3449E">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08">
            <w:r w:rsidRPr="009F283F">
              <w:rPr>
                <w:rStyle w:val="Hyperlnk"/>
                <w:rFonts w:eastAsia="MS Gothic"/>
                <w:noProof/>
              </w:rPr>
              <w:t>Ytterligare uppföljning</w:t>
            </w:r>
            <w:r>
              <w:rPr>
                <w:noProof/>
                <w:webHidden/>
              </w:rPr>
              <w:tab/>
            </w:r>
            <w:r>
              <w:rPr>
                <w:noProof/>
                <w:webHidden/>
              </w:rPr>
              <w:fldChar w:fldCharType="begin"/>
            </w:r>
            <w:r>
              <w:rPr>
                <w:noProof/>
                <w:webHidden/>
              </w:rPr>
              <w:instrText xml:space="preserve"> PAGEREF _Toc204086408 \h </w:instrText>
            </w:r>
            <w:r>
              <w:rPr>
                <w:noProof/>
                <w:webHidden/>
              </w:rPr>
            </w:r>
            <w:r>
              <w:rPr>
                <w:noProof/>
                <w:webHidden/>
              </w:rPr>
              <w:fldChar w:fldCharType="separate"/>
            </w:r>
            <w:r>
              <w:rPr>
                <w:noProof/>
                <w:webHidden/>
              </w:rPr>
              <w:t>8</w:t>
            </w:r>
            <w:r>
              <w:rPr>
                <w:noProof/>
                <w:webHidden/>
              </w:rPr>
              <w:fldChar w:fldCharType="end"/>
            </w:r>
          </w:hyperlink>
        </w:p>
        <w:p w:rsidR="00922E1B" w:rsidRDefault="00922E1B" w14:paraId="70C306DC" w14:textId="44CF2EBE">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09">
            <w:r w:rsidRPr="009F283F">
              <w:rPr>
                <w:rStyle w:val="Hyperlnk"/>
                <w:rFonts w:eastAsia="MS Gothic"/>
                <w:noProof/>
              </w:rPr>
              <w:t>Radialispares som kvarstår över 2 månader</w:t>
            </w:r>
            <w:r>
              <w:rPr>
                <w:noProof/>
                <w:webHidden/>
              </w:rPr>
              <w:tab/>
            </w:r>
            <w:r>
              <w:rPr>
                <w:noProof/>
                <w:webHidden/>
              </w:rPr>
              <w:fldChar w:fldCharType="begin"/>
            </w:r>
            <w:r>
              <w:rPr>
                <w:noProof/>
                <w:webHidden/>
              </w:rPr>
              <w:instrText xml:space="preserve"> PAGEREF _Toc204086409 \h </w:instrText>
            </w:r>
            <w:r>
              <w:rPr>
                <w:noProof/>
                <w:webHidden/>
              </w:rPr>
            </w:r>
            <w:r>
              <w:rPr>
                <w:noProof/>
                <w:webHidden/>
              </w:rPr>
              <w:fldChar w:fldCharType="separate"/>
            </w:r>
            <w:r>
              <w:rPr>
                <w:noProof/>
                <w:webHidden/>
              </w:rPr>
              <w:t>8</w:t>
            </w:r>
            <w:r>
              <w:rPr>
                <w:noProof/>
                <w:webHidden/>
              </w:rPr>
              <w:fldChar w:fldCharType="end"/>
            </w:r>
          </w:hyperlink>
        </w:p>
        <w:p w:rsidR="00922E1B" w:rsidRDefault="00922E1B" w14:paraId="04EB09BB" w14:textId="5993141D">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4086410">
            <w:r w:rsidRPr="009F283F">
              <w:rPr>
                <w:rStyle w:val="Hyperlnk"/>
                <w:rFonts w:eastAsia="MS Gothic"/>
                <w:noProof/>
              </w:rPr>
              <w:t>Kirurgisk behandling</w:t>
            </w:r>
            <w:r>
              <w:rPr>
                <w:noProof/>
                <w:webHidden/>
              </w:rPr>
              <w:tab/>
            </w:r>
            <w:r>
              <w:rPr>
                <w:noProof/>
                <w:webHidden/>
              </w:rPr>
              <w:fldChar w:fldCharType="begin"/>
            </w:r>
            <w:r>
              <w:rPr>
                <w:noProof/>
                <w:webHidden/>
              </w:rPr>
              <w:instrText xml:space="preserve"> PAGEREF _Toc204086410 \h </w:instrText>
            </w:r>
            <w:r>
              <w:rPr>
                <w:noProof/>
                <w:webHidden/>
              </w:rPr>
            </w:r>
            <w:r>
              <w:rPr>
                <w:noProof/>
                <w:webHidden/>
              </w:rPr>
              <w:fldChar w:fldCharType="separate"/>
            </w:r>
            <w:r>
              <w:rPr>
                <w:noProof/>
                <w:webHidden/>
              </w:rPr>
              <w:t>8</w:t>
            </w:r>
            <w:r>
              <w:rPr>
                <w:noProof/>
                <w:webHidden/>
              </w:rPr>
              <w:fldChar w:fldCharType="end"/>
            </w:r>
          </w:hyperlink>
        </w:p>
        <w:p w:rsidR="00922E1B" w:rsidRDefault="00922E1B" w14:paraId="47E0FC50" w14:textId="3A454CDF">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11">
            <w:r w:rsidRPr="009F283F">
              <w:rPr>
                <w:rStyle w:val="Hyperlnk"/>
                <w:rFonts w:eastAsia="MS Gothic"/>
                <w:noProof/>
              </w:rPr>
              <w:t>Val av implantat</w:t>
            </w:r>
            <w:r>
              <w:rPr>
                <w:noProof/>
                <w:webHidden/>
              </w:rPr>
              <w:tab/>
            </w:r>
            <w:r>
              <w:rPr>
                <w:noProof/>
                <w:webHidden/>
              </w:rPr>
              <w:fldChar w:fldCharType="begin"/>
            </w:r>
            <w:r>
              <w:rPr>
                <w:noProof/>
                <w:webHidden/>
              </w:rPr>
              <w:instrText xml:space="preserve"> PAGEREF _Toc204086411 \h </w:instrText>
            </w:r>
            <w:r>
              <w:rPr>
                <w:noProof/>
                <w:webHidden/>
              </w:rPr>
            </w:r>
            <w:r>
              <w:rPr>
                <w:noProof/>
                <w:webHidden/>
              </w:rPr>
              <w:fldChar w:fldCharType="separate"/>
            </w:r>
            <w:r>
              <w:rPr>
                <w:noProof/>
                <w:webHidden/>
              </w:rPr>
              <w:t>8</w:t>
            </w:r>
            <w:r>
              <w:rPr>
                <w:noProof/>
                <w:webHidden/>
              </w:rPr>
              <w:fldChar w:fldCharType="end"/>
            </w:r>
          </w:hyperlink>
        </w:p>
        <w:p w:rsidR="00922E1B" w:rsidRDefault="00922E1B" w14:paraId="1D3C5771" w14:textId="67700D8C">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12">
            <w:r w:rsidRPr="009F283F">
              <w:rPr>
                <w:rStyle w:val="Hyperlnk"/>
                <w:rFonts w:eastAsia="MS Gothic"/>
                <w:noProof/>
              </w:rPr>
              <w:t>Snittföring</w:t>
            </w:r>
            <w:r>
              <w:rPr>
                <w:noProof/>
                <w:webHidden/>
              </w:rPr>
              <w:tab/>
            </w:r>
            <w:r>
              <w:rPr>
                <w:noProof/>
                <w:webHidden/>
              </w:rPr>
              <w:fldChar w:fldCharType="begin"/>
            </w:r>
            <w:r>
              <w:rPr>
                <w:noProof/>
                <w:webHidden/>
              </w:rPr>
              <w:instrText xml:space="preserve"> PAGEREF _Toc204086412 \h </w:instrText>
            </w:r>
            <w:r>
              <w:rPr>
                <w:noProof/>
                <w:webHidden/>
              </w:rPr>
            </w:r>
            <w:r>
              <w:rPr>
                <w:noProof/>
                <w:webHidden/>
              </w:rPr>
              <w:fldChar w:fldCharType="separate"/>
            </w:r>
            <w:r>
              <w:rPr>
                <w:noProof/>
                <w:webHidden/>
              </w:rPr>
              <w:t>8</w:t>
            </w:r>
            <w:r>
              <w:rPr>
                <w:noProof/>
                <w:webHidden/>
              </w:rPr>
              <w:fldChar w:fldCharType="end"/>
            </w:r>
          </w:hyperlink>
        </w:p>
        <w:p w:rsidR="00922E1B" w:rsidRDefault="00922E1B" w14:paraId="2EF33D61" w14:textId="643E4DBE">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13">
            <w:r w:rsidRPr="009F283F">
              <w:rPr>
                <w:rStyle w:val="Hyperlnk"/>
                <w:rFonts w:eastAsia="MS Gothic"/>
                <w:noProof/>
              </w:rPr>
              <w:t>Nervus radialis vid kirurgisk behandling</w:t>
            </w:r>
            <w:r>
              <w:rPr>
                <w:noProof/>
                <w:webHidden/>
              </w:rPr>
              <w:tab/>
            </w:r>
            <w:r>
              <w:rPr>
                <w:noProof/>
                <w:webHidden/>
              </w:rPr>
              <w:fldChar w:fldCharType="begin"/>
            </w:r>
            <w:r>
              <w:rPr>
                <w:noProof/>
                <w:webHidden/>
              </w:rPr>
              <w:instrText xml:space="preserve"> PAGEREF _Toc204086413 \h </w:instrText>
            </w:r>
            <w:r>
              <w:rPr>
                <w:noProof/>
                <w:webHidden/>
              </w:rPr>
            </w:r>
            <w:r>
              <w:rPr>
                <w:noProof/>
                <w:webHidden/>
              </w:rPr>
              <w:fldChar w:fldCharType="separate"/>
            </w:r>
            <w:r>
              <w:rPr>
                <w:noProof/>
                <w:webHidden/>
              </w:rPr>
              <w:t>9</w:t>
            </w:r>
            <w:r>
              <w:rPr>
                <w:noProof/>
                <w:webHidden/>
              </w:rPr>
              <w:fldChar w:fldCharType="end"/>
            </w:r>
          </w:hyperlink>
        </w:p>
        <w:p w:rsidR="00922E1B" w:rsidRDefault="00922E1B" w14:paraId="448675F9" w14:textId="0C368AEE">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4086414">
            <w:r w:rsidRPr="009F283F">
              <w:rPr>
                <w:rStyle w:val="Hyperlnk"/>
                <w:rFonts w:eastAsia="MS Gothic"/>
                <w:noProof/>
              </w:rPr>
              <w:t>Teoretisk bakgrund – Komplikationer</w:t>
            </w:r>
            <w:r>
              <w:rPr>
                <w:noProof/>
                <w:webHidden/>
              </w:rPr>
              <w:tab/>
            </w:r>
            <w:r>
              <w:rPr>
                <w:noProof/>
                <w:webHidden/>
              </w:rPr>
              <w:fldChar w:fldCharType="begin"/>
            </w:r>
            <w:r>
              <w:rPr>
                <w:noProof/>
                <w:webHidden/>
              </w:rPr>
              <w:instrText xml:space="preserve"> PAGEREF _Toc204086414 \h </w:instrText>
            </w:r>
            <w:r>
              <w:rPr>
                <w:noProof/>
                <w:webHidden/>
              </w:rPr>
            </w:r>
            <w:r>
              <w:rPr>
                <w:noProof/>
                <w:webHidden/>
              </w:rPr>
              <w:fldChar w:fldCharType="separate"/>
            </w:r>
            <w:r>
              <w:rPr>
                <w:noProof/>
                <w:webHidden/>
              </w:rPr>
              <w:t>9</w:t>
            </w:r>
            <w:r>
              <w:rPr>
                <w:noProof/>
                <w:webHidden/>
              </w:rPr>
              <w:fldChar w:fldCharType="end"/>
            </w:r>
          </w:hyperlink>
        </w:p>
        <w:p w:rsidR="00922E1B" w:rsidRDefault="00922E1B" w14:paraId="7568B316" w14:textId="7FA949D9">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15">
            <w:r w:rsidRPr="009F283F">
              <w:rPr>
                <w:rStyle w:val="Hyperlnk"/>
                <w:rFonts w:eastAsia="MS Gothic"/>
                <w:noProof/>
              </w:rPr>
              <w:t>Felläkning (malunion)</w:t>
            </w:r>
            <w:r>
              <w:rPr>
                <w:noProof/>
                <w:webHidden/>
              </w:rPr>
              <w:tab/>
            </w:r>
            <w:r>
              <w:rPr>
                <w:noProof/>
                <w:webHidden/>
              </w:rPr>
              <w:fldChar w:fldCharType="begin"/>
            </w:r>
            <w:r>
              <w:rPr>
                <w:noProof/>
                <w:webHidden/>
              </w:rPr>
              <w:instrText xml:space="preserve"> PAGEREF _Toc204086415 \h </w:instrText>
            </w:r>
            <w:r>
              <w:rPr>
                <w:noProof/>
                <w:webHidden/>
              </w:rPr>
            </w:r>
            <w:r>
              <w:rPr>
                <w:noProof/>
                <w:webHidden/>
              </w:rPr>
              <w:fldChar w:fldCharType="separate"/>
            </w:r>
            <w:r>
              <w:rPr>
                <w:noProof/>
                <w:webHidden/>
              </w:rPr>
              <w:t>9</w:t>
            </w:r>
            <w:r>
              <w:rPr>
                <w:noProof/>
                <w:webHidden/>
              </w:rPr>
              <w:fldChar w:fldCharType="end"/>
            </w:r>
          </w:hyperlink>
        </w:p>
        <w:p w:rsidR="00922E1B" w:rsidRDefault="00922E1B" w14:paraId="4CAB46D5" w14:textId="69A72F4F">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16">
            <w:r w:rsidRPr="009F283F">
              <w:rPr>
                <w:rStyle w:val="Hyperlnk"/>
                <w:rFonts w:eastAsia="MS Gothic"/>
                <w:noProof/>
              </w:rPr>
              <w:t>Utebliven läkning (nonunion)</w:t>
            </w:r>
            <w:r>
              <w:rPr>
                <w:noProof/>
                <w:webHidden/>
              </w:rPr>
              <w:tab/>
            </w:r>
            <w:r>
              <w:rPr>
                <w:noProof/>
                <w:webHidden/>
              </w:rPr>
              <w:fldChar w:fldCharType="begin"/>
            </w:r>
            <w:r>
              <w:rPr>
                <w:noProof/>
                <w:webHidden/>
              </w:rPr>
              <w:instrText xml:space="preserve"> PAGEREF _Toc204086416 \h </w:instrText>
            </w:r>
            <w:r>
              <w:rPr>
                <w:noProof/>
                <w:webHidden/>
              </w:rPr>
            </w:r>
            <w:r>
              <w:rPr>
                <w:noProof/>
                <w:webHidden/>
              </w:rPr>
              <w:fldChar w:fldCharType="separate"/>
            </w:r>
            <w:r>
              <w:rPr>
                <w:noProof/>
                <w:webHidden/>
              </w:rPr>
              <w:t>9</w:t>
            </w:r>
            <w:r>
              <w:rPr>
                <w:noProof/>
                <w:webHidden/>
              </w:rPr>
              <w:fldChar w:fldCharType="end"/>
            </w:r>
          </w:hyperlink>
        </w:p>
        <w:p w:rsidR="00922E1B" w:rsidRDefault="00922E1B" w14:paraId="61C92C53" w14:textId="2C920FB7">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17">
            <w:r w:rsidRPr="009F283F">
              <w:rPr>
                <w:rStyle w:val="Hyperlnk"/>
                <w:rFonts w:eastAsia="MS Gothic"/>
                <w:noProof/>
              </w:rPr>
              <w:t>Infektion vid kirurgi</w:t>
            </w:r>
            <w:r>
              <w:rPr>
                <w:noProof/>
                <w:webHidden/>
              </w:rPr>
              <w:tab/>
            </w:r>
            <w:r>
              <w:rPr>
                <w:noProof/>
                <w:webHidden/>
              </w:rPr>
              <w:fldChar w:fldCharType="begin"/>
            </w:r>
            <w:r>
              <w:rPr>
                <w:noProof/>
                <w:webHidden/>
              </w:rPr>
              <w:instrText xml:space="preserve"> PAGEREF _Toc204086417 \h </w:instrText>
            </w:r>
            <w:r>
              <w:rPr>
                <w:noProof/>
                <w:webHidden/>
              </w:rPr>
            </w:r>
            <w:r>
              <w:rPr>
                <w:noProof/>
                <w:webHidden/>
              </w:rPr>
              <w:fldChar w:fldCharType="separate"/>
            </w:r>
            <w:r>
              <w:rPr>
                <w:noProof/>
                <w:webHidden/>
              </w:rPr>
              <w:t>10</w:t>
            </w:r>
            <w:r>
              <w:rPr>
                <w:noProof/>
                <w:webHidden/>
              </w:rPr>
              <w:fldChar w:fldCharType="end"/>
            </w:r>
          </w:hyperlink>
        </w:p>
        <w:p w:rsidR="00922E1B" w:rsidRDefault="00922E1B" w14:paraId="7DB648E9" w14:textId="57B9129D">
          <w:pPr>
            <w:pStyle w:val="Innehll3"/>
            <w:tabs>
              <w:tab w:val="right" w:leader="dot" w:pos="8919"/>
            </w:tabs>
            <w:rPr>
              <w:rFonts w:asciiTheme="minorHAnsi" w:hAnsiTheme="minorHAnsi" w:eastAsiaTheme="minorEastAsia" w:cstheme="minorBidi"/>
              <w:noProof/>
              <w:kern w:val="2"/>
              <w14:ligatures w14:val="standardContextual"/>
            </w:rPr>
          </w:pPr>
          <w:hyperlink w:history="1" w:anchor="_Toc204086418">
            <w:r w:rsidRPr="009F283F">
              <w:rPr>
                <w:rStyle w:val="Hyperlnk"/>
                <w:rFonts w:eastAsia="MS Gothic"/>
                <w:noProof/>
              </w:rPr>
              <w:t>Radialispåverkan</w:t>
            </w:r>
            <w:r>
              <w:rPr>
                <w:noProof/>
                <w:webHidden/>
              </w:rPr>
              <w:tab/>
            </w:r>
            <w:r>
              <w:rPr>
                <w:noProof/>
                <w:webHidden/>
              </w:rPr>
              <w:fldChar w:fldCharType="begin"/>
            </w:r>
            <w:r>
              <w:rPr>
                <w:noProof/>
                <w:webHidden/>
              </w:rPr>
              <w:instrText xml:space="preserve"> PAGEREF _Toc204086418 \h </w:instrText>
            </w:r>
            <w:r>
              <w:rPr>
                <w:noProof/>
                <w:webHidden/>
              </w:rPr>
            </w:r>
            <w:r>
              <w:rPr>
                <w:noProof/>
                <w:webHidden/>
              </w:rPr>
              <w:fldChar w:fldCharType="separate"/>
            </w:r>
            <w:r>
              <w:rPr>
                <w:noProof/>
                <w:webHidden/>
              </w:rPr>
              <w:t>10</w:t>
            </w:r>
            <w:r>
              <w:rPr>
                <w:noProof/>
                <w:webHidden/>
              </w:rPr>
              <w:fldChar w:fldCharType="end"/>
            </w:r>
          </w:hyperlink>
        </w:p>
        <w:p w:rsidR="00922E1B" w:rsidRDefault="00922E1B" w14:paraId="55180DE7" w14:textId="6C439EE7">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4086419">
            <w:r w:rsidRPr="009F283F">
              <w:rPr>
                <w:rStyle w:val="Hyperlnk"/>
                <w:rFonts w:eastAsia="MS Gothic"/>
                <w:noProof/>
              </w:rPr>
              <w:t>Arbetsgrupp</w:t>
            </w:r>
            <w:r>
              <w:rPr>
                <w:noProof/>
                <w:webHidden/>
              </w:rPr>
              <w:tab/>
            </w:r>
            <w:r>
              <w:rPr>
                <w:noProof/>
                <w:webHidden/>
              </w:rPr>
              <w:fldChar w:fldCharType="begin"/>
            </w:r>
            <w:r>
              <w:rPr>
                <w:noProof/>
                <w:webHidden/>
              </w:rPr>
              <w:instrText xml:space="preserve"> PAGEREF _Toc204086419 \h </w:instrText>
            </w:r>
            <w:r>
              <w:rPr>
                <w:noProof/>
                <w:webHidden/>
              </w:rPr>
            </w:r>
            <w:r>
              <w:rPr>
                <w:noProof/>
                <w:webHidden/>
              </w:rPr>
              <w:fldChar w:fldCharType="separate"/>
            </w:r>
            <w:r>
              <w:rPr>
                <w:noProof/>
                <w:webHidden/>
              </w:rPr>
              <w:t>10</w:t>
            </w:r>
            <w:r>
              <w:rPr>
                <w:noProof/>
                <w:webHidden/>
              </w:rPr>
              <w:fldChar w:fldCharType="end"/>
            </w:r>
          </w:hyperlink>
        </w:p>
        <w:p w:rsidR="00922E1B" w:rsidRDefault="00922E1B" w14:paraId="16DA291E" w14:textId="77F8B7C0">
          <w:pPr>
            <w:pStyle w:val="Innehll2"/>
            <w:tabs>
              <w:tab w:val="right" w:leader="dot" w:pos="8919"/>
            </w:tabs>
            <w:rPr>
              <w:rFonts w:asciiTheme="minorHAnsi" w:hAnsiTheme="minorHAnsi" w:eastAsiaTheme="minorEastAsia" w:cstheme="minorBidi"/>
              <w:noProof/>
              <w:kern w:val="2"/>
              <w14:ligatures w14:val="standardContextual"/>
            </w:rPr>
          </w:pPr>
          <w:hyperlink w:history="1" w:anchor="_Toc204086420">
            <w:r w:rsidRPr="009F283F">
              <w:rPr>
                <w:rStyle w:val="Hyperlnk"/>
                <w:rFonts w:eastAsia="MS Gothic"/>
                <w:noProof/>
              </w:rPr>
              <w:t>Källförteckning</w:t>
            </w:r>
            <w:r>
              <w:rPr>
                <w:noProof/>
                <w:webHidden/>
              </w:rPr>
              <w:tab/>
            </w:r>
            <w:r>
              <w:rPr>
                <w:noProof/>
                <w:webHidden/>
              </w:rPr>
              <w:fldChar w:fldCharType="begin"/>
            </w:r>
            <w:r>
              <w:rPr>
                <w:noProof/>
                <w:webHidden/>
              </w:rPr>
              <w:instrText xml:space="preserve"> PAGEREF _Toc204086420 \h </w:instrText>
            </w:r>
            <w:r>
              <w:rPr>
                <w:noProof/>
                <w:webHidden/>
              </w:rPr>
            </w:r>
            <w:r>
              <w:rPr>
                <w:noProof/>
                <w:webHidden/>
              </w:rPr>
              <w:fldChar w:fldCharType="separate"/>
            </w:r>
            <w:r>
              <w:rPr>
                <w:noProof/>
                <w:webHidden/>
              </w:rPr>
              <w:t>11</w:t>
            </w:r>
            <w:r>
              <w:rPr>
                <w:noProof/>
                <w:webHidden/>
              </w:rPr>
              <w:fldChar w:fldCharType="end"/>
            </w:r>
          </w:hyperlink>
        </w:p>
        <w:p w:rsidR="4DD8B7D7" w:rsidP="4DD8B7D7" w:rsidRDefault="4DD8B7D7" w14:paraId="013213ED" w14:textId="4A682157">
          <w:pPr>
            <w:pStyle w:val="Innehll2"/>
            <w:tabs>
              <w:tab w:val="right" w:leader="dot" w:pos="8910"/>
            </w:tabs>
            <w:rPr>
              <w:rStyle w:val="Hyperlnk"/>
            </w:rPr>
          </w:pPr>
          <w:r>
            <w:fldChar w:fldCharType="end"/>
          </w:r>
        </w:p>
      </w:sdtContent>
      <w:sdtEndPr>
        <w:rPr>
          <w:rFonts w:ascii="Times New Roman" w:hAnsi="Times New Roman" w:eastAsia="Times New Roman" w:cs="Times New Roman"/>
          <w:color w:val="auto"/>
          <w:sz w:val="24"/>
          <w:szCs w:val="24"/>
        </w:rPr>
      </w:sdtEndPr>
    </w:sdt>
    <w:p w:rsidRPr="007D1EC9" w:rsidR="00543228" w:rsidP="003C6212" w:rsidRDefault="00543228" w14:paraId="77510EA3" w14:textId="3759E1F9"/>
    <w:p w:rsidRPr="00884614" w:rsidR="00884614" w:rsidP="00DC1552" w:rsidRDefault="007D1EC9" w14:paraId="5711DB94" w14:textId="61534F9E">
      <w:pPr>
        <w:pStyle w:val="Rubrik2"/>
      </w:pPr>
      <w:bookmarkStart w:name="_Toc204086396" w:id="5"/>
      <w:r w:rsidRPr="00DC1552">
        <w:t>Bakgrund</w:t>
      </w:r>
      <w:r>
        <w:t xml:space="preserve"> och syfte</w:t>
      </w:r>
      <w:bookmarkEnd w:id="5"/>
    </w:p>
    <w:p w:rsidRPr="007D1EC9" w:rsidR="00884614" w:rsidP="00DC1552" w:rsidRDefault="00884614" w14:paraId="45C72EB2" w14:textId="663DB1D5">
      <w:r w:rsidRPr="00884614">
        <w:t>Att säkerställa standardiserad, evidensbaserad och effektiv behandling av skaftfrakturer i överarmen.</w:t>
      </w:r>
    </w:p>
    <w:p w:rsidRPr="006304DC" w:rsidR="00884614" w:rsidP="00DC1552" w:rsidRDefault="689C6761" w14:paraId="7DA4FEF2" w14:textId="43DEF93C">
      <w:pPr>
        <w:rPr>
          <w:b/>
          <w:bCs/>
        </w:rPr>
      </w:pPr>
      <w:r>
        <w:t xml:space="preserve">Inom SU handläggs årligen </w:t>
      </w:r>
      <w:r w:rsidR="3AD8FC0B">
        <w:t xml:space="preserve">ca. </w:t>
      </w:r>
      <w:r>
        <w:t xml:space="preserve">90 skaftfrakturer i överarmen hos vuxna </w:t>
      </w:r>
      <w:r w:rsidR="00884614">
        <w:fldChar w:fldCharType="begin"/>
      </w:r>
      <w:r w:rsidR="00884614">
        <w:instrText xml:space="preserve"> ADDIN EN.CITE </w:instrText>
      </w:r>
      <w:r w:rsidR="00365788">
        <w:fldChar w:fldCharType="begin"/>
      </w:r>
      <w:r w:rsidR="00365788">
        <w:instrText xml:space="preserve"> ADDIN EN.CITE.DATA </w:instrText>
      </w:r>
      <w:r w:rsidR="00365788">
        <w:fldChar w:fldCharType="separate"/>
      </w:r>
      <w:r w:rsidR="00365788">
        <w:fldChar w:fldCharType="end"/>
      </w:r>
      <w:r w:rsidR="00884614">
        <w:fldChar w:fldCharType="separate"/>
      </w:r>
      <w:r>
        <w:t>[1]</w:t>
      </w:r>
      <w:r w:rsidR="00884614">
        <w:fldChar w:fldCharType="end"/>
      </w:r>
      <w:r>
        <w:t>. Den vanligaste frakturtypen (ca</w:t>
      </w:r>
      <w:r w:rsidR="72CB9DAF">
        <w:t>.</w:t>
      </w:r>
      <w:r>
        <w:t xml:space="preserve"> 60%) är den enkla tvåfragments frakturen (typ A enligt AO, bild 1). Flesta skaftfrakturer på överarmen läker med </w:t>
      </w:r>
      <w:r w:rsidR="615FDD9D">
        <w:t>icke kirurgisk</w:t>
      </w:r>
      <w:r>
        <w:t xml:space="preserve"> behandling med acceptabel funktion i axel och armbåge </w:t>
      </w:r>
      <w:r w:rsidR="00884614">
        <w:fldChar w:fldCharType="begin"/>
      </w:r>
      <w:r w:rsidR="00884614">
        <w:instrText xml:space="preserve"> ADDIN EN.CITE </w:instrText>
      </w:r>
      <w:r w:rsidR="00365788">
        <w:fldChar w:fldCharType="begin"/>
      </w:r>
      <w:r w:rsidR="00365788">
        <w:instrText xml:space="preserve"> ADDIN EN.CITE.DATA </w:instrText>
      </w:r>
      <w:r w:rsidR="00365788">
        <w:fldChar w:fldCharType="separate"/>
      </w:r>
      <w:r w:rsidR="00365788">
        <w:fldChar w:fldCharType="end"/>
      </w:r>
      <w:r w:rsidR="00884614">
        <w:fldChar w:fldCharType="separate"/>
      </w:r>
      <w:r w:rsidRPr="2ADA7F9E">
        <w:rPr>
          <w:noProof/>
        </w:rPr>
        <w:t>[2]</w:t>
      </w:r>
      <w:r w:rsidR="00884614">
        <w:fldChar w:fldCharType="end"/>
      </w:r>
      <w:r>
        <w:t>. Läkningstiden är ca</w:t>
      </w:r>
      <w:r w:rsidR="42F49426">
        <w:t>.</w:t>
      </w:r>
      <w:r>
        <w:t xml:space="preserve"> 3 månader i genomsnitt </w:t>
      </w:r>
      <w:r w:rsidR="00884614">
        <w:fldChar w:fldCharType="begin"/>
      </w:r>
      <w:r w:rsidR="00884614">
        <w:instrText xml:space="preserve"> ADDIN EN.CITE </w:instrText>
      </w:r>
      <w:r w:rsidR="00365788">
        <w:fldChar w:fldCharType="begin"/>
      </w:r>
      <w:r w:rsidR="00365788">
        <w:instrText xml:space="preserve"> ADDIN EN.CITE.DATA </w:instrText>
      </w:r>
      <w:r w:rsidR="00365788">
        <w:fldChar w:fldCharType="separate"/>
      </w:r>
      <w:r w:rsidR="00365788">
        <w:fldChar w:fldCharType="end"/>
      </w:r>
      <w:r w:rsidR="00884614">
        <w:fldChar w:fldCharType="separate"/>
      </w:r>
      <w:r w:rsidRPr="2ADA7F9E">
        <w:rPr>
          <w:noProof/>
        </w:rPr>
        <w:t>[2]</w:t>
      </w:r>
      <w:r w:rsidR="00884614">
        <w:fldChar w:fldCharType="end"/>
      </w:r>
      <w:r>
        <w:t xml:space="preserve"> för slutna frakturer.</w:t>
      </w:r>
    </w:p>
    <w:p w:rsidRPr="00884614" w:rsidR="00884614" w:rsidP="00DC1552" w:rsidRDefault="00884614" w14:paraId="45DB1EBB" w14:textId="41CFFD03">
      <w:r w:rsidRPr="00884614">
        <w:t xml:space="preserve">I en rapport från </w:t>
      </w:r>
      <w:r w:rsidRPr="00884614">
        <w:rPr>
          <w:i/>
        </w:rPr>
        <w:t>Statens beredning för medicinsk och social utvärdering</w:t>
      </w:r>
      <w:r w:rsidRPr="00884614">
        <w:t xml:space="preserve"> (SBU) </w:t>
      </w:r>
      <w:r w:rsidRPr="00884614">
        <w:fldChar w:fldCharType="begin"/>
      </w:r>
      <w:r w:rsidRPr="00884614">
        <w:instrText xml:space="preserve"> ADDIN EN.CITE &lt;EndNote&gt;&lt;Cite&gt;&lt;Author&gt;SBU&lt;/Author&gt;&lt;Year&gt;2017&lt;/Year&gt;&lt;RecNum&gt;1775&lt;/RecNum&gt;&lt;DisplayText&gt;[3]&lt;/DisplayText&gt;&lt;record&gt;&lt;rec-number&gt;1775&lt;/rec-number&gt;&lt;foreign-keys&gt;&lt;key app="EN" db-id="ttfpfrpdq0a92aetdfkpst5ytvstdea9zzfp" timestamp="1507809601"&gt;1775&lt;/key&gt;&lt;/foreign-keys&gt;&lt;ref-type name="Report"&gt;27&lt;/ref-type&gt;&lt;contributors&gt;&lt;authors&gt;&lt;author&gt;SBU&lt;/author&gt;&lt;/authors&gt;&lt;/contributors&gt;&lt;titles&gt;&lt;title&gt;Behandling av armfraktur hos äldre. En systematisk översikt och utvärdering av medicinska, hälsoekonomiska, sociala och etiska aspekter. Stockholm: Statens beredning för medicinsk och social utvärdering &lt;/title&gt;&lt;secondary-title&gt;SBU-rapport nr 262. ISBN 978-91-88437-04-4&lt;/secondary-title&gt;&lt;/titles&gt;&lt;dates&gt;&lt;year&gt;2017&lt;/year&gt;&lt;/dates&gt;&lt;urls&gt;&lt;related-urls&gt;&lt;url&gt;http://www.sbu.se/contentassets/1b2724fe399f4f1a94916159fa2814c0/behandling_av_armfraktur_hos_aldre_262.pdf&lt;/url&gt;&lt;/related-urls&gt;&lt;/urls&gt;&lt;/record&gt;&lt;/Cite&gt;&lt;/EndNote&gt;</w:instrText>
      </w:r>
      <w:r w:rsidRPr="00884614">
        <w:fldChar w:fldCharType="separate"/>
      </w:r>
      <w:r w:rsidRPr="00884614">
        <w:rPr>
          <w:noProof/>
        </w:rPr>
        <w:t>[3]</w:t>
      </w:r>
      <w:r w:rsidRPr="00884614">
        <w:fldChar w:fldCharType="end"/>
      </w:r>
      <w:r w:rsidRPr="00884614">
        <w:t xml:space="preserve"> framgår att skaftfrakturer på överarmen behandlas i kliniken på basen av tidigare mångåriga erfarenheter huvudsakligen </w:t>
      </w:r>
      <w:r w:rsidRPr="00884614" w:rsidR="009753C9">
        <w:t>icke kirurgiskt</w:t>
      </w:r>
      <w:r w:rsidRPr="00884614">
        <w:t xml:space="preserve"> med goda funktionella resultat.</w:t>
      </w:r>
    </w:p>
    <w:p w:rsidR="002B0497" w:rsidP="00DC1552" w:rsidRDefault="689C6761" w14:paraId="0236B777" w14:textId="66D0143D">
      <w:r>
        <w:t>På SU behandlas ca</w:t>
      </w:r>
      <w:r w:rsidR="051D8D4B">
        <w:t>.</w:t>
      </w:r>
      <w:r>
        <w:t xml:space="preserve"> 55 % av alla skaftfraktur i överarmen </w:t>
      </w:r>
      <w:r w:rsidR="615FDD9D">
        <w:t>icke kirurgiskt</w:t>
      </w:r>
      <w:r>
        <w:t xml:space="preserve"> enligt Svenska Frakturregistret (SFR) jämfört med </w:t>
      </w:r>
      <w:r w:rsidR="67AFD0DC">
        <w:t xml:space="preserve">ca. </w:t>
      </w:r>
      <w:r>
        <w:t>70 % i hela registret. Denna handläggningsrutin syftar till att standardisera och förbättra behandling och resultat.</w:t>
      </w:r>
    </w:p>
    <w:p w:rsidRPr="00884614" w:rsidR="00884614" w:rsidP="003C6212" w:rsidRDefault="002B0497" w14:paraId="6B7ACEBA" w14:textId="0B71CABC">
      <w:pPr>
        <w:spacing w:after="0" w:line="240" w:lineRule="auto"/>
        <w:ind w:left="567" w:right="-143"/>
      </w:pPr>
      <w:r>
        <w:br w:type="page"/>
      </w:r>
    </w:p>
    <w:p w:rsidRPr="00884614" w:rsidR="00884614" w:rsidP="003C6212" w:rsidRDefault="00884614" w14:paraId="0829074E" w14:textId="77777777">
      <w:pPr>
        <w:spacing w:after="0" w:line="240" w:lineRule="auto"/>
        <w:ind w:left="567" w:right="-143"/>
        <w:outlineLvl w:val="0"/>
        <w:rPr>
          <w:b/>
        </w:rPr>
      </w:pPr>
    </w:p>
    <w:p w:rsidRPr="00884614" w:rsidR="00884614" w:rsidP="00DC1552" w:rsidRDefault="00884614" w14:paraId="290A0239" w14:textId="77777777">
      <w:r w:rsidRPr="00884614">
        <w:t>Bild 1. AO klassifikationen av skaftfrakturer på överarmen</w:t>
      </w:r>
    </w:p>
    <w:p w:rsidRPr="00884614" w:rsidR="00884614" w:rsidP="005D19A5" w:rsidRDefault="00884614" w14:paraId="000408BD" w14:textId="3E74AFD2">
      <w:r w:rsidRPr="00884614">
        <w:rPr>
          <w:noProof/>
        </w:rPr>
        <w:drawing>
          <wp:inline distT="0" distB="0" distL="0" distR="0" wp14:anchorId="3670169E" wp14:editId="448A160C">
            <wp:extent cx="4019550" cy="3714750"/>
            <wp:effectExtent l="0" t="0" r="0" b="0"/>
            <wp:docPr id="7" name="Picture 7" descr="A: extraartikulär tvåfragmentsfraktur; B: extraartikulär fraktur &#10;med böjkil; C: extraartikulär flerfragmentsfraktu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extraartikulär tvåfragmentsfraktur; B: extraartikulär fraktur &#10;med böjkil; C: extraartikulär flerfragmentsfraktur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19550" cy="3714750"/>
                    </a:xfrm>
                    <a:prstGeom prst="rect">
                      <a:avLst/>
                    </a:prstGeom>
                    <a:noFill/>
                    <a:ln>
                      <a:noFill/>
                    </a:ln>
                  </pic:spPr>
                </pic:pic>
              </a:graphicData>
            </a:graphic>
          </wp:inline>
        </w:drawing>
      </w:r>
    </w:p>
    <w:p w:rsidRPr="003C6212" w:rsidR="00884614" w:rsidP="00DC1552" w:rsidRDefault="00884614" w14:paraId="49235A5D" w14:textId="5BF5259E">
      <w:r w:rsidRPr="00884614">
        <w:t xml:space="preserve">A: extraartikulär tvåfragmentsfraktur; B: extraartikulär fraktur med böjkil; C: extraartikulär flerfragmentsfraktur </w:t>
      </w:r>
    </w:p>
    <w:p w:rsidRPr="00DC1552" w:rsidR="00AB36A3" w:rsidP="00DC1552" w:rsidRDefault="00AB36A3" w14:paraId="04906CE2" w14:textId="7CCFB972">
      <w:pPr>
        <w:pStyle w:val="Rubrik2"/>
      </w:pPr>
      <w:bookmarkStart w:name="_Toc204086397" w:id="6"/>
      <w:r w:rsidRPr="00DC1552">
        <w:t>Utförande</w:t>
      </w:r>
      <w:bookmarkEnd w:id="6"/>
    </w:p>
    <w:p w:rsidRPr="00DC1552" w:rsidR="00884614" w:rsidP="00DC1552" w:rsidRDefault="00884614" w14:paraId="1C0BB93B" w14:textId="6637C514">
      <w:pPr>
        <w:pStyle w:val="Rubrik3"/>
      </w:pPr>
      <w:bookmarkStart w:name="_Toc204086398" w:id="7"/>
      <w:r w:rsidRPr="00DC1552">
        <w:t>På akuten</w:t>
      </w:r>
      <w:r w:rsidRPr="00DC1552" w:rsidR="00FF4262">
        <w:t>- B</w:t>
      </w:r>
      <w:r w:rsidRPr="00DC1552">
        <w:t>edömning och behandling</w:t>
      </w:r>
      <w:bookmarkEnd w:id="7"/>
    </w:p>
    <w:p w:rsidRPr="00AB36A3" w:rsidR="00884614" w:rsidP="00DC1552" w:rsidRDefault="00884614" w14:paraId="5A42088E" w14:textId="7FD4F987">
      <w:pPr>
        <w:rPr>
          <w:b/>
        </w:rPr>
      </w:pPr>
      <w:r w:rsidRPr="00884614">
        <w:t>Det är viktigt att undersöka och dokumentera distalstatus noggrant hos patienter med frakturer på överarmen, särskilt funktionen i nervus radialis. Kliniska tecken till radialis påverkan är nedsatt extensionsförmåga i handled och MCP-leder samt känselstörning på handryggen över området som motsvarar metakarpale I-III. Frakturdiagnosen säkerställs med överarmsröntgen.</w:t>
      </w:r>
    </w:p>
    <w:p w:rsidRPr="00DC1552" w:rsidR="00884614" w:rsidP="00DC1552" w:rsidRDefault="00884614" w14:paraId="324F0C93" w14:textId="77777777">
      <w:pPr>
        <w:pStyle w:val="Rubrik3"/>
      </w:pPr>
      <w:bookmarkStart w:name="_Toc204086399" w:id="8"/>
      <w:r w:rsidRPr="00DC1552">
        <w:t>Indikationer för kirurgi i tidigt skede</w:t>
      </w:r>
      <w:bookmarkEnd w:id="8"/>
    </w:p>
    <w:p w:rsidRPr="006E02F2" w:rsidR="00884614" w:rsidP="00DC1552" w:rsidRDefault="00884614" w14:paraId="70B8CBDC" w14:textId="687BECCD">
      <w:r w:rsidRPr="00884614">
        <w:t xml:space="preserve">Majoriteten av patienter med skaftfraktur i överarmen skall behandlas </w:t>
      </w:r>
      <w:r w:rsidRPr="00884614" w:rsidR="00AB36A3">
        <w:t>icke kirurgiskt</w:t>
      </w:r>
      <w:r w:rsidRPr="00884614">
        <w:t xml:space="preserve"> med </w:t>
      </w:r>
      <w:r w:rsidRPr="00884614" w:rsidR="00AB36A3">
        <w:t>o</w:t>
      </w:r>
      <w:r w:rsidR="001E517F">
        <w:t>r</w:t>
      </w:r>
      <w:r w:rsidRPr="00884614" w:rsidR="00AB36A3">
        <w:t>tos</w:t>
      </w:r>
      <w:r w:rsidRPr="00884614">
        <w:t xml:space="preserve"> enligt nedan. Indikationer för kirurgi är följande</w:t>
      </w:r>
      <w:r w:rsidR="007D4E55">
        <w:t>.</w:t>
      </w:r>
    </w:p>
    <w:p w:rsidRPr="00DC1552" w:rsidR="00884614" w:rsidP="00DC1552" w:rsidRDefault="00884614" w14:paraId="7C71BB3E" w14:textId="77777777">
      <w:pPr>
        <w:pStyle w:val="MellanrubrikVGR"/>
        <w:rPr>
          <w:rFonts w:eastAsia="Calibri"/>
        </w:rPr>
      </w:pPr>
      <w:r w:rsidRPr="00DC1552">
        <w:rPr>
          <w:rFonts w:eastAsia="Calibri"/>
        </w:rPr>
        <w:t>Absolut indikation för akut kirurgi</w:t>
      </w:r>
    </w:p>
    <w:p w:rsidRPr="00884614" w:rsidR="00884614" w:rsidP="005D19A5" w:rsidRDefault="00884614" w14:paraId="32293156" w14:textId="77777777">
      <w:pPr>
        <w:pStyle w:val="Punktlista"/>
        <w:rPr>
          <w:rFonts w:eastAsia="Calibri"/>
          <w:lang w:eastAsia="en-US"/>
        </w:rPr>
      </w:pPr>
      <w:r w:rsidRPr="00884614">
        <w:rPr>
          <w:rFonts w:eastAsia="Calibri"/>
          <w:b/>
          <w:lang w:eastAsia="en-US"/>
        </w:rPr>
        <w:t>Kärlskada</w:t>
      </w:r>
      <w:r w:rsidRPr="00884614">
        <w:rPr>
          <w:rFonts w:eastAsia="Calibri"/>
          <w:lang w:eastAsia="en-US"/>
        </w:rPr>
        <w:t xml:space="preserve"> associerad med fraktur skall åtgärdas i samråd med kärlkirurg så fort som möjligt (inom några timmar)</w:t>
      </w:r>
    </w:p>
    <w:p w:rsidRPr="003C6212" w:rsidR="00884614" w:rsidP="005D19A5" w:rsidRDefault="00884614" w14:paraId="1CCBBE08" w14:textId="457BD2C6">
      <w:pPr>
        <w:pStyle w:val="Punktlista"/>
        <w:rPr>
          <w:rFonts w:eastAsia="Calibri"/>
          <w:lang w:eastAsia="en-US"/>
        </w:rPr>
      </w:pPr>
      <w:r w:rsidRPr="00884614">
        <w:rPr>
          <w:rFonts w:eastAsia="Calibri"/>
          <w:b/>
          <w:lang w:eastAsia="en-US"/>
        </w:rPr>
        <w:t>Öppna skaftfrakturer</w:t>
      </w:r>
      <w:r w:rsidRPr="00884614">
        <w:rPr>
          <w:rFonts w:eastAsia="Calibri"/>
          <w:lang w:eastAsia="en-US"/>
        </w:rPr>
        <w:t>, Gustilo-Andersson grad 2 eller 3 (kirurgisk åtgärd inom 1 dygn)</w:t>
      </w:r>
    </w:p>
    <w:p w:rsidRPr="009A5A35" w:rsidR="00884614" w:rsidP="009A5A35" w:rsidRDefault="00884614" w14:paraId="4F45FF90" w14:textId="77777777">
      <w:pPr>
        <w:pStyle w:val="MellanrubrikVGR"/>
        <w:rPr>
          <w:rFonts w:eastAsia="Calibri"/>
          <w:lang w:eastAsia="en-US"/>
        </w:rPr>
      </w:pPr>
      <w:r w:rsidRPr="009A5A35">
        <w:rPr>
          <w:rFonts w:eastAsia="Calibri"/>
          <w:lang w:eastAsia="en-US"/>
        </w:rPr>
        <w:t>Indikationer för subakut kirurgi (inom 10 dagar)</w:t>
      </w:r>
    </w:p>
    <w:p w:rsidRPr="00884614" w:rsidR="00884614" w:rsidP="009A5A35" w:rsidRDefault="00884614" w14:paraId="4B6A1C2A" w14:textId="77777777">
      <w:pPr>
        <w:pStyle w:val="Punktlista"/>
        <w:rPr>
          <w:rFonts w:eastAsia="Calibri"/>
          <w:b/>
          <w:lang w:eastAsia="en-US"/>
        </w:rPr>
      </w:pPr>
      <w:r w:rsidRPr="00884614">
        <w:rPr>
          <w:rFonts w:eastAsia="Calibri"/>
          <w:b/>
          <w:lang w:eastAsia="en-US"/>
        </w:rPr>
        <w:t>Patologiska frakturer</w:t>
      </w:r>
      <w:r w:rsidRPr="00884614">
        <w:rPr>
          <w:rFonts w:eastAsia="Calibri"/>
          <w:lang w:eastAsia="en-US"/>
        </w:rPr>
        <w:t xml:space="preserve"> Individuell bedömning görs för varje fall</w:t>
      </w:r>
    </w:p>
    <w:p w:rsidRPr="00884614" w:rsidR="00884614" w:rsidP="009A5A35" w:rsidRDefault="00884614" w14:paraId="40C763D4" w14:textId="77777777">
      <w:pPr>
        <w:pStyle w:val="Punktlista"/>
        <w:rPr>
          <w:rFonts w:eastAsia="Calibri"/>
          <w:b/>
          <w:lang w:eastAsia="en-US"/>
        </w:rPr>
      </w:pPr>
      <w:r w:rsidRPr="20051A35">
        <w:rPr>
          <w:rFonts w:eastAsia="Calibri"/>
          <w:b/>
          <w:lang w:eastAsia="en-US"/>
        </w:rPr>
        <w:t>Intra-artikulära frakturer</w:t>
      </w:r>
    </w:p>
    <w:p w:rsidRPr="00884614" w:rsidR="00884614" w:rsidP="009A5A35" w:rsidRDefault="00884614" w14:paraId="3C4D9D6C" w14:textId="77777777">
      <w:pPr>
        <w:pStyle w:val="Punktlista"/>
        <w:rPr>
          <w:rFonts w:eastAsia="Calibri"/>
          <w:lang w:eastAsia="en-US"/>
        </w:rPr>
      </w:pPr>
      <w:r w:rsidRPr="00884614">
        <w:rPr>
          <w:rFonts w:eastAsia="Calibri"/>
          <w:b/>
          <w:lang w:eastAsia="en-US"/>
        </w:rPr>
        <w:t>Floating elbow</w:t>
      </w:r>
      <w:r w:rsidRPr="00884614">
        <w:rPr>
          <w:rFonts w:eastAsia="Calibri"/>
          <w:lang w:eastAsia="en-US"/>
        </w:rPr>
        <w:t xml:space="preserve"> (frakturer på underarm och överarm) </w:t>
      </w:r>
    </w:p>
    <w:p w:rsidRPr="00884614" w:rsidR="00884614" w:rsidP="009A5A35" w:rsidRDefault="00884614" w14:paraId="089D172C" w14:textId="7171E92F">
      <w:pPr>
        <w:pStyle w:val="Punktlista"/>
        <w:rPr>
          <w:rFonts w:eastAsia="Calibri"/>
          <w:lang w:eastAsia="en-US"/>
        </w:rPr>
      </w:pPr>
      <w:r w:rsidRPr="00884614">
        <w:rPr>
          <w:rFonts w:eastAsia="Calibri"/>
          <w:b/>
          <w:lang w:eastAsia="en-US"/>
        </w:rPr>
        <w:t xml:space="preserve">Högenergifrakturer med </w:t>
      </w:r>
      <w:r w:rsidRPr="4DD8B7D7">
        <w:rPr>
          <w:rFonts w:eastAsia="Calibri"/>
          <w:b/>
          <w:bCs/>
          <w:lang w:eastAsia="en-US"/>
        </w:rPr>
        <w:t>radialis</w:t>
      </w:r>
      <w:r w:rsidRPr="4DD8B7D7" w:rsidR="2768E35E">
        <w:rPr>
          <w:rFonts w:eastAsia="Calibri"/>
          <w:b/>
          <w:bCs/>
          <w:lang w:eastAsia="en-US"/>
        </w:rPr>
        <w:t xml:space="preserve"> </w:t>
      </w:r>
      <w:r w:rsidRPr="4DD8B7D7">
        <w:rPr>
          <w:rFonts w:eastAsia="Calibri"/>
          <w:b/>
          <w:bCs/>
          <w:lang w:eastAsia="en-US"/>
        </w:rPr>
        <w:t>påverkan</w:t>
      </w:r>
      <w:r w:rsidRPr="4DD8B7D7">
        <w:rPr>
          <w:rFonts w:eastAsia="Calibri"/>
          <w:lang w:eastAsia="en-US"/>
        </w:rPr>
        <w:t>.</w:t>
      </w:r>
      <w:r w:rsidRPr="00884614">
        <w:rPr>
          <w:rFonts w:eastAsia="Calibri"/>
          <w:lang w:eastAsia="en-US"/>
        </w:rPr>
        <w:t xml:space="preserve"> Ställning skall tas till exploration och fixation i tidigt skede i samråd med handkirurg</w:t>
      </w:r>
    </w:p>
    <w:p w:rsidRPr="00DC1552" w:rsidR="00884614" w:rsidP="00DC1552" w:rsidRDefault="409F6F52" w14:paraId="0D8EABC9" w14:textId="77777777">
      <w:pPr>
        <w:pStyle w:val="MellanrubrikVGR"/>
        <w:rPr>
          <w:rFonts w:eastAsia="Calibri"/>
        </w:rPr>
      </w:pPr>
      <w:r w:rsidRPr="00DC1552">
        <w:rPr>
          <w:rFonts w:eastAsia="Calibri"/>
        </w:rPr>
        <w:t>Relativa indikationer</w:t>
      </w:r>
    </w:p>
    <w:p w:rsidRPr="00884614" w:rsidR="00884614" w:rsidP="009A5A35" w:rsidRDefault="00884614" w14:paraId="3560E55C" w14:textId="77777777">
      <w:pPr>
        <w:pStyle w:val="Punktlista"/>
        <w:rPr>
          <w:rFonts w:eastAsia="Calibri"/>
          <w:lang w:eastAsia="en-US"/>
        </w:rPr>
      </w:pPr>
      <w:r w:rsidRPr="00884614">
        <w:rPr>
          <w:rFonts w:eastAsia="Calibri"/>
          <w:lang w:eastAsia="en-US"/>
        </w:rPr>
        <w:t>Bilaterala frakturer</w:t>
      </w:r>
    </w:p>
    <w:p w:rsidRPr="00884614" w:rsidR="00884614" w:rsidP="009A5A35" w:rsidRDefault="00884614" w14:paraId="614BBBC2" w14:textId="77777777">
      <w:pPr>
        <w:pStyle w:val="Punktlista"/>
        <w:rPr>
          <w:rFonts w:eastAsia="Calibri"/>
          <w:lang w:eastAsia="en-US"/>
        </w:rPr>
      </w:pPr>
      <w:r w:rsidRPr="00884614">
        <w:rPr>
          <w:rFonts w:eastAsia="Calibri"/>
          <w:lang w:eastAsia="en-US"/>
        </w:rPr>
        <w:t>Obesitas</w:t>
      </w:r>
    </w:p>
    <w:p w:rsidRPr="00884614" w:rsidR="00884614" w:rsidP="009A5A35" w:rsidRDefault="00884614" w14:paraId="316EEA4D" w14:textId="77777777">
      <w:pPr>
        <w:pStyle w:val="Punktlista"/>
        <w:rPr>
          <w:rFonts w:eastAsia="Calibri"/>
          <w:lang w:eastAsia="en-US"/>
        </w:rPr>
      </w:pPr>
      <w:r w:rsidRPr="00884614">
        <w:rPr>
          <w:rFonts w:eastAsia="Calibri"/>
          <w:lang w:eastAsia="en-US"/>
        </w:rPr>
        <w:t>Mobiliseringsbehov</w:t>
      </w:r>
    </w:p>
    <w:p w:rsidRPr="00884614" w:rsidR="00884614" w:rsidP="009A5A35" w:rsidRDefault="00884614" w14:paraId="071F6A3C" w14:textId="77777777">
      <w:pPr>
        <w:pStyle w:val="Punktlista"/>
        <w:rPr>
          <w:rFonts w:eastAsia="Calibri"/>
          <w:lang w:eastAsia="en-US"/>
        </w:rPr>
      </w:pPr>
      <w:r w:rsidRPr="00884614">
        <w:rPr>
          <w:rFonts w:eastAsia="Calibri"/>
          <w:bCs/>
          <w:lang w:eastAsia="en-US"/>
        </w:rPr>
        <w:t>Frakturmönster</w:t>
      </w:r>
      <w:r w:rsidRPr="00884614">
        <w:rPr>
          <w:rFonts w:eastAsia="Calibri"/>
          <w:lang w:eastAsia="en-US"/>
        </w:rPr>
        <w:t xml:space="preserve"> som är förenade med instabilitet</w:t>
      </w:r>
    </w:p>
    <w:p w:rsidR="009652A2" w:rsidP="009A5A35" w:rsidRDefault="00884614" w14:paraId="56F2A30A" w14:textId="2E615719">
      <w:pPr>
        <w:pStyle w:val="Punktlista"/>
        <w:rPr>
          <w:rFonts w:eastAsia="Calibri"/>
          <w:lang w:eastAsia="en-US"/>
        </w:rPr>
      </w:pPr>
      <w:r w:rsidRPr="00884614">
        <w:rPr>
          <w:rFonts w:eastAsia="Calibri"/>
          <w:bCs/>
          <w:lang w:eastAsia="en-US"/>
        </w:rPr>
        <w:t xml:space="preserve">Stor diastas </w:t>
      </w:r>
      <w:r w:rsidRPr="00884614">
        <w:rPr>
          <w:rFonts w:eastAsia="Calibri"/>
          <w:lang w:eastAsia="en-US"/>
        </w:rPr>
        <w:t>(troligt mjukdelsinterponat)</w:t>
      </w:r>
    </w:p>
    <w:p w:rsidRPr="009652A2" w:rsidR="009652A2" w:rsidP="009A5A35" w:rsidRDefault="009652A2" w14:paraId="3D77F103" w14:textId="7904CB3D">
      <w:pPr>
        <w:pStyle w:val="Punktlista"/>
        <w:rPr>
          <w:rFonts w:eastAsia="Calibri"/>
          <w:lang w:eastAsia="en-US"/>
        </w:rPr>
      </w:pPr>
      <w:r>
        <w:rPr>
          <w:rFonts w:eastAsia="Calibri"/>
          <w:lang w:eastAsia="en-US"/>
        </w:rPr>
        <w:t xml:space="preserve">Öppna frakturer </w:t>
      </w:r>
      <w:r w:rsidR="006D0D31">
        <w:rPr>
          <w:rFonts w:eastAsia="Calibri"/>
          <w:lang w:eastAsia="en-US"/>
        </w:rPr>
        <w:t xml:space="preserve">med </w:t>
      </w:r>
      <w:r w:rsidRPr="4DD8B7D7" w:rsidR="006D0D31">
        <w:rPr>
          <w:rFonts w:eastAsia="Calibri"/>
          <w:lang w:eastAsia="en-US"/>
        </w:rPr>
        <w:t>radius</w:t>
      </w:r>
      <w:r w:rsidRPr="4DD8B7D7" w:rsidR="4088234C">
        <w:rPr>
          <w:rFonts w:eastAsia="Calibri"/>
          <w:lang w:eastAsia="en-US"/>
        </w:rPr>
        <w:t xml:space="preserve"> </w:t>
      </w:r>
      <w:r w:rsidRPr="4DD8B7D7" w:rsidR="006D0D31">
        <w:rPr>
          <w:rFonts w:eastAsia="Calibri"/>
          <w:lang w:eastAsia="en-US"/>
        </w:rPr>
        <w:t>påverkan.</w:t>
      </w:r>
      <w:r w:rsidR="006D0D31">
        <w:rPr>
          <w:rFonts w:eastAsia="Calibri"/>
          <w:lang w:eastAsia="en-US"/>
        </w:rPr>
        <w:t xml:space="preserve"> Bedöms i samråd med handkirurg.</w:t>
      </w:r>
    </w:p>
    <w:p w:rsidRPr="003C6212" w:rsidR="00884614" w:rsidP="00DC1552" w:rsidRDefault="00884614" w14:paraId="3BFEC048" w14:textId="553C6AF1">
      <w:r w:rsidRPr="00884614">
        <w:t>Kirurgi kan i enstaka fall även motiveras utifrån individuell bedömning</w:t>
      </w:r>
    </w:p>
    <w:p w:rsidRPr="00DC1552" w:rsidR="00884614" w:rsidP="00DC1552" w:rsidRDefault="00884614" w14:paraId="37236233" w14:textId="69382369">
      <w:pPr>
        <w:pStyle w:val="Rubrik3"/>
      </w:pPr>
      <w:bookmarkStart w:name="_Toc204086400" w:id="9"/>
      <w:r w:rsidRPr="00DC1552">
        <w:t>Icke</w:t>
      </w:r>
      <w:r w:rsidRPr="00DC1552" w:rsidR="007A6DCC">
        <w:t xml:space="preserve"> </w:t>
      </w:r>
      <w:r w:rsidRPr="00DC1552">
        <w:t>kirurgisk behandling med ortos</w:t>
      </w:r>
      <w:bookmarkEnd w:id="9"/>
    </w:p>
    <w:p w:rsidRPr="00884614" w:rsidR="00884614" w:rsidP="00DC1552" w:rsidRDefault="689C6761" w14:paraId="637B0269" w14:textId="3B3442E7">
      <w:r>
        <w:t>För samtliga övriga frakturer rekommenderas i första hand icke</w:t>
      </w:r>
      <w:r w:rsidR="101F2C35">
        <w:t xml:space="preserve"> </w:t>
      </w:r>
      <w:r>
        <w:t>kirurgisk behandling med ortos. Rekommenderad immobilisering beror på i vilken tredjedel av skaftet frakturen ligger:</w:t>
      </w:r>
    </w:p>
    <w:p w:rsidRPr="00884614" w:rsidR="00884614" w:rsidP="00DC1552" w:rsidRDefault="00884614" w14:paraId="011865B8" w14:textId="77777777">
      <w:pPr>
        <w:pStyle w:val="Punktlista"/>
        <w:rPr>
          <w:rFonts w:eastAsia="Calibri"/>
          <w:lang w:eastAsia="en-US"/>
        </w:rPr>
      </w:pPr>
      <w:r w:rsidRPr="00884614">
        <w:rPr>
          <w:rFonts w:eastAsia="Calibri"/>
          <w:lang w:eastAsia="en-US"/>
        </w:rPr>
        <w:t xml:space="preserve">Proximala tredjedelen </w:t>
      </w:r>
    </w:p>
    <w:p w:rsidRPr="00884614" w:rsidR="00884614" w:rsidP="00DD34A3" w:rsidRDefault="00884614" w14:paraId="2002E2B7" w14:textId="1FB59E16">
      <w:r w:rsidRPr="00884614">
        <w:t xml:space="preserve">Hockeyortos rekommenderas (bild </w:t>
      </w:r>
      <w:r w:rsidR="742824B3">
        <w:t>3</w:t>
      </w:r>
      <w:r w:rsidRPr="00884614">
        <w:t>).</w:t>
      </w:r>
    </w:p>
    <w:p w:rsidRPr="00884614" w:rsidR="00884614" w:rsidP="00DD34A3" w:rsidRDefault="00884614" w14:paraId="29C05A07" w14:textId="77777777">
      <w:pPr>
        <w:pStyle w:val="Punktlista"/>
        <w:rPr>
          <w:rFonts w:eastAsia="Calibri"/>
          <w:lang w:eastAsia="en-US"/>
        </w:rPr>
      </w:pPr>
      <w:r w:rsidRPr="00884614">
        <w:rPr>
          <w:rFonts w:eastAsia="Calibri"/>
          <w:lang w:eastAsia="en-US"/>
        </w:rPr>
        <w:t xml:space="preserve">Mellersta tredjedelen </w:t>
      </w:r>
    </w:p>
    <w:p w:rsidRPr="00884614" w:rsidR="00884614" w:rsidP="00DD34A3" w:rsidRDefault="00884614" w14:paraId="534A91D3" w14:textId="77777777">
      <w:r w:rsidRPr="00884614">
        <w:t>Hockeyortos och/eller axellås kan användas fram till första återbesöket.</w:t>
      </w:r>
    </w:p>
    <w:p w:rsidRPr="00884614" w:rsidR="00884614" w:rsidP="00DD34A3" w:rsidRDefault="00884614" w14:paraId="6EC93496" w14:textId="77777777">
      <w:pPr>
        <w:pStyle w:val="Punktlista"/>
        <w:rPr>
          <w:rFonts w:eastAsia="Calibri"/>
          <w:lang w:val="en-US" w:eastAsia="en-US"/>
        </w:rPr>
      </w:pPr>
      <w:r w:rsidRPr="00884614">
        <w:rPr>
          <w:rFonts w:eastAsia="Calibri"/>
          <w:lang w:eastAsia="en-US"/>
        </w:rPr>
        <w:t>Distala tredjedelen</w:t>
      </w:r>
    </w:p>
    <w:p w:rsidRPr="003C6212" w:rsidR="00884614" w:rsidP="00E62B19" w:rsidRDefault="00884614" w14:paraId="03F97C9C" w14:textId="480544B9">
      <w:r w:rsidRPr="00884614">
        <w:t>Gipsskena över armbågen kan användas men det är viktigt att den går så proximalt på överarmen som möjligt för att ge tillräckligt stöd. Den får dock inte inskränka på axelleden eller axillen.</w:t>
      </w:r>
      <w:r w:rsidR="00E62B19">
        <w:t xml:space="preserve"> </w:t>
      </w:r>
      <w:r w:rsidR="00E62B19">
        <w:br/>
      </w:r>
      <w:r w:rsidRPr="00884614">
        <w:t>Ett annat alternativ för frakturer i distala tredjedelen är att använda enbart axellås.</w:t>
      </w:r>
    </w:p>
    <w:p w:rsidRPr="003C6212" w:rsidR="00884614" w:rsidP="00E62B19" w:rsidRDefault="00884614" w14:paraId="60AE20DD" w14:textId="7E7D6A1C">
      <w:r w:rsidRPr="00884614">
        <w:t>Vid icke</w:t>
      </w:r>
      <w:r w:rsidR="00044921">
        <w:t xml:space="preserve"> </w:t>
      </w:r>
      <w:r w:rsidRPr="00884614">
        <w:t xml:space="preserve">kirurgisk behandling skall patienten få återbesök till ortopedmottagningen efter 1 vecka. Röntgenremiss skrivs från akuten med anamnes och tydligt önskemål om att patienten skall röntgas med ortosen på. Detta skall även framföras på återbesökslappen som fylls i på </w:t>
      </w:r>
      <w:r w:rsidRPr="00884614">
        <w:t xml:space="preserve">akuten och skickas till ortopedmottagningen. Patienter som har fått gips eller axellås skall få funktionell ortos på ortopedmottagningen innan röntgen (se under </w:t>
      </w:r>
      <w:r w:rsidRPr="00884614">
        <w:rPr>
          <w:i/>
        </w:rPr>
        <w:t>Återbesök efter 1 vecka</w:t>
      </w:r>
      <w:r w:rsidRPr="00884614">
        <w:t xml:space="preserve">). För patienter som har fått ortos på akuten </w:t>
      </w:r>
      <w:r w:rsidR="40F8BAEB">
        <w:t>s</w:t>
      </w:r>
      <w:r>
        <w:t>å</w:t>
      </w:r>
      <w:r w:rsidRPr="00884614">
        <w:t xml:space="preserve"> skall den justeras på ortopedmottagningen innan röntgen.</w:t>
      </w:r>
    </w:p>
    <w:p w:rsidRPr="00E62B19" w:rsidR="00884614" w:rsidP="00E62B19" w:rsidRDefault="00884614" w14:paraId="132FA4A4" w14:textId="3E5EF8EA">
      <w:pPr>
        <w:pStyle w:val="Rubrik3"/>
      </w:pPr>
      <w:bookmarkStart w:name="_Toc204086401" w:id="10"/>
      <w:r w:rsidRPr="00E62B19">
        <w:t xml:space="preserve">Första behandling av </w:t>
      </w:r>
      <w:r>
        <w:t>radialis</w:t>
      </w:r>
      <w:r w:rsidR="54AA37E2">
        <w:t xml:space="preserve"> </w:t>
      </w:r>
      <w:r>
        <w:t>påverkan</w:t>
      </w:r>
      <w:bookmarkEnd w:id="10"/>
    </w:p>
    <w:p w:rsidRPr="00884614" w:rsidR="00884614" w:rsidP="00E62B19" w:rsidRDefault="00884614" w14:paraId="1951B1BE" w14:textId="0838302D">
      <w:r w:rsidRPr="00884614">
        <w:t xml:space="preserve">Påverkan på n. radialis som uppstått i samband med en sluten lågenergifraktur behandlas inledningsvis ickekirurgiskt. Dagtid skickas patienter med radialispåverkan direkt till arbetsterapeut på Handmottagningen för att erhålla </w:t>
      </w:r>
      <w:r w:rsidRPr="00884614" w:rsidR="00C74698">
        <w:t>ett</w:t>
      </w:r>
      <w:r w:rsidRPr="00884614">
        <w:t xml:space="preserve"> handledsortos (se bild 2). För patienter som söker jourtid kan dorsal gipsskena som immobiliserar handled och fingrar i funktionell ställning övervägas men remiss skickas till handmottagningen för att kunna kalla in patienten vid första lämpliga tillfälle och påbörja behandling med ortos samt rörelseträning och ödemprofylax.</w:t>
      </w:r>
    </w:p>
    <w:p w:rsidRPr="00884614" w:rsidR="00884614" w:rsidP="009A5A35" w:rsidRDefault="00884614" w14:paraId="6E1C8616" w14:textId="77777777">
      <w:r w:rsidRPr="00884614">
        <w:t>Bild 2.</w:t>
      </w:r>
    </w:p>
    <w:p w:rsidRPr="00884614" w:rsidR="00884614" w:rsidP="00E62B19" w:rsidRDefault="00884614" w14:paraId="5750DF72" w14:textId="6D76A193">
      <w:r>
        <w:rPr>
          <w:noProof/>
        </w:rPr>
        <w:drawing>
          <wp:inline distT="0" distB="0" distL="0" distR="0" wp14:anchorId="05207369" wp14:editId="0E7E7D9E">
            <wp:extent cx="4318000" cy="2232912"/>
            <wp:effectExtent l="0" t="0" r="6350" b="0"/>
            <wp:docPr id="5" name="Picture 5" descr="Hand med handledsor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Hand med handledsortos"/>
                    <pic:cNvPicPr/>
                  </pic:nvPicPr>
                  <pic:blipFill>
                    <a:blip r:embed="rId18">
                      <a:extLst>
                        <a:ext uri="{28A0092B-C50C-407E-A947-70E740481C1C}">
                          <a14:useLocalDpi xmlns:a14="http://schemas.microsoft.com/office/drawing/2010/main" val="0"/>
                        </a:ext>
                      </a:extLst>
                    </a:blip>
                    <a:srcRect l="19099" t="27287" b="19946"/>
                    <a:stretch>
                      <a:fillRect/>
                    </a:stretch>
                  </pic:blipFill>
                  <pic:spPr>
                    <a:xfrm>
                      <a:off x="0" y="0"/>
                      <a:ext cx="4340396" cy="2244493"/>
                    </a:xfrm>
                    <a:prstGeom prst="rect">
                      <a:avLst/>
                    </a:prstGeom>
                  </pic:spPr>
                </pic:pic>
              </a:graphicData>
            </a:graphic>
          </wp:inline>
        </w:drawing>
      </w:r>
    </w:p>
    <w:p w:rsidR="00884614" w:rsidP="00E62B19" w:rsidRDefault="5A802418" w14:paraId="209029F9" w14:textId="1E782E24">
      <w:r>
        <w:t xml:space="preserve">Handledsortos </w:t>
      </w:r>
      <w:r w:rsidR="689C6761">
        <w:t xml:space="preserve">används vid </w:t>
      </w:r>
      <w:r w:rsidR="5AC30FDB">
        <w:t xml:space="preserve">humerus skaftfrakturer som är associerade med </w:t>
      </w:r>
      <w:r w:rsidR="689C6761">
        <w:t>radialispåverkan</w:t>
      </w:r>
    </w:p>
    <w:p w:rsidRPr="002D5C06" w:rsidR="4620C2CB" w:rsidP="00537993" w:rsidRDefault="4620C2CB" w14:paraId="54C9A26A" w14:textId="2AB737A6">
      <w:pPr>
        <w:pStyle w:val="Rubrik3"/>
      </w:pPr>
      <w:bookmarkStart w:name="_Toc204086402" w:id="11"/>
      <w:r w:rsidRPr="002D5C06">
        <w:t>Rökning</w:t>
      </w:r>
      <w:bookmarkEnd w:id="11"/>
    </w:p>
    <w:p w:rsidRPr="00884614" w:rsidR="00884614" w:rsidP="001E3F02" w:rsidRDefault="689C6761" w14:paraId="1DC8F4FD" w14:textId="1D80513A">
      <w:r w:rsidRPr="00537993">
        <w:t xml:space="preserve">Patienter som röker </w:t>
      </w:r>
      <w:r w:rsidRPr="20051A35">
        <w:rPr>
          <w:b/>
        </w:rPr>
        <w:t>skall</w:t>
      </w:r>
      <w:r w:rsidRPr="00537993">
        <w:t xml:space="preserve"> erbjudas hjälp med tobaksavvänjning och remiss skickas till mottagningen för tobaksavvänjning</w:t>
      </w:r>
      <w:r>
        <w:t>.</w:t>
      </w:r>
    </w:p>
    <w:p w:rsidRPr="00537993" w:rsidR="00884614" w:rsidP="00537993" w:rsidRDefault="39C2CBE3" w14:paraId="01B2AE70" w14:textId="6E054C26">
      <w:pPr>
        <w:pStyle w:val="Rubrik3"/>
      </w:pPr>
      <w:bookmarkStart w:name="_Toc204086403" w:id="12"/>
      <w:r w:rsidRPr="00537993">
        <w:t>Frakturregistret</w:t>
      </w:r>
      <w:bookmarkEnd w:id="12"/>
    </w:p>
    <w:p w:rsidRPr="00D04529" w:rsidR="00884614" w:rsidP="001E3F02" w:rsidRDefault="00884614" w14:paraId="65177C45" w14:textId="2CA8256E">
      <w:r w:rsidRPr="00884614">
        <w:t>Alla skaftfrakturer i överarmen skall registreras i Svenska Frakturregistret. Vid registrering klassificeras frakturer enligt AO/OTA (se bild 1).</w:t>
      </w:r>
    </w:p>
    <w:p w:rsidRPr="00537993" w:rsidR="00884614" w:rsidP="00537993" w:rsidRDefault="00884614" w14:paraId="1F844D43" w14:textId="2AE215EC">
      <w:pPr>
        <w:pStyle w:val="Rubrik2"/>
      </w:pPr>
      <w:bookmarkStart w:name="_Toc204086404" w:id="13"/>
      <w:r w:rsidRPr="00537993">
        <w:t>Uppföljning</w:t>
      </w:r>
      <w:bookmarkEnd w:id="13"/>
    </w:p>
    <w:p w:rsidRPr="00537993" w:rsidR="00884614" w:rsidP="00537993" w:rsidRDefault="00884614" w14:paraId="3194D58A" w14:textId="77777777">
      <w:pPr>
        <w:pStyle w:val="Rubrik3"/>
      </w:pPr>
      <w:bookmarkStart w:name="_Toc204086405" w:id="14"/>
      <w:r w:rsidRPr="00537993">
        <w:t>Återbesök efter 1 vecka</w:t>
      </w:r>
      <w:bookmarkEnd w:id="14"/>
    </w:p>
    <w:p w:rsidRPr="00884614" w:rsidR="00884614" w:rsidP="00537993" w:rsidRDefault="3B17EF0D" w14:paraId="6E97E7E4" w14:textId="086721B9">
      <w:r>
        <w:t>Patienter med frakturer i proximala tredjedelen behåller hockeyortosen från akuten men den skall justeras före röntgen. Patienter med frakturer i mellersta</w:t>
      </w:r>
      <w:r w:rsidR="4BFD1599">
        <w:t xml:space="preserve"> tredjedelen </w:t>
      </w:r>
      <w:r>
        <w:t xml:space="preserve">skall få </w:t>
      </w:r>
      <w:r w:rsidR="00745679">
        <w:t>funktionell</w:t>
      </w:r>
      <w:r>
        <w:t xml:space="preserve"> ortos (Sarmiento ortos/hylsortos) på ortopedmottagningen före röntgen (</w:t>
      </w:r>
      <w:r w:rsidR="67F7C8B4">
        <w:t>bild 3b</w:t>
      </w:r>
      <w:r>
        <w:t xml:space="preserve">). För frakturer i </w:t>
      </w:r>
      <w:r w:rsidR="5656F534">
        <w:t>distal</w:t>
      </w:r>
      <w:r>
        <w:t xml:space="preserve">a tredjedelen </w:t>
      </w:r>
      <w:r w:rsidR="6DE4BDE5">
        <w:t xml:space="preserve">användas </w:t>
      </w:r>
      <w:r w:rsidR="7E24FDEC">
        <w:t xml:space="preserve">en special </w:t>
      </w:r>
      <w:r w:rsidR="6DE4BDE5">
        <w:t xml:space="preserve">hockeyortos som </w:t>
      </w:r>
      <w:r w:rsidR="2C82596E">
        <w:t>har plattor som når ända ner till medial och laterala epicondylen på humerus</w:t>
      </w:r>
      <w:r w:rsidR="4A5702DF">
        <w:t xml:space="preserve"> (bild 3c)</w:t>
      </w:r>
      <w:r w:rsidR="1C8518DF">
        <w:t xml:space="preserve">. </w:t>
      </w:r>
      <w:r w:rsidR="3375512E">
        <w:t>Längden på plattorna behöver justeras så att dom ger optimalt stöd utan att inskränka på rörligheten i armbågen. Observera att detta är en annan modell än den vanliga hockeyortosen som finns både i en kort och lång version.</w:t>
      </w:r>
    </w:p>
    <w:p w:rsidRPr="00464E87" w:rsidR="00464E87" w:rsidP="4DD8B7D7" w:rsidRDefault="689C6761" w14:paraId="07216CA6" w14:textId="4C825E82">
      <w:r>
        <w:t xml:space="preserve">Bild </w:t>
      </w:r>
      <w:r w:rsidR="00010A78">
        <w:t>3</w:t>
      </w:r>
      <w:r>
        <w:t>. Överarmsorter</w:t>
      </w:r>
    </w:p>
    <w:p w:rsidR="459D6A63" w:rsidP="007F3A7F" w:rsidRDefault="00A3727B" w14:paraId="790E6241" w14:textId="00BFC105">
      <w:r w:rsidRPr="4541D685" w:rsidR="00A3727B">
        <w:rPr>
          <w:lang w:val="en-US"/>
        </w:rPr>
        <w:t>a)</w:t>
      </w:r>
      <w:r w:rsidRPr="4541D685" w:rsidR="459D6A63">
        <w:rPr>
          <w:lang w:val="en-US"/>
        </w:rPr>
        <w:t xml:space="preserve">                               </w:t>
      </w:r>
      <w:r w:rsidRPr="4541D685" w:rsidR="007F3A7F">
        <w:rPr>
          <w:lang w:val="en-US"/>
        </w:rPr>
        <w:t xml:space="preserve">   </w:t>
      </w:r>
      <w:r w:rsidRPr="4541D685" w:rsidR="459D6A63">
        <w:rPr>
          <w:lang w:val="en-US"/>
        </w:rPr>
        <w:t xml:space="preserve">  </w:t>
      </w:r>
      <w:r w:rsidRPr="4541D685" w:rsidR="234411FB">
        <w:rPr>
          <w:lang w:val="en-US"/>
        </w:rPr>
        <w:t xml:space="preserve">b)  </w:t>
      </w:r>
      <w:r w:rsidRPr="4541D685" w:rsidR="459D6A63">
        <w:rPr>
          <w:lang w:val="en-US"/>
        </w:rPr>
        <w:t xml:space="preserve"> </w:t>
      </w:r>
      <w:r w:rsidRPr="4541D685" w:rsidR="459D6A63">
        <w:rPr>
          <w:lang w:val="en-US"/>
        </w:rPr>
        <w:t xml:space="preserve">                              </w:t>
      </w:r>
      <w:r w:rsidRPr="4541D685" w:rsidR="007F3A7F">
        <w:rPr>
          <w:lang w:val="en-US"/>
        </w:rPr>
        <w:t xml:space="preserve"> </w:t>
      </w:r>
      <w:r w:rsidRPr="4541D685" w:rsidR="459D6A63">
        <w:rPr>
          <w:lang w:val="en-US"/>
        </w:rPr>
        <w:t xml:space="preserve">  c)</w:t>
      </w:r>
    </w:p>
    <w:p w:rsidRPr="00884614" w:rsidR="00884614" w:rsidP="008414E5" w:rsidRDefault="00464E87" w14:paraId="1174800D" w14:textId="3E20FE09">
      <w:r>
        <w:rPr>
          <w:noProof/>
        </w:rPr>
        <w:drawing>
          <wp:inline distT="0" distB="0" distL="0" distR="0" wp14:anchorId="7554883A" wp14:editId="4FB30A34">
            <wp:extent cx="4838442" cy="1918253"/>
            <wp:effectExtent l="0" t="0" r="635" b="6350"/>
            <wp:docPr id="792399210" name="Bildobjekt 1" descr="Översikt över tillgängliga överarmsortoser: a) Hockeyortos för proximala tredjedelen. b) Funktionell ortos för mellersta tredjedelen. c) Special hockeyartros som ger stöd över mediala och laterala epicondylen, används för frakturer i distala tredjede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19">
                      <a:extLst>
                        <a:ext uri="{28A0092B-C50C-407E-A947-70E740481C1C}">
                          <a14:useLocalDpi xmlns:a14="http://schemas.microsoft.com/office/drawing/2010/main" val="0"/>
                        </a:ext>
                      </a:extLst>
                    </a:blip>
                    <a:stretch>
                      <a:fillRect/>
                    </a:stretch>
                  </pic:blipFill>
                  <pic:spPr>
                    <a:xfrm>
                      <a:off x="0" y="0"/>
                      <a:ext cx="4838442" cy="1918253"/>
                    </a:xfrm>
                    <a:prstGeom prst="rect">
                      <a:avLst/>
                    </a:prstGeom>
                  </pic:spPr>
                </pic:pic>
              </a:graphicData>
            </a:graphic>
          </wp:inline>
        </w:drawing>
      </w:r>
    </w:p>
    <w:p w:rsidRPr="00884614" w:rsidR="00884614" w:rsidP="00885D73" w:rsidRDefault="3B17EF0D" w14:paraId="7270D81B" w14:textId="2BFF7334">
      <w:r>
        <w:t>Översikt över tillgängliga överarmsortoser: a) Hockeyortos för proximala tredjedelen</w:t>
      </w:r>
      <w:r w:rsidR="29CE2716">
        <w:t xml:space="preserve">. </w:t>
      </w:r>
      <w:r>
        <w:t xml:space="preserve">b) </w:t>
      </w:r>
      <w:r w:rsidR="582D15DB">
        <w:t>Funktionel</w:t>
      </w:r>
      <w:r w:rsidR="00711ED6">
        <w:t>l</w:t>
      </w:r>
      <w:r w:rsidR="582D15DB">
        <w:t xml:space="preserve"> o</w:t>
      </w:r>
      <w:r>
        <w:t xml:space="preserve">rtos för mellersta tredjedelen. c) </w:t>
      </w:r>
      <w:r w:rsidR="56C4EBD9">
        <w:t>Special hockeyartros som ger stöd över mediala och laterala epicondylen, används för frakturer i distala tredjedelen.</w:t>
      </w:r>
    </w:p>
    <w:p w:rsidRPr="00884614" w:rsidR="00884614" w:rsidP="003C6212" w:rsidRDefault="00884614" w14:paraId="6E1F7F37" w14:textId="77593D5A">
      <w:pPr>
        <w:spacing w:after="0" w:line="240" w:lineRule="auto"/>
        <w:ind w:left="567" w:right="-143"/>
        <w:rPr>
          <w:sz w:val="20"/>
          <w:szCs w:val="20"/>
        </w:rPr>
      </w:pPr>
    </w:p>
    <w:p w:rsidRPr="00884614" w:rsidR="00884614" w:rsidP="00DC2ECA" w:rsidRDefault="409F6F52" w14:paraId="4960411D" w14:textId="3214A4E8">
      <w:r>
        <w:t xml:space="preserve">Vid första återbesöket </w:t>
      </w:r>
      <w:r w:rsidR="35218802">
        <w:t>bedöms</w:t>
      </w:r>
      <w:r>
        <w:t xml:space="preserve"> om behandling skall fortsätta ickekirurgiskt eller om det finns indikation för kirurgi. Möjliga orsaker till byte till kirurgisk behandling är:</w:t>
      </w:r>
    </w:p>
    <w:p w:rsidRPr="00884614" w:rsidR="00884614" w:rsidP="4DD8B7D7" w:rsidRDefault="00884614" w14:paraId="299B6472" w14:textId="04F857F5">
      <w:pPr>
        <w:pStyle w:val="Punktlista"/>
        <w:rPr>
          <w:rFonts w:eastAsia="Calibri"/>
          <w:lang w:eastAsia="en-US"/>
        </w:rPr>
      </w:pPr>
      <w:r w:rsidRPr="00884614">
        <w:rPr>
          <w:rFonts w:eastAsia="Calibri"/>
          <w:lang w:eastAsia="en-US"/>
        </w:rPr>
        <w:t>Felställningen på röntgen bedöms för stor.</w:t>
      </w:r>
      <w:r w:rsidRPr="4DD8B7D7" w:rsidR="3DF3BF3D">
        <w:rPr>
          <w:rFonts w:eastAsia="Calibri"/>
          <w:lang w:eastAsia="en-US"/>
        </w:rPr>
        <w:t xml:space="preserve"> </w:t>
      </w:r>
      <w:r w:rsidRPr="00884614">
        <w:t>(</w:t>
      </w:r>
      <w:r w:rsidRPr="007F3A7F">
        <w:rPr>
          <w:i/>
          <w:iCs/>
        </w:rPr>
        <w:t xml:space="preserve">se: 4. Teoretisk bakgrund – Komplikationer, </w:t>
      </w:r>
      <w:r w:rsidRPr="007F3A7F" w:rsidR="007F3A7F">
        <w:rPr>
          <w:i/>
          <w:iCs/>
        </w:rPr>
        <w:t>Felläkning (</w:t>
      </w:r>
      <w:r w:rsidRPr="007F3A7F">
        <w:rPr>
          <w:i/>
          <w:iCs/>
        </w:rPr>
        <w:t>malunion</w:t>
      </w:r>
      <w:r w:rsidRPr="00884614">
        <w:t xml:space="preserve">)). </w:t>
      </w:r>
    </w:p>
    <w:p w:rsidRPr="00054292" w:rsidR="00884614" w:rsidP="00054292" w:rsidRDefault="00884614" w14:paraId="49692CA0" w14:textId="77777777">
      <w:pPr>
        <w:pStyle w:val="Punktlista"/>
        <w:rPr>
          <w:rFonts w:eastAsia="Calibri"/>
        </w:rPr>
      </w:pPr>
      <w:r w:rsidRPr="00054292">
        <w:rPr>
          <w:rFonts w:eastAsia="Calibri"/>
        </w:rPr>
        <w:t>Radialispåverkan som uppkommer under ortosbehandling.</w:t>
      </w:r>
    </w:p>
    <w:p w:rsidRPr="002B0B32" w:rsidR="00884614" w:rsidP="002B0B32" w:rsidRDefault="689C6761" w14:paraId="62E1CD57" w14:textId="34205905">
      <w:pPr>
        <w:pStyle w:val="Punktlista"/>
        <w:rPr>
          <w:rFonts w:eastAsia="Calibri"/>
        </w:rPr>
      </w:pPr>
      <w:r w:rsidRPr="002B0B32">
        <w:rPr>
          <w:rFonts w:eastAsia="Calibri"/>
        </w:rPr>
        <w:t>Drag från muskler som skapar ogynnsamma förhållanden, till ex</w:t>
      </w:r>
      <w:r w:rsidRPr="002B0B32">
        <w:t>empel</w:t>
      </w:r>
      <w:r w:rsidRPr="002B0B32">
        <w:rPr>
          <w:rFonts w:eastAsia="Calibri"/>
        </w:rPr>
        <w:t xml:space="preserve"> vid spiralfraktur i proximala tredjedelen där muskulus deltoideum och muskulus pektoralis drar fragmenten åt motsatta håll eller när muskulus </w:t>
      </w:r>
      <w:r w:rsidRPr="002B0B32">
        <w:rPr>
          <w:rFonts w:eastAsia="Calibri"/>
        </w:rPr>
        <w:t xml:space="preserve">deltoideum drar ett proximalt fragment med en vass distal spets i abduktion med risk för penetration av huden. </w:t>
      </w:r>
    </w:p>
    <w:p w:rsidRPr="00E33E9A" w:rsidR="00884614" w:rsidP="000610AD" w:rsidRDefault="409F6F52" w14:paraId="1852B6A3" w14:textId="6DED515A">
      <w:pPr>
        <w:pStyle w:val="Punktlista"/>
        <w:rPr>
          <w:rFonts w:eastAsia="Calibri"/>
          <w:lang w:eastAsia="en-US"/>
        </w:rPr>
      </w:pPr>
      <w:r w:rsidRPr="597F5BF6">
        <w:rPr>
          <w:rFonts w:eastAsia="Calibri"/>
          <w:lang w:eastAsia="en-US"/>
        </w:rPr>
        <w:t xml:space="preserve">Gravt överviktiga patienter </w:t>
      </w:r>
      <w:r w:rsidRPr="597F5BF6" w:rsidR="7F5E421D">
        <w:rPr>
          <w:rFonts w:eastAsia="Calibri"/>
          <w:lang w:eastAsia="en-US"/>
        </w:rPr>
        <w:t>där</w:t>
      </w:r>
      <w:r w:rsidRPr="597F5BF6" w:rsidR="27DD81BD">
        <w:rPr>
          <w:rFonts w:eastAsia="Calibri"/>
          <w:lang w:eastAsia="en-US"/>
        </w:rPr>
        <w:t xml:space="preserve"> </w:t>
      </w:r>
      <w:r w:rsidRPr="597F5BF6">
        <w:rPr>
          <w:rFonts w:eastAsia="Calibri"/>
          <w:lang w:eastAsia="en-US"/>
        </w:rPr>
        <w:t>behandling med ortos kan vara besvärlig.</w:t>
      </w:r>
    </w:p>
    <w:p w:rsidRPr="00E33E9A" w:rsidR="00884614" w:rsidP="00F964B8" w:rsidRDefault="00884614" w14:paraId="6FBE066F" w14:textId="7A9D0C23">
      <w:r w:rsidRPr="00884614">
        <w:t>Patient ska undervisas i att justera velcrobanden på ortosen några gånger per dag allt eftersom svullnaden minskar. Patienten ska ha collar´n cuff slynga men ta av den några gånger per dag för att göra armbågsövningar. Patienter med frakturer på mellersta- och distala tredjedelen kan börja göra pendelövningar med axeln. Aktiv elevation och abduktion skall undvikas. Patienten skall inte luta sig på armbågen, eftersom det kan leda till felställning. Pat ska rekommenderas att sova halvsittande så att frakturen ”hänger ut sig” och smärtan minskar.</w:t>
      </w:r>
    </w:p>
    <w:p w:rsidRPr="00E33E9A" w:rsidR="00884614" w:rsidP="00F964B8" w:rsidRDefault="00884614" w14:paraId="5855C209" w14:textId="006F9DE2">
      <w:r w:rsidRPr="00884614">
        <w:t>Om fortsatt ickekirurgisk behandling, görs nästa återbesök 3 veckor efter skadan.</w:t>
      </w:r>
    </w:p>
    <w:p w:rsidRPr="00F964B8" w:rsidR="00884614" w:rsidP="00F964B8" w:rsidRDefault="00884614" w14:paraId="6D01B13A" w14:textId="77777777">
      <w:pPr>
        <w:pStyle w:val="Rubrik3"/>
      </w:pPr>
      <w:bookmarkStart w:name="_Toc204086406" w:id="15"/>
      <w:r w:rsidRPr="00F964B8">
        <w:t>Återbesök efter 3 veckor</w:t>
      </w:r>
      <w:bookmarkEnd w:id="15"/>
    </w:p>
    <w:p w:rsidRPr="00884614" w:rsidR="00884614" w:rsidP="00F964B8" w:rsidRDefault="00884614" w14:paraId="0DF7E3EC" w14:textId="3E906C45">
      <w:r w:rsidRPr="00884614">
        <w:t xml:space="preserve">Vid detta besök kontrolleras läge på röntgen och ortosen justeras. Patienten stöttas och uppmuntras vid behov. </w:t>
      </w:r>
    </w:p>
    <w:p w:rsidRPr="00884614" w:rsidR="00884614" w:rsidP="00F964B8" w:rsidRDefault="00884614" w14:paraId="77B0759C" w14:textId="7D7D1D25">
      <w:r w:rsidRPr="00884614">
        <w:t xml:space="preserve">Collar´n cuff bandage skall avvecklas när patienten har kommit i gång med flexion och extension av armbågen. Träning av axel (abduktion och flexion) skall ökas kommande veckorna i takt med att frakturen konsolideras. </w:t>
      </w:r>
    </w:p>
    <w:p w:rsidRPr="001E756A" w:rsidR="00884614" w:rsidP="00F964B8" w:rsidRDefault="00884614" w14:paraId="669B0EDD" w14:textId="4C8741C3">
      <w:r w:rsidRPr="00884614">
        <w:t>För patienter med radialispares som inte har börjat visa tecken till återhämtning skickas remiss för EMG. Denna skall utföras innan det har gått 2 månader från skadan. Undersökningen kan avbokas om återhämtning har börjat innan undersökningen har hunnit utföras.</w:t>
      </w:r>
    </w:p>
    <w:p w:rsidRPr="00F964B8" w:rsidR="00884614" w:rsidP="00F964B8" w:rsidRDefault="00884614" w14:paraId="659626C6" w14:textId="77777777">
      <w:pPr>
        <w:pStyle w:val="Rubrik3"/>
      </w:pPr>
      <w:bookmarkStart w:name="_Toc204086407" w:id="16"/>
      <w:r w:rsidRPr="00F964B8">
        <w:t>Återbesök efter 6 veckor</w:t>
      </w:r>
      <w:bookmarkEnd w:id="16"/>
    </w:p>
    <w:p w:rsidRPr="001E756A" w:rsidR="00884614" w:rsidP="00B369C8" w:rsidRDefault="409F6F52" w14:paraId="43715A07" w14:textId="2BAA6B2B">
      <w:r>
        <w:t xml:space="preserve">Läkning bedöms kliniskt och radiologiskt. Klinisk bedömning innebär värdering av smärta, undersökning av palpationsömhet (direkt och indirekt) och en bedömning av rörlighet i frakturen. Frakturer som visar tveksamma kliniska (helt mobila) eller radiologiska tecken till läkning vid 6 veckor löper stor risk för att gå till utebliven läkning (se </w:t>
      </w:r>
      <w:r w:rsidRPr="597F5BF6">
        <w:rPr>
          <w:i/>
          <w:iCs/>
        </w:rPr>
        <w:t>4. Teoretisk bakgrund - Komplikationer</w:t>
      </w:r>
      <w:r>
        <w:t xml:space="preserve">). I denna situation skall ställning tas till kirurgi. Beslut fattas med hänsyn till helhetsbild av både kirurgiska och patientrelaterade faktorer. Faktorer som talar för kirurgisk åtgärd är: yngre </w:t>
      </w:r>
      <w:r w:rsidR="00796FD2">
        <w:t>ålder, få</w:t>
      </w:r>
      <w:r>
        <w:t xml:space="preserve"> övriga sjukdomar, fraktur i proximala skaftet och frakturer av typ A.</w:t>
      </w:r>
    </w:p>
    <w:p w:rsidRPr="00796FD2" w:rsidR="00884614" w:rsidP="00796FD2" w:rsidRDefault="00884614" w14:paraId="6E9794EF" w14:textId="77777777">
      <w:pPr>
        <w:pStyle w:val="Rubrik3"/>
      </w:pPr>
      <w:bookmarkStart w:name="_Toc204086408" w:id="17"/>
      <w:r w:rsidRPr="00796FD2">
        <w:t>Ytterligare uppföljning</w:t>
      </w:r>
      <w:bookmarkEnd w:id="17"/>
      <w:r w:rsidRPr="00796FD2">
        <w:t xml:space="preserve"> </w:t>
      </w:r>
    </w:p>
    <w:p w:rsidRPr="001E756A" w:rsidR="00884614" w:rsidP="00796FD2" w:rsidRDefault="689C6761" w14:paraId="60D284D9" w14:textId="7FE77CEC">
      <w:r>
        <w:t xml:space="preserve">Vid beslut om fortsatt ickekirurgisk behandling får man följa patientens kliniska och radiologiska förlopp regelbundet och optimera ortosbehandling. Som regel </w:t>
      </w:r>
      <w:r w:rsidR="0E3C9359">
        <w:t xml:space="preserve">skall </w:t>
      </w:r>
      <w:r>
        <w:t>man inte behandla med ortos under längre tidsperiod än 12 veckor.</w:t>
      </w:r>
    </w:p>
    <w:p w:rsidRPr="00796FD2" w:rsidR="00884614" w:rsidP="00796FD2" w:rsidRDefault="00884614" w14:paraId="073F5C31" w14:textId="77777777">
      <w:pPr>
        <w:pStyle w:val="Rubrik3"/>
      </w:pPr>
      <w:bookmarkStart w:name="_Toc204086409" w:id="18"/>
      <w:r w:rsidRPr="00796FD2">
        <w:t>Radialispares som kvarstår över 2 månader</w:t>
      </w:r>
      <w:bookmarkEnd w:id="18"/>
    </w:p>
    <w:p w:rsidRPr="007C35F1" w:rsidR="00884614" w:rsidP="007C754B" w:rsidRDefault="3B17EF0D" w14:paraId="05D7FA0A" w14:textId="41D0D73A">
      <w:r w:rsidRPr="00B902FB">
        <w:t>Patienter som visar ingen eller minimal återhämtning skall remitteras till handkirurgen innan det har gått 3 månader från skadan för ställningstagande till behandling: nervrekonstruktion (yngre patienter) eller sentransferering. Är frakturen oläkt bör den åtgärdas kirurgiskt samtidigt</w:t>
      </w:r>
      <w:r>
        <w:t>.</w:t>
      </w:r>
    </w:p>
    <w:p w:rsidRPr="00B902FB" w:rsidR="00884614" w:rsidP="00B902FB" w:rsidRDefault="00884614" w14:paraId="1A94D8FC" w14:textId="2E2A2FDF">
      <w:pPr>
        <w:pStyle w:val="Rubrik2"/>
      </w:pPr>
      <w:bookmarkStart w:name="_Toc204086410" w:id="19"/>
      <w:r w:rsidRPr="00B902FB">
        <w:t>Kirurgisk behandling</w:t>
      </w:r>
      <w:bookmarkEnd w:id="19"/>
    </w:p>
    <w:p w:rsidRPr="00B902FB" w:rsidR="00884614" w:rsidP="00B902FB" w:rsidRDefault="00884614" w14:paraId="5B54FF5B" w14:textId="77777777">
      <w:pPr>
        <w:pStyle w:val="Rubrik3"/>
      </w:pPr>
      <w:bookmarkStart w:name="_Toc204086411" w:id="20"/>
      <w:r w:rsidRPr="00B902FB">
        <w:t>Val av implantat</w:t>
      </w:r>
      <w:bookmarkEnd w:id="20"/>
    </w:p>
    <w:p w:rsidRPr="00884614" w:rsidR="00884614" w:rsidP="007C754B" w:rsidRDefault="3B17EF0D" w14:paraId="1B6BD2C0" w14:textId="4B4A0F27">
      <w:r>
        <w:t xml:space="preserve">Vanligaste implantaten för kirurgisk behandling av skaftfrakturer på överarmen är platta eller märgspik. Metaanalyser har funnit att risken för axelbesvär (impingement) är större hos patienter opererade med spik jämfört med platta </w:t>
      </w:r>
      <w:r w:rsidR="689C6761">
        <w:fldChar w:fldCharType="begin"/>
      </w:r>
      <w:r w:rsidR="689C6761">
        <w:instrText xml:space="preserve"> ADDIN EN.CITE </w:instrText>
      </w:r>
      <w:r w:rsidR="689C6761">
        <w:fldChar w:fldCharType="begin"/>
      </w:r>
      <w:r w:rsidR="689C6761">
        <w:instrText xml:space="preserve"> ADDIN EN.CITE.DATA </w:instrText>
      </w:r>
      <w:r w:rsidR="689C6761">
        <w:fldChar w:fldCharType="separate"/>
      </w:r>
      <w:r w:rsidR="689C6761">
        <w:fldChar w:fldCharType="end"/>
      </w:r>
      <w:r w:rsidR="689C6761">
        <w:fldChar w:fldCharType="separate"/>
      </w:r>
      <w:r w:rsidRPr="597F5BF6">
        <w:rPr>
          <w:noProof/>
        </w:rPr>
        <w:t>[4-6]</w:t>
      </w:r>
      <w:r w:rsidR="689C6761">
        <w:fldChar w:fldCharType="end"/>
      </w:r>
      <w:r>
        <w:t xml:space="preserve">. Vissa studier och metaanalyser har funnit att risken för pares på nervus radialis är mindre </w:t>
      </w:r>
      <w:r w:rsidR="689C6761">
        <w:fldChar w:fldCharType="begin"/>
      </w:r>
      <w:r w:rsidR="689C6761">
        <w:instrText xml:space="preserve"> ADDIN EN.CITE </w:instrText>
      </w:r>
      <w:r w:rsidR="689C6761">
        <w:fldChar w:fldCharType="begin"/>
      </w:r>
      <w:r w:rsidR="689C6761">
        <w:instrText xml:space="preserve"> ADDIN EN.CITE.DATA </w:instrText>
      </w:r>
      <w:r w:rsidR="689C6761">
        <w:fldChar w:fldCharType="separate"/>
      </w:r>
      <w:r w:rsidR="689C6761">
        <w:fldChar w:fldCharType="end"/>
      </w:r>
      <w:r w:rsidR="689C6761">
        <w:fldChar w:fldCharType="separate"/>
      </w:r>
      <w:r w:rsidRPr="597F5BF6">
        <w:rPr>
          <w:noProof/>
        </w:rPr>
        <w:t>[5, 7, 8]</w:t>
      </w:r>
      <w:r w:rsidR="689C6761">
        <w:fldChar w:fldCharType="end"/>
      </w:r>
      <w:r>
        <w:t xml:space="preserve"> när spik används, men andra metaanalyser har inte funnit en skillnad </w:t>
      </w:r>
      <w:r w:rsidR="689C6761">
        <w:fldChar w:fldCharType="begin"/>
      </w:r>
      <w:r w:rsidR="689C6761">
        <w:instrText xml:space="preserve"> ADDIN EN.CITE </w:instrText>
      </w:r>
      <w:r w:rsidR="689C6761">
        <w:fldChar w:fldCharType="begin"/>
      </w:r>
      <w:r w:rsidR="689C6761">
        <w:instrText xml:space="preserve"> ADDIN EN.CITE.DATA </w:instrText>
      </w:r>
      <w:r w:rsidR="689C6761">
        <w:fldChar w:fldCharType="separate"/>
      </w:r>
      <w:r w:rsidR="689C6761">
        <w:fldChar w:fldCharType="end"/>
      </w:r>
      <w:r w:rsidR="689C6761">
        <w:fldChar w:fldCharType="separate"/>
      </w:r>
      <w:r w:rsidRPr="597F5BF6">
        <w:rPr>
          <w:noProof/>
        </w:rPr>
        <w:t>[4, 6, 9]</w:t>
      </w:r>
      <w:r w:rsidR="689C6761">
        <w:fldChar w:fldCharType="end"/>
      </w:r>
      <w:r>
        <w:t xml:space="preserve">. Tolkningen av resultaten gällande påverkan på radialisnerven försvåras dock av att risken för påverkan på nervus radialis är större vid frakturer i distala tredjedelen där platta är vanligaste implantatet. Metaanalyserna har inte visat skillnad mellan spik och platta avseende risken för utebliven läkning. </w:t>
      </w:r>
    </w:p>
    <w:p w:rsidRPr="001E756A" w:rsidR="00884614" w:rsidP="007C754B" w:rsidRDefault="00884614" w14:paraId="758E4309" w14:textId="49B3F980">
      <w:r w:rsidRPr="00884614">
        <w:t>För patologiska frakturer rekommenderas ofta spikning för att armera hela skaftet.</w:t>
      </w:r>
    </w:p>
    <w:p w:rsidRPr="00884614" w:rsidR="00884614" w:rsidP="007C754B" w:rsidRDefault="00884614" w14:paraId="6DAE9F29" w14:textId="77777777">
      <w:pPr>
        <w:pStyle w:val="Rubrik3"/>
      </w:pPr>
      <w:bookmarkStart w:name="_Toc204086412" w:id="21"/>
      <w:r w:rsidRPr="00884614">
        <w:t>Snittföring</w:t>
      </w:r>
      <w:bookmarkEnd w:id="21"/>
      <w:r w:rsidRPr="00884614">
        <w:t xml:space="preserve"> </w:t>
      </w:r>
    </w:p>
    <w:p w:rsidRPr="00884614" w:rsidR="00884614" w:rsidP="007C754B" w:rsidRDefault="00884614" w14:paraId="5F1CE180" w14:textId="77777777">
      <w:r w:rsidRPr="00884614">
        <w:t>Val av snittföring och implantat avgörs individuellt i varje fall. Vanliga snittföringar och implantat för plattosteosynthes är följande:</w:t>
      </w:r>
    </w:p>
    <w:p w:rsidRPr="007C754B" w:rsidR="00884614" w:rsidP="007C754B" w:rsidRDefault="00884614" w14:paraId="7203E435" w14:textId="77777777">
      <w:pPr>
        <w:pStyle w:val="Punktlista"/>
        <w:rPr>
          <w:rFonts w:eastAsia="Calibri"/>
        </w:rPr>
      </w:pPr>
      <w:r w:rsidRPr="007C754B">
        <w:rPr>
          <w:rFonts w:eastAsia="Calibri"/>
        </w:rPr>
        <w:t>Proximala tredjedelen: Deltopectoralt snitt, fixation med lång Philos platta</w:t>
      </w:r>
    </w:p>
    <w:p w:rsidRPr="007C754B" w:rsidR="00884614" w:rsidP="007C754B" w:rsidRDefault="00884614" w14:paraId="1A56B6FF" w14:textId="77777777">
      <w:pPr>
        <w:pStyle w:val="Punktlista"/>
        <w:rPr>
          <w:rFonts w:eastAsia="Calibri"/>
        </w:rPr>
      </w:pPr>
      <w:r w:rsidRPr="007C754B">
        <w:rPr>
          <w:rFonts w:eastAsia="Calibri"/>
        </w:rPr>
        <w:t>Mellersta tredjedelen: Anterolateralt snitt, fixation med LCP Narrow (4,5mm) platta</w:t>
      </w:r>
    </w:p>
    <w:p w:rsidRPr="007C754B" w:rsidR="00884614" w:rsidP="007C754B" w:rsidRDefault="00884614" w14:paraId="0BF7E195" w14:textId="68A708D1">
      <w:pPr>
        <w:pStyle w:val="Punktlista"/>
        <w:rPr>
          <w:rFonts w:eastAsia="Calibri"/>
        </w:rPr>
      </w:pPr>
      <w:r w:rsidRPr="007C754B">
        <w:rPr>
          <w:rFonts w:eastAsia="Calibri"/>
        </w:rPr>
        <w:t xml:space="preserve">Distala tredjedelen: Triceps”sparing” (elevating/reflecting) posteriort snitt </w:t>
      </w:r>
      <w:r w:rsidRPr="007C754B">
        <w:rPr>
          <w:rFonts w:eastAsia="Calibri"/>
        </w:rPr>
        <w:fldChar w:fldCharType="begin"/>
      </w:r>
      <w:r w:rsidRPr="007C754B">
        <w:rPr>
          <w:rFonts w:eastAsia="Calibri"/>
        </w:rPr>
        <w:instrText xml:space="preserve"> ADDIN EN.CITE &lt;EndNote&gt;&lt;Cite&gt;&lt;Author&gt;Gerwin&lt;/Author&gt;&lt;Year&gt;1996&lt;/Year&gt;&lt;RecNum&gt;1847&lt;/RecNum&gt;&lt;DisplayText&gt;[10]&lt;/DisplayText&gt;&lt;record&gt;&lt;rec-number&gt;1847&lt;/rec-number&gt;&lt;foreign-keys&gt;&lt;key app="EN" db-id="ttfpfrpdq0a92aetdfkpst5ytvstdea9zzfp" timestamp="1518008184"&gt;1847&lt;/key&gt;&lt;/foreign-keys&gt;&lt;ref-type name="Journal Article"&gt;17&lt;/ref-type&gt;&lt;contributors&gt;&lt;authors&gt;&lt;author&gt;Gerwin, M.&lt;/author&gt;&lt;author&gt;Hotchkiss, R. N.&lt;/author&gt;&lt;author&gt;Weiland, A. J.&lt;/author&gt;&lt;/authors&gt;&lt;/contributors&gt;&lt;auth-address&gt;The Hospital for Special Surgery, New York City, N.Y. 10021, USA.&lt;/auth-address&gt;&lt;titles&gt;&lt;title&gt;Alternative operative exposures of the posterior aspect of the humeral diaphysis with reference to the radial nerve&lt;/title&gt;&lt;secondary-title&gt;J Bone Joint Surg Am&lt;/secondary-title&gt;&lt;alt-title&gt;The Journal of bone and joint surgery. American volume&lt;/alt-title&gt;&lt;/titles&gt;&lt;periodical&gt;&lt;full-title&gt;Journal of Bone and Joint Surgery (American Volume)&lt;/full-title&gt;&lt;abbr-1&gt;J. Bone Joint Surg. Am.&lt;/abbr-1&gt;&lt;abbr-2&gt;J Bone Joint Surg Am&lt;/abbr-2&gt;&lt;abbr-3&gt;Journal of Bone &amp;amp; Joint Surgery (American Volume)&lt;/abbr-3&gt;&lt;/periodical&gt;&lt;pages&gt;1690-5&lt;/pages&gt;&lt;volume&gt;78&lt;/volume&gt;&lt;number&gt;11&lt;/number&gt;&lt;edition&gt;1996/11/01&lt;/edition&gt;&lt;keywords&gt;&lt;keyword&gt;Female&lt;/keyword&gt;&lt;keyword&gt;Fracture Fixation&lt;/keyword&gt;&lt;keyword&gt;Humans&lt;/keyword&gt;&lt;keyword&gt;Humeral Fractures/surgery&lt;/keyword&gt;&lt;keyword&gt;Humerus/*anatomy &amp;amp; histology/surgery&lt;/keyword&gt;&lt;keyword&gt;Male&lt;/keyword&gt;&lt;keyword&gt;Radial Nerve/*anatomy &amp;amp; histology/surgery&lt;/keyword&gt;&lt;/keywords&gt;&lt;dates&gt;&lt;year&gt;1996&lt;/year&gt;&lt;pub-dates&gt;&lt;date&gt;Nov&lt;/date&gt;&lt;/pub-dates&gt;&lt;/dates&gt;&lt;isbn&gt;0021-9355 (Print)&amp;#xD;0021-9355&lt;/isbn&gt;&lt;accession-num&gt;8934483&lt;/accession-num&gt;&lt;urls&gt;&lt;/urls&gt;&lt;remote-database-provider&gt;NLM&lt;/remote-database-provider&gt;&lt;language&gt;eng&lt;/language&gt;&lt;/record&gt;&lt;/Cite&gt;&lt;/EndNote&gt;</w:instrText>
      </w:r>
      <w:r w:rsidRPr="007C754B">
        <w:rPr>
          <w:rFonts w:eastAsia="Calibri"/>
        </w:rPr>
        <w:fldChar w:fldCharType="separate"/>
      </w:r>
      <w:r w:rsidRPr="007C754B">
        <w:rPr>
          <w:rFonts w:eastAsia="Calibri"/>
        </w:rPr>
        <w:t>[10]</w:t>
      </w:r>
      <w:r w:rsidRPr="007C754B">
        <w:rPr>
          <w:rFonts w:eastAsia="Calibri"/>
        </w:rPr>
        <w:fldChar w:fldCharType="end"/>
      </w:r>
      <w:r w:rsidRPr="007C754B">
        <w:rPr>
          <w:rFonts w:eastAsia="Calibri"/>
        </w:rPr>
        <w:t xml:space="preserve">, fixation med extraartikulär distal humerus (3,5mm) platta </w:t>
      </w:r>
    </w:p>
    <w:p w:rsidRPr="007C754B" w:rsidR="00884614" w:rsidP="007C754B" w:rsidRDefault="00884614" w14:paraId="3F95DB88" w14:textId="77777777">
      <w:pPr>
        <w:pStyle w:val="Rubrik3"/>
      </w:pPr>
      <w:bookmarkStart w:name="_Toc204086413" w:id="22"/>
      <w:r w:rsidRPr="007C754B">
        <w:t>Nervus radialis vid kirurgisk behandling</w:t>
      </w:r>
      <w:bookmarkEnd w:id="22"/>
    </w:p>
    <w:p w:rsidRPr="00884614" w:rsidR="00884614" w:rsidP="007C754B" w:rsidRDefault="00884614" w14:paraId="5B61EC1D" w14:textId="39E28424">
      <w:r w:rsidRPr="00884614">
        <w:t>Vid öppen kirurgi av skaftfrakturer i överarmen skall radialis nerven identifieras och skyddas under ingreppet, oavsett om det finns kliniska tecken till påverkan eller inte. Utseendet skall alltid dokumenteras. Om platta läggs under nerven skall det registreras över vilket hål på plattan nerven löper.</w:t>
      </w:r>
    </w:p>
    <w:p w:rsidRPr="001E756A" w:rsidR="00884614" w:rsidP="007C754B" w:rsidRDefault="00884614" w14:paraId="5BD22AD9" w14:textId="2355918F">
      <w:r w:rsidRPr="00884614">
        <w:t>Om patienter med radialispares efter lågenergitrauma opereras i tidigt skede på annan indikation skall kontakt tas med handkirurgen. Handkirurg behöver inte alltid närvara men kan vara i beredskap för att kontaktas under ingreppet om det visar sig finnas makroskopisk skada på nerven.</w:t>
      </w:r>
    </w:p>
    <w:p w:rsidRPr="003D60E6" w:rsidR="00884614" w:rsidP="003D60E6" w:rsidRDefault="00884614" w14:paraId="4F7222F2" w14:textId="46B8538F">
      <w:pPr>
        <w:pStyle w:val="Rubrik2"/>
      </w:pPr>
      <w:bookmarkStart w:name="_Toc204086414" w:id="23"/>
      <w:r w:rsidRPr="003D60E6">
        <w:t>Teoretisk bakgrund – Komplikationer</w:t>
      </w:r>
      <w:bookmarkEnd w:id="23"/>
    </w:p>
    <w:p w:rsidRPr="003D60E6" w:rsidR="00884614" w:rsidP="003D60E6" w:rsidRDefault="00884614" w14:paraId="68B385FD" w14:textId="77777777">
      <w:pPr>
        <w:pStyle w:val="Rubrik3"/>
      </w:pPr>
      <w:bookmarkStart w:name="_Toc204086415" w:id="24"/>
      <w:r w:rsidRPr="003D60E6">
        <w:t>Felläkning (malunion)</w:t>
      </w:r>
      <w:bookmarkEnd w:id="24"/>
    </w:p>
    <w:p w:rsidRPr="009A5092" w:rsidR="00884614" w:rsidP="003D60E6" w:rsidRDefault="00884614" w14:paraId="0068A7A4" w14:textId="558561E0" w14:noSpellErr="1">
      <w:pPr>
        <w:rPr>
          <w:sz w:val="20"/>
          <w:szCs w:val="20"/>
        </w:rPr>
      </w:pPr>
      <w:r w:rsidR="00884614">
        <w:rPr/>
        <w:t xml:space="preserve">Hur grav felställning som är acceptabel är inte väl definierat. Ofta citeras kriterier från 1960-talet avseende vilken felställning är acceptabel </w:t>
      </w:r>
      <w:r>
        <w:fldChar w:fldCharType="begin"/>
      </w:r>
      <w:r>
        <w:instrText xml:space="preserve"> ADDIN EN.CITE &lt;EndNote&gt;&lt;Cite&gt;&lt;Author&gt;Klenerman&lt;/Author&gt;&lt;Year&gt;1966&lt;/Year&gt;&lt;RecNum&gt;1839&lt;/RecNum&gt;&lt;DisplayText&gt;[11]&lt;/DisplayText&gt;&lt;record&gt;&lt;rec-number&gt;1839&lt;/rec-number&gt;&lt;foreign-keys&gt;&lt;key app="EN" db-id="ttfpfrpdq0a92aetdfkpst5ytvstdea9zzfp" timestamp="1517825217"&gt;1839&lt;/key&gt;&lt;/foreign-keys&gt;&lt;ref-type name="Journal Article"&gt;17&lt;/ref-type&gt;&lt;contributors&gt;&lt;authors&gt;&lt;author&gt;Klenerman, L.&lt;/author&gt;&lt;/authors&gt;&lt;/contributors&gt;&lt;titles&gt;&lt;title&gt;Fractures of the shaft of the humerus&lt;/title&gt;&lt;secondary-title&gt;J Bone Joint Surg Br&lt;/secondary-title&gt;&lt;alt-title&gt;The Journal of bone and joint surgery. British volume&lt;/alt-title&gt;&lt;/titles&gt;&lt;periodical&gt;&lt;full-title&gt;Journal of Bone and Joint Surgery (British Volume)&lt;/full-title&gt;&lt;abbr-1&gt;J. Bone Joint Surg. Br.&lt;/abbr-1&gt;&lt;abbr-2&gt;J Bone Joint Surg Br&lt;/abbr-2&gt;&lt;abbr-3&gt;Journal of Bone &amp;amp; Joint Surgery (British Volume)&lt;/abbr-3&gt;&lt;/periodical&gt;&lt;pages&gt;105-11&lt;/pages&gt;&lt;volume&gt;48&lt;/volume&gt;&lt;number&gt;1&lt;/number&gt;&lt;edition&gt;1966/02/01&lt;/edition&gt;&lt;keywords&gt;&lt;keyword&gt;Adolescent&lt;/keyword&gt;&lt;keyword&gt;Adult&lt;/keyword&gt;&lt;keyword&gt;Aged&lt;/keyword&gt;&lt;keyword&gt;Child&lt;/keyword&gt;&lt;keyword&gt;Female&lt;/keyword&gt;&lt;keyword&gt;*Fracture Fixation&lt;/keyword&gt;&lt;keyword&gt;*Fractures, Ununited&lt;/keyword&gt;&lt;keyword&gt;Humans&lt;/keyword&gt;&lt;keyword&gt;*Humeral Fractures&lt;/keyword&gt;&lt;keyword&gt;Male&lt;/keyword&gt;&lt;keyword&gt;Middle Aged&lt;/keyword&gt;&lt;/keywords&gt;&lt;dates&gt;&lt;year&gt;1966&lt;/year&gt;&lt;pub-dates&gt;&lt;date&gt;Feb&lt;/date&gt;&lt;/pub-dates&gt;&lt;/dates&gt;&lt;isbn&gt;0301-620X (Print)&amp;#xD;0301-620x&lt;/isbn&gt;&lt;accession-num&gt;5909054&lt;/accession-num&gt;&lt;urls&gt;&lt;related-urls&gt;&lt;url&gt;http://bjj.boneandjoint.org.uk/content/jbjsbr/48-B/1/105.full.pdf&lt;/url&gt;&lt;/related-urls&gt;&lt;/urls&gt;&lt;remote-database-provider&gt;NLM&lt;/remote-database-provider&gt;&lt;language&gt;eng&lt;/language&gt;&lt;/record&gt;&lt;/Cite&gt;&lt;/EndNote&gt;</w:instrText>
      </w:r>
      <w:r>
        <w:fldChar w:fldCharType="separate"/>
      </w:r>
      <w:r w:rsidR="00884614">
        <w:rPr/>
        <w:t>[11]</w:t>
      </w:r>
      <w:r>
        <w:fldChar w:fldCharType="end"/>
      </w:r>
      <w:r w:rsidR="00884614">
        <w:rPr/>
        <w:t xml:space="preserve">: mindre än 20° </w:t>
      </w:r>
      <w:r w:rsidR="00884614">
        <w:rPr/>
        <w:t>ant</w:t>
      </w:r>
      <w:r w:rsidR="00884614">
        <w:rPr/>
        <w:t>-</w:t>
      </w:r>
      <w:bookmarkStart w:name="_Int_auU9zfo0" w:id="1131954643"/>
      <w:r w:rsidR="00884614">
        <w:rPr/>
        <w:t>post vinkling</w:t>
      </w:r>
      <w:bookmarkEnd w:id="1131954643"/>
      <w:r w:rsidR="00884614">
        <w:rPr/>
        <w:t xml:space="preserve">, mindre än 30° </w:t>
      </w:r>
      <w:r w:rsidR="00884614">
        <w:rPr/>
        <w:t>valgus-varus</w:t>
      </w:r>
      <w:r w:rsidR="00884614">
        <w:rPr/>
        <w:t xml:space="preserve"> vinkling och mindre än 3cm förkortning. Det är vanligt att ickekirurgiskt behandlade frakturer läker med viss felställning </w:t>
      </w:r>
      <w:r>
        <w:fldChar w:fldCharType="begin"/>
      </w:r>
      <w:r>
        <w:instrText xml:space="preserve"> ADDIN EN.CITE </w:instrText>
      </w:r>
      <w:r>
        <w:fldChar w:fldCharType="begin"/>
      </w:r>
      <w:r>
        <w:instrText xml:space="preserve">ADDIN EN.CITE.DATA</w:instrText>
      </w:r>
      <w:r>
        <w:fldChar w:fldCharType="separate"/>
      </w:r>
      <w:r>
        <w:fldChar w:fldCharType="end"/>
      </w:r>
      <w:r>
        <w:fldChar w:fldCharType="separate"/>
      </w:r>
      <w:r w:rsidR="00884614">
        <w:rPr/>
        <w:t>[2]</w:t>
      </w:r>
      <w:r>
        <w:fldChar w:fldCharType="end"/>
      </w:r>
      <w:r w:rsidR="00884614">
        <w:rPr/>
        <w:t>. En studie från 2015 som inkluderade 32 patienter hittade ingen korrelation mellan felställning och patientrapporterat utfall i en patientgrupp där felställningen i coronal-planet låg mellan 2° och 27° och i sagi</w:t>
      </w:r>
      <w:r w:rsidR="00E37270">
        <w:rPr/>
        <w:t>t</w:t>
      </w:r>
      <w:r w:rsidR="00884614">
        <w:rPr/>
        <w:t>t</w:t>
      </w:r>
      <w:r w:rsidR="00B66C60">
        <w:rPr/>
        <w:t>a</w:t>
      </w:r>
      <w:r w:rsidR="00884614">
        <w:rPr/>
        <w:t xml:space="preserve">l-planet mellan 0° och 18° </w:t>
      </w:r>
      <w:r>
        <w:fldChar w:fldCharType="begin"/>
      </w:r>
      <w:r>
        <w:instrText xml:space="preserve"> ADDIN EN.CITE </w:instrText>
      </w:r>
      <w:r>
        <w:fldChar w:fldCharType="begin"/>
      </w:r>
      <w:r>
        <w:instrText xml:space="preserve">ADDIN EN.CITE.DATA</w:instrText>
      </w:r>
      <w:r>
        <w:fldChar w:fldCharType="separate"/>
      </w:r>
      <w:r>
        <w:fldChar w:fldCharType="end"/>
      </w:r>
      <w:r>
        <w:fldChar w:fldCharType="separate"/>
      </w:r>
      <w:r w:rsidR="00884614">
        <w:rPr/>
        <w:t>[12]</w:t>
      </w:r>
      <w:r>
        <w:fldChar w:fldCharType="end"/>
      </w:r>
      <w:r w:rsidRPr="4541D685" w:rsidR="009A5092">
        <w:rPr>
          <w:sz w:val="20"/>
          <w:szCs w:val="20"/>
        </w:rPr>
        <w:t>.</w:t>
      </w:r>
    </w:p>
    <w:p w:rsidRPr="00F779EC" w:rsidR="00884614" w:rsidP="00F779EC" w:rsidRDefault="00884614" w14:paraId="49F3E0E5" w14:textId="77777777">
      <w:pPr>
        <w:pStyle w:val="Rubrik3"/>
        <w:rPr>
          <w:highlight w:val="yellow"/>
        </w:rPr>
      </w:pPr>
      <w:bookmarkStart w:name="_Toc204086416" w:id="25"/>
      <w:r w:rsidRPr="00F779EC">
        <w:t>Utebliven läkning (nonunion)</w:t>
      </w:r>
      <w:bookmarkEnd w:id="25"/>
      <w:r w:rsidRPr="00F779EC">
        <w:t xml:space="preserve"> </w:t>
      </w:r>
    </w:p>
    <w:p w:rsidRPr="00160FE1" w:rsidR="00884614" w:rsidP="00F779EC" w:rsidRDefault="00884614" w14:paraId="3987454B" w14:textId="31CB7D61">
      <w:r w:rsidRPr="00884614">
        <w:t xml:space="preserve">Risken för utebliven läkning vid ickekirurgisk behandling har ansetts vara låg och anges i en systematisk översikt vara 5,5 % </w:t>
      </w:r>
      <w:r w:rsidRPr="00884614">
        <w:fldChar w:fldCharType="begin"/>
      </w:r>
      <w:r w:rsidRPr="00884614">
        <w:instrText xml:space="preserve"> ADDIN EN.CITE </w:instrText>
      </w:r>
      <w:r>
        <w:fldChar w:fldCharType="begin"/>
      </w:r>
      <w:r>
        <w:instrText>ADDIN EN.CITE.DATA</w:instrText>
      </w:r>
      <w:r>
        <w:fldChar w:fldCharType="separate"/>
      </w:r>
      <w:r>
        <w:fldChar w:fldCharType="end"/>
      </w:r>
      <w:r w:rsidRPr="00884614">
        <w:fldChar w:fldCharType="separate"/>
      </w:r>
      <w:r w:rsidRPr="00884614">
        <w:rPr>
          <w:noProof/>
        </w:rPr>
        <w:t>[2]</w:t>
      </w:r>
      <w:r w:rsidRPr="00884614">
        <w:fldChar w:fldCharType="end"/>
      </w:r>
      <w:r w:rsidRPr="00884614">
        <w:t xml:space="preserve">. Några studier på senare år har visat större risk för utebliven läkning, upp till 23 % </w:t>
      </w:r>
      <w:r w:rsidRPr="00884614">
        <w:fldChar w:fldCharType="begin"/>
      </w:r>
      <w:r w:rsidRPr="00884614">
        <w:instrText xml:space="preserve"> ADDIN EN.CITE </w:instrText>
      </w:r>
      <w:r>
        <w:fldChar w:fldCharType="begin"/>
      </w:r>
      <w:r>
        <w:instrText>ADDIN EN.CITE.DATA</w:instrText>
      </w:r>
      <w:r>
        <w:fldChar w:fldCharType="separate"/>
      </w:r>
      <w:r>
        <w:fldChar w:fldCharType="end"/>
      </w:r>
      <w:r w:rsidRPr="00884614">
        <w:fldChar w:fldCharType="separate"/>
      </w:r>
      <w:r w:rsidRPr="00884614">
        <w:rPr>
          <w:noProof/>
        </w:rPr>
        <w:t>[13]</w:t>
      </w:r>
      <w:r w:rsidRPr="00884614">
        <w:fldChar w:fldCharType="end"/>
      </w:r>
      <w:r w:rsidRPr="00884614">
        <w:t>. Hur stor risken för utebliven läkning är, beror dock på hur läkning definieras (</w:t>
      </w:r>
      <w:r w:rsidRPr="00884614" w:rsidR="00B66C60">
        <w:t>till exempel</w:t>
      </w:r>
      <w:r w:rsidRPr="00884614">
        <w:t xml:space="preserve"> vid vilken tidpunkt callusmängd bedöms och hur mycket callus som skall finnas). I några av de senare studierna är tidsgränsen 6 veckor </w:t>
      </w:r>
      <w:r w:rsidRPr="00884614">
        <w:fldChar w:fldCharType="begin"/>
      </w:r>
      <w:r w:rsidRPr="00884614">
        <w:instrText xml:space="preserve"> ADDIN EN.CITE </w:instrText>
      </w:r>
      <w:r>
        <w:fldChar w:fldCharType="begin"/>
      </w:r>
      <w:r>
        <w:instrText>ADDIN EN.CITE.DATA</w:instrText>
      </w:r>
      <w:r>
        <w:fldChar w:fldCharType="separate"/>
      </w:r>
      <w:r>
        <w:fldChar w:fldCharType="end"/>
      </w:r>
      <w:r w:rsidRPr="00884614">
        <w:fldChar w:fldCharType="separate"/>
      </w:r>
      <w:r w:rsidRPr="00884614">
        <w:rPr>
          <w:noProof/>
        </w:rPr>
        <w:t>[14]</w:t>
      </w:r>
      <w:r w:rsidRPr="00884614">
        <w:fldChar w:fldCharType="end"/>
      </w:r>
      <w:r w:rsidRPr="00884614">
        <w:t>. Kända riskfaktorer för utebliven läkning inkluderar rökning, antiinflammatoriska mediciner, infektion, devitaliserade mjukdelar och medicinsk multisjuklighet.</w:t>
      </w:r>
    </w:p>
    <w:p w:rsidRPr="00884614" w:rsidR="00884614" w:rsidP="00F779EC" w:rsidRDefault="00884614" w14:paraId="068F51A3" w14:textId="1F53C97A">
      <w:r w:rsidRPr="00884614">
        <w:t xml:space="preserve">Specifika riskfaktorer för utebliven läkning av överarmsfrakturer är inte väl definierade men studier har indikerat frakturer i proximala tredjedelen </w:t>
      </w:r>
      <w:r w:rsidRPr="00884614">
        <w:fldChar w:fldCharType="begin"/>
      </w:r>
      <w:r w:rsidRPr="00884614">
        <w:instrText xml:space="preserve"> ADDIN EN.CITE </w:instrText>
      </w:r>
      <w:r>
        <w:fldChar w:fldCharType="begin"/>
      </w:r>
      <w:r>
        <w:instrText>ADDIN EN.CITE.DATA</w:instrText>
      </w:r>
      <w:r>
        <w:fldChar w:fldCharType="separate"/>
      </w:r>
      <w:r>
        <w:fldChar w:fldCharType="end"/>
      </w:r>
      <w:r w:rsidRPr="00884614">
        <w:fldChar w:fldCharType="separate"/>
      </w:r>
      <w:r w:rsidRPr="00884614">
        <w:rPr>
          <w:noProof/>
        </w:rPr>
        <w:t>[15, 16]</w:t>
      </w:r>
      <w:r w:rsidRPr="00884614">
        <w:fldChar w:fldCharType="end"/>
      </w:r>
      <w:r w:rsidRPr="00884614">
        <w:t xml:space="preserve"> och enkla tvåpartsfrakturer </w:t>
      </w:r>
      <w:r w:rsidRPr="00884614">
        <w:fldChar w:fldCharType="begin"/>
      </w:r>
      <w:r w:rsidRPr="00884614">
        <w:instrText xml:space="preserve"> ADDIN EN.CITE &lt;EndNote&gt;&lt;Cite&gt;&lt;Author&gt;Cadet&lt;/Author&gt;&lt;Year&gt;2013&lt;/Year&gt;&lt;RecNum&gt;1780&lt;/RecNum&gt;&lt;DisplayText&gt;[15]&lt;/DisplayText&gt;&lt;record&gt;&lt;rec-number&gt;1780&lt;/rec-number&gt;&lt;foreign-keys&gt;&lt;key app="EN" db-id="ttfpfrpdq0a92aetdfkpst5ytvstdea9zzfp" timestamp="1508242223"&gt;1780&lt;/key&gt;&lt;/foreign-keys&gt;&lt;ref-type name="Journal Article"&gt;17&lt;/ref-type&gt;&lt;contributors&gt;&lt;authors&gt;&lt;author&gt;Cadet, E. R.&lt;/author&gt;&lt;author&gt;Yin, B.&lt;/author&gt;&lt;author&gt;Schulz, B.&lt;/author&gt;&lt;author&gt;Ahmad, C. S.&lt;/author&gt;&lt;author&gt;Rosenwasser, M. P.&lt;/author&gt;&lt;/authors&gt;&lt;/contributors&gt;&lt;auth-address&gt;Raleigh Orthopaedic Clinic, Raleigh, NC, USA.&lt;/auth-address&gt;&lt;titles&gt;&lt;title&gt;Proximal humerus and humeral shaft nonunions&lt;/title&gt;&lt;secondary-title&gt;J Am Acad Orthop Surg&lt;/secondary-title&gt;&lt;alt-title&gt;The Journal of the American Academy of Orthopaedic Surgeons&lt;/alt-title&gt;&lt;/titles&gt;&lt;periodical&gt;&lt;full-title&gt;Journal of the American Academy of Orthopaedic Surgeons&lt;/full-title&gt;&lt;abbr-1&gt;J. Am. Acad. Orthop. Surg.&lt;/abbr-1&gt;&lt;abbr-2&gt;J Am Acad Orthop Surg&lt;/abbr-2&gt;&lt;/periodical&gt;&lt;pages&gt;538-47&lt;/pages&gt;&lt;volume&gt;21&lt;/volume&gt;&lt;number&gt;9&lt;/number&gt;&lt;edition&gt;2013/09/03&lt;/edition&gt;&lt;keywords&gt;&lt;keyword&gt;Bone Plates&lt;/keyword&gt;&lt;keyword&gt;Bone Transplantation/*methods&lt;/keyword&gt;&lt;keyword&gt;Fracture Fixation, Internal/*methods&lt;/keyword&gt;&lt;keyword&gt;Fractures, Ununited/*surgery&lt;/keyword&gt;&lt;keyword&gt;Humans&lt;/keyword&gt;&lt;keyword&gt;Humerus/*surgery&lt;/keyword&gt;&lt;keyword&gt;Shoulder Fractures/*surgery&lt;/keyword&gt;&lt;keyword&gt;Transplantation, Homologous&lt;/keyword&gt;&lt;/keywords&gt;&lt;dates&gt;&lt;year&gt;2013&lt;/year&gt;&lt;pub-dates&gt;&lt;date&gt;Sep&lt;/date&gt;&lt;/pub-dates&gt;&lt;/dates&gt;&lt;isbn&gt;1067-151X (Print)&amp;#xD;1067-151x&lt;/isbn&gt;&lt;accession-num&gt;23996985&lt;/accession-num&gt;&lt;urls&gt;&lt;related-urls&gt;&lt;url&gt;https://insights.ovid.com/pubmed?pmid=23996985&lt;/url&gt;&lt;/related-urls&gt;&lt;/urls&gt;&lt;electronic-resource-num&gt;10.5435/jaaos-21-09-538&lt;/electronic-resource-num&gt;&lt;remote-database-provider&gt;NLM&lt;/remote-database-provider&gt;&lt;language&gt;eng&lt;/language&gt;&lt;/record&gt;&lt;/Cite&gt;&lt;/EndNote&gt;</w:instrText>
      </w:r>
      <w:r w:rsidRPr="00884614">
        <w:fldChar w:fldCharType="separate"/>
      </w:r>
      <w:r w:rsidRPr="00884614">
        <w:rPr>
          <w:noProof/>
        </w:rPr>
        <w:t>[15]</w:t>
      </w:r>
      <w:r w:rsidRPr="00884614">
        <w:fldChar w:fldCharType="end"/>
      </w:r>
      <w:r w:rsidRPr="00884614">
        <w:t xml:space="preserve">. Stor rörlighet i frakturen vid 6 veckor är korrelerat till fördröjd eller utebliven läkning </w:t>
      </w:r>
      <w:r w:rsidRPr="00884614">
        <w:fldChar w:fldCharType="begin"/>
      </w:r>
      <w:r w:rsidRPr="00884614">
        <w:instrText xml:space="preserve"> ADDIN EN.CITE &lt;EndNote&gt;&lt;Cite&gt;&lt;Author&gt;Driesman&lt;/Author&gt;&lt;Year&gt;2017&lt;/Year&gt;&lt;RecNum&gt;1854&lt;/RecNum&gt;&lt;DisplayText&gt;[17]&lt;/DisplayText&gt;&lt;record&gt;&lt;rec-number&gt;1854&lt;/rec-number&gt;&lt;foreign-keys&gt;&lt;key app="EN" db-id="ttfpfrpdq0a92aetdfkpst5ytvstdea9zzfp" timestamp="1525122176"&gt;1854&lt;/key&gt;&lt;/foreign-keys&gt;&lt;ref-type name="Journal Article"&gt;17&lt;/ref-type&gt;&lt;contributors&gt;&lt;authors&gt;&lt;author&gt;Driesman, A. S.&lt;/author&gt;&lt;author&gt;Fisher, N.&lt;/author&gt;&lt;author&gt;Karia, R.&lt;/author&gt;&lt;author&gt;Konda, S.&lt;/author&gt;&lt;author&gt;Egol, K. A.&lt;/author&gt;&lt;/authors&gt;&lt;/contributors&gt;&lt;auth-address&gt;Department of Orthopaedics, NYU Hospital for Joint Diseases, New York, NY.&lt;/auth-address&gt;&lt;titles&gt;&lt;title&gt;Fracture Site Mobility at 6 Weeks After Humeral Shaft Fracture Predicts Nonunion Without Surgery&lt;/title&gt;&lt;secondary-title&gt;J Orthop Trauma&lt;/secondary-title&gt;&lt;alt-title&gt;Journal of orthopaedic trauma&lt;/alt-title&gt;&lt;/titles&gt;&lt;periodical&gt;&lt;full-title&gt;Journal of Orthopaedic Trauma&lt;/full-title&gt;&lt;abbr-1&gt;J. Orthop. Trauma&lt;/abbr-1&gt;&lt;abbr-2&gt;J Orthop Trauma&lt;/abbr-2&gt;&lt;/periodical&gt;&lt;alt-periodical&gt;&lt;full-title&gt;Journal of Orthopaedic Trauma&lt;/full-title&gt;&lt;abbr-1&gt;J. Orthop. Trauma&lt;/abbr-1&gt;&lt;abbr-2&gt;J Orthop Trauma&lt;/abbr-2&gt;&lt;/alt-periodical&gt;&lt;pages&gt;657-662&lt;/pages&gt;&lt;volume&gt;31&lt;/volume&gt;&lt;number&gt;12&lt;/number&gt;&lt;edition&gt;2017/07/15&lt;/edition&gt;&lt;dates&gt;&lt;year&gt;2017&lt;/year&gt;&lt;pub-dates&gt;&lt;date&gt;Dec&lt;/date&gt;&lt;/pub-dates&gt;&lt;/dates&gt;&lt;isbn&gt;0890-5339&lt;/isbn&gt;&lt;accession-num&gt;28708781&lt;/accession-num&gt;&lt;urls&gt;&lt;/urls&gt;&lt;electronic-resource-num&gt;10.1097/bot.0000000000000960&lt;/electronic-resource-num&gt;&lt;remote-database-provider&gt;NLM&lt;/remote-database-provider&gt;&lt;language&gt;eng&lt;/language&gt;&lt;/record&gt;&lt;/Cite&gt;&lt;/EndNote&gt;</w:instrText>
      </w:r>
      <w:r w:rsidRPr="00884614">
        <w:fldChar w:fldCharType="separate"/>
      </w:r>
      <w:r w:rsidRPr="00884614">
        <w:rPr>
          <w:noProof/>
        </w:rPr>
        <w:t>[17]</w:t>
      </w:r>
      <w:r w:rsidRPr="00884614">
        <w:fldChar w:fldCharType="end"/>
      </w:r>
      <w:r w:rsidRPr="00884614">
        <w:t xml:space="preserve">. Riskfaktorer för mobil fraktur vid 6 veckor är ökat avstånd mellan </w:t>
      </w:r>
      <w:r w:rsidRPr="00884614">
        <w:t xml:space="preserve">frakturändarna och rökning </w:t>
      </w:r>
      <w:r w:rsidRPr="00884614">
        <w:fldChar w:fldCharType="begin"/>
      </w:r>
      <w:r w:rsidRPr="00884614">
        <w:instrText xml:space="preserve"> ADDIN EN.CITE </w:instrText>
      </w:r>
      <w:r>
        <w:fldChar w:fldCharType="begin"/>
      </w:r>
      <w:r>
        <w:instrText>ADDIN EN.CITE.DATA</w:instrText>
      </w:r>
      <w:r>
        <w:fldChar w:fldCharType="separate"/>
      </w:r>
      <w:r>
        <w:fldChar w:fldCharType="end"/>
      </w:r>
      <w:r w:rsidRPr="00884614">
        <w:fldChar w:fldCharType="separate"/>
      </w:r>
      <w:r w:rsidRPr="00884614">
        <w:rPr>
          <w:noProof/>
        </w:rPr>
        <w:t>[14]</w:t>
      </w:r>
      <w:r w:rsidRPr="00884614">
        <w:fldChar w:fldCharType="end"/>
      </w:r>
      <w:r w:rsidRPr="00884614">
        <w:t>. Samtliga riskfaktorer hos patienten bör anges i journalen.</w:t>
      </w:r>
    </w:p>
    <w:p w:rsidRPr="00884614" w:rsidR="00884614" w:rsidP="00F779EC" w:rsidRDefault="00884614" w14:paraId="61A8AF16" w14:textId="4FABD025">
      <w:r w:rsidRPr="00884614">
        <w:t xml:space="preserve">Incidens av utebliven läkning efter kirurgisk behandling har rapporterats ligga mellan 2 och 10 % </w:t>
      </w:r>
      <w:r w:rsidRPr="00884614">
        <w:fldChar w:fldCharType="begin"/>
      </w:r>
      <w:r w:rsidRPr="00884614">
        <w:instrText xml:space="preserve"> ADDIN EN.CITE </w:instrText>
      </w:r>
      <w:r>
        <w:fldChar w:fldCharType="begin"/>
      </w:r>
      <w:r>
        <w:instrText>ADDIN EN.CITE.DATA</w:instrText>
      </w:r>
      <w:r>
        <w:fldChar w:fldCharType="separate"/>
      </w:r>
      <w:r>
        <w:fldChar w:fldCharType="end"/>
      </w:r>
      <w:r w:rsidRPr="00884614">
        <w:fldChar w:fldCharType="separate"/>
      </w:r>
      <w:r w:rsidRPr="00884614">
        <w:rPr>
          <w:noProof/>
        </w:rPr>
        <w:t>[13, 18-20]</w:t>
      </w:r>
      <w:r w:rsidRPr="00884614">
        <w:fldChar w:fldCharType="end"/>
      </w:r>
      <w:r w:rsidRPr="00884614">
        <w:t>.</w:t>
      </w:r>
    </w:p>
    <w:p w:rsidRPr="00F779EC" w:rsidR="00884614" w:rsidP="00F779EC" w:rsidRDefault="00884614" w14:paraId="1F51D934" w14:textId="77777777">
      <w:pPr>
        <w:pStyle w:val="Rubrik3"/>
      </w:pPr>
      <w:bookmarkStart w:name="_Toc204086417" w:id="26"/>
      <w:r w:rsidRPr="00F779EC">
        <w:t>Infektion vid kirurgi</w:t>
      </w:r>
      <w:bookmarkEnd w:id="26"/>
    </w:p>
    <w:p w:rsidRPr="00884614" w:rsidR="00884614" w:rsidP="00F779EC" w:rsidRDefault="00884614" w14:paraId="69319DE0" w14:textId="20EC2D0B">
      <w:r w:rsidRPr="00884614">
        <w:t>Risken för infektion vid kirurgi är 2</w:t>
      </w:r>
      <w:r w:rsidR="04866CB7">
        <w:t>–</w:t>
      </w:r>
      <w:r w:rsidRPr="00884614">
        <w:t xml:space="preserve">4 % </w:t>
      </w:r>
      <w:r w:rsidRPr="00884614">
        <w:fldChar w:fldCharType="begin"/>
      </w:r>
      <w:r w:rsidRPr="00884614">
        <w:instrText xml:space="preserve"> ADDIN EN.CITE &lt;EndNote&gt;&lt;Cite&gt;&lt;Author&gt;Ramo&lt;/Author&gt;&lt;Year&gt;2017&lt;/Year&gt;&lt;RecNum&gt;2&lt;/RecNum&gt;&lt;DisplayText&gt;[18]&lt;/DisplayText&gt;&lt;record&gt;&lt;rec-number&gt;2&lt;/rec-number&gt;&lt;foreign-keys&gt;&lt;key app="EN" db-id="zvfzs2af9wds5zetfz0599dw25z090xeespa" timestamp="1514992229"&gt;2&lt;/key&gt;&lt;/foreign-keys&gt;&lt;ref-type name="Journal Article"&gt;17&lt;/ref-type&gt;&lt;contributors&gt;&lt;authors&gt;&lt;author&gt;Ramo, L.&lt;/author&gt;&lt;author&gt;Taimela, S.&lt;/author&gt;&lt;author&gt;Lepola, V.&lt;/author&gt;&lt;author&gt;Malmivaara, A.&lt;/author&gt;&lt;author&gt;Lahdeoja, T.&lt;/author&gt;&lt;author&gt;Paavola, M.&lt;/author&gt;&lt;/authors&gt;&lt;/contributors&gt;&lt;auth-address&gt;Department of Orthopaedics and Traumatology, Helsinki University Central Hospital, Helsinki, Finland.&amp;#xD;Department of Orthopaedics and Traumatology, Tampere University Central Hospital, Tampere, Finland.&amp;#xD;Centre for Health and Social Economics, National Institute for Health and Welfare, Helsinki, Finland.&lt;/auth-address&gt;&lt;titles&gt;&lt;title&gt;Open reduction and internal fixation of humeral shaft fractures versus conservative treatment with a functional brace: a study protocol of a randomised controlled trial embedded in a cohort&lt;/title&gt;&lt;secondary-title&gt;BMJ Open&lt;/secondary-title&gt;&lt;/titles&gt;&lt;periodical&gt;&lt;full-title&gt;BMJ Open&lt;/full-title&gt;&lt;/periodical&gt;&lt;pages&gt;e014076&lt;/pages&gt;&lt;volume&gt;7&lt;/volume&gt;&lt;number&gt;7&lt;/number&gt;&lt;keywords&gt;&lt;keyword&gt;diaphysis&lt;/keyword&gt;&lt;keyword&gt;functional bracing&lt;/keyword&gt;&lt;keyword&gt;humeral fractures&lt;/keyword&gt;&lt;keyword&gt;operative treatment&lt;/keyword&gt;&lt;keyword&gt;pragmatic cohort&lt;/keyword&gt;&lt;keyword&gt;randomised controlled trial&lt;/keyword&gt;&lt;keyword&gt;shaft&lt;/keyword&gt;&lt;/keywords&gt;&lt;dates&gt;&lt;year&gt;2017&lt;/year&gt;&lt;pub-dates&gt;&lt;date&gt;Jul 9&lt;/date&gt;&lt;/pub-dates&gt;&lt;/dates&gt;&lt;isbn&gt;2044-6055 (Electronic)&amp;#xD;2044-6055 (Linking)&lt;/isbn&gt;&lt;accession-num&gt;28694341&lt;/accession-num&gt;&lt;urls&gt;&lt;related-urls&gt;&lt;url&gt;https://www.ncbi.nlm.nih.gov/pubmed/28694341&lt;/url&gt;&lt;/related-urls&gt;&lt;/urls&gt;&lt;custom2&gt;PMC5734401&lt;/custom2&gt;&lt;electronic-resource-num&gt;10.1136/bmjopen-2016-014076&lt;/electronic-resource-num&gt;&lt;/record&gt;&lt;/Cite&gt;&lt;/EndNote&gt;</w:instrText>
      </w:r>
      <w:r w:rsidRPr="00884614">
        <w:fldChar w:fldCharType="separate"/>
      </w:r>
      <w:r w:rsidRPr="00884614">
        <w:rPr>
          <w:noProof/>
        </w:rPr>
        <w:t>[18]</w:t>
      </w:r>
      <w:r w:rsidRPr="00884614">
        <w:fldChar w:fldCharType="end"/>
      </w:r>
      <w:r w:rsidRPr="00884614">
        <w:t>.</w:t>
      </w:r>
    </w:p>
    <w:p w:rsidRPr="00F779EC" w:rsidR="00884614" w:rsidP="00F779EC" w:rsidRDefault="00884614" w14:paraId="2F82975B" w14:textId="77777777">
      <w:pPr>
        <w:pStyle w:val="Rubrik3"/>
      </w:pPr>
      <w:bookmarkStart w:name="_Toc204086418" w:id="27"/>
      <w:r w:rsidRPr="00F779EC">
        <w:t>Radialispåverkan</w:t>
      </w:r>
      <w:bookmarkEnd w:id="27"/>
    </w:p>
    <w:p w:rsidRPr="00884614" w:rsidR="00884614" w:rsidP="00F779EC" w:rsidRDefault="00884614" w14:paraId="421765C7" w14:textId="2E273BB7">
      <w:r w:rsidRPr="00884614">
        <w:t xml:space="preserve">Påverkan på n. radialis i samband med frakturer på skaftet på överarmen kan uppkomma vid skadan (primär påverkan) eller vid behandling, oftast kirurgisk behandling (sekundär påverkan). </w:t>
      </w:r>
    </w:p>
    <w:p w:rsidRPr="00884614" w:rsidR="00884614" w:rsidP="00F779EC" w:rsidRDefault="689C6761" w14:paraId="55A1E0A8" w14:textId="51761AC2">
      <w:r>
        <w:t xml:space="preserve">Primär påverkan förekommer i 12 % av slutna skaftfrakturer i överarmen </w:t>
      </w:r>
      <w:r w:rsidR="00884614">
        <w:fldChar w:fldCharType="begin"/>
      </w:r>
      <w:r w:rsidR="00884614">
        <w:instrText xml:space="preserve"> ADDIN EN.CITE </w:instrText>
      </w:r>
      <w:r w:rsidR="00365788">
        <w:fldChar w:fldCharType="begin"/>
      </w:r>
      <w:r w:rsidR="00365788">
        <w:instrText xml:space="preserve"> ADDIN EN.CITE.DATA </w:instrText>
      </w:r>
      <w:r w:rsidR="00365788">
        <w:fldChar w:fldCharType="separate"/>
      </w:r>
      <w:r w:rsidR="00365788">
        <w:fldChar w:fldCharType="end"/>
      </w:r>
      <w:r w:rsidR="00884614">
        <w:fldChar w:fldCharType="separate"/>
      </w:r>
      <w:r w:rsidRPr="2ADA7F9E">
        <w:rPr>
          <w:noProof/>
        </w:rPr>
        <w:t>[21]</w:t>
      </w:r>
      <w:r w:rsidR="00884614">
        <w:fldChar w:fldCharType="end"/>
      </w:r>
      <w:r>
        <w:t xml:space="preserve">. Det är inte bättre att explorera nerven inom några veckor jämfört med att avvakta och explorera i ett senare skede vid utebliven förbättring. I en systematisk översikt var </w:t>
      </w:r>
      <w:r w:rsidRPr="2ADA7F9E">
        <w:rPr>
          <w:color w:val="000000" w:themeColor="text2"/>
        </w:rPr>
        <w:t xml:space="preserve">återhämtningen 87,6 % vid exspektans i första skedet jämfört med 87,9 % med tidig kirurgi </w:t>
      </w:r>
      <w:r w:rsidRPr="2ADA7F9E" w:rsidR="00884614">
        <w:rPr>
          <w:color w:val="000000" w:themeColor="text2"/>
        </w:rPr>
        <w:fldChar w:fldCharType="begin"/>
      </w:r>
      <w:r w:rsidRPr="2ADA7F9E" w:rsidR="00884614">
        <w:rPr>
          <w:color w:val="000000" w:themeColor="text2"/>
        </w:rPr>
        <w:instrText xml:space="preserve"> ADDIN EN.CITE </w:instrText>
      </w:r>
      <w:r w:rsidRPr="2ADA7F9E" w:rsidR="00884614">
        <w:rPr>
          <w:color w:val="000000" w:themeColor="text2"/>
        </w:rPr>
        <w:fldChar w:fldCharType="begin"/>
      </w:r>
      <w:r w:rsidRPr="2ADA7F9E" w:rsidR="00884614">
        <w:rPr>
          <w:color w:val="000000" w:themeColor="text2"/>
        </w:rPr>
        <w:instrText xml:space="preserve"> ADDIN EN.CITE.DATA </w:instrText>
      </w:r>
      <w:r w:rsidRPr="2ADA7F9E" w:rsidR="00884614">
        <w:rPr>
          <w:color w:val="000000" w:themeColor="text2"/>
        </w:rPr>
        <w:fldChar w:fldCharType="separate"/>
      </w:r>
      <w:r w:rsidRPr="2ADA7F9E" w:rsidR="00884614">
        <w:rPr>
          <w:color w:val="000000" w:themeColor="text2"/>
        </w:rPr>
        <w:fldChar w:fldCharType="end"/>
      </w:r>
      <w:r w:rsidRPr="2ADA7F9E" w:rsidR="00884614">
        <w:rPr>
          <w:color w:val="000000" w:themeColor="text2"/>
        </w:rPr>
        <w:fldChar w:fldCharType="separate"/>
      </w:r>
      <w:r w:rsidRPr="2ADA7F9E">
        <w:rPr>
          <w:noProof/>
          <w:color w:val="000000" w:themeColor="text2"/>
        </w:rPr>
        <w:t>[21]</w:t>
      </w:r>
      <w:r w:rsidRPr="2ADA7F9E" w:rsidR="00884614">
        <w:rPr>
          <w:color w:val="000000" w:themeColor="text2"/>
        </w:rPr>
        <w:fldChar w:fldCharType="end"/>
      </w:r>
      <w:r w:rsidRPr="2ADA7F9E">
        <w:rPr>
          <w:color w:val="000000" w:themeColor="text2"/>
        </w:rPr>
        <w:t xml:space="preserve">. Vid primär påverkan är vanligast att nervfunktionen är tillfälligt nedsatt (neurapraxia). Det tar i genomsnitt 7,3 veckor innan första tecken till återhämtning men kan ta allt upp till 6,6 månader </w:t>
      </w:r>
      <w:r w:rsidRPr="2ADA7F9E" w:rsidR="00884614">
        <w:rPr>
          <w:color w:val="000000" w:themeColor="text2"/>
        </w:rPr>
        <w:fldChar w:fldCharType="begin"/>
      </w:r>
      <w:r w:rsidRPr="2ADA7F9E" w:rsidR="00884614">
        <w:rPr>
          <w:color w:val="000000" w:themeColor="text2"/>
        </w:rPr>
        <w:instrText xml:space="preserve"> ADDIN EN.CITE </w:instrText>
      </w:r>
      <w:r w:rsidRPr="2ADA7F9E" w:rsidR="00884614">
        <w:rPr>
          <w:color w:val="000000" w:themeColor="text2"/>
        </w:rPr>
        <w:fldChar w:fldCharType="begin"/>
      </w:r>
      <w:r w:rsidRPr="2ADA7F9E" w:rsidR="00884614">
        <w:rPr>
          <w:color w:val="000000" w:themeColor="text2"/>
        </w:rPr>
        <w:instrText xml:space="preserve"> ADDIN EN.CITE.DATA </w:instrText>
      </w:r>
      <w:r w:rsidRPr="2ADA7F9E" w:rsidR="00884614">
        <w:rPr>
          <w:color w:val="000000" w:themeColor="text2"/>
        </w:rPr>
        <w:fldChar w:fldCharType="separate"/>
      </w:r>
      <w:r w:rsidRPr="2ADA7F9E" w:rsidR="00884614">
        <w:rPr>
          <w:color w:val="000000" w:themeColor="text2"/>
        </w:rPr>
        <w:fldChar w:fldCharType="end"/>
      </w:r>
      <w:r w:rsidRPr="2ADA7F9E" w:rsidR="00884614">
        <w:rPr>
          <w:color w:val="000000" w:themeColor="text2"/>
        </w:rPr>
        <w:fldChar w:fldCharType="separate"/>
      </w:r>
      <w:r w:rsidRPr="2ADA7F9E">
        <w:rPr>
          <w:noProof/>
          <w:color w:val="000000" w:themeColor="text2"/>
        </w:rPr>
        <w:t>[21]</w:t>
      </w:r>
      <w:r w:rsidRPr="2ADA7F9E" w:rsidR="00884614">
        <w:rPr>
          <w:color w:val="000000" w:themeColor="text2"/>
        </w:rPr>
        <w:fldChar w:fldCharType="end"/>
      </w:r>
      <w:r w:rsidRPr="2ADA7F9E">
        <w:rPr>
          <w:color w:val="000000" w:themeColor="text2"/>
        </w:rPr>
        <w:t xml:space="preserve">. Vid högenergiskada är prognosen vad gäller spontan återhämtning sämre jämfört med lågenergitrauma </w:t>
      </w:r>
      <w:r w:rsidRPr="2ADA7F9E" w:rsidR="00884614">
        <w:rPr>
          <w:color w:val="000000" w:themeColor="text2"/>
        </w:rPr>
        <w:fldChar w:fldCharType="begin"/>
      </w:r>
      <w:r w:rsidRPr="2ADA7F9E" w:rsidR="00884614">
        <w:rPr>
          <w:color w:val="000000" w:themeColor="text2"/>
        </w:rPr>
        <w:instrText xml:space="preserve"> ADDIN EN.CITE &lt;EndNote&gt;&lt;Cite&gt;&lt;Author&gt;Robinson&lt;/Author&gt;&lt;Year&gt;2000&lt;/Year&gt;&lt;RecNum&gt;1788&lt;/RecNum&gt;&lt;DisplayText&gt;[22]&lt;/DisplayText&gt;&lt;record&gt;&lt;rec-number&gt;1788&lt;/rec-number&gt;&lt;foreign-keys&gt;&lt;key app="EN" db-id="ttfpfrpdq0a92aetdfkpst5ytvstdea9zzfp" timestamp="1515883606"&gt;1788&lt;/key&gt;&lt;/foreign-keys&gt;&lt;ref-type name="Journal Article"&gt;17&lt;/ref-type&gt;&lt;contributors&gt;&lt;authors&gt;&lt;author&gt;Robinson, L. R.&lt;/author&gt;&lt;/authors&gt;&lt;/contributors&gt;&lt;auth-address&gt;Department of Rehabilitation Medicine, University of Washington, Seattle, Washington 98195, USA.&lt;/auth-address&gt;&lt;titles&gt;&lt;title&gt;Traumatic injury to peripheral nerves&lt;/title&gt;&lt;secondary-title&gt;Muscle Nerve&lt;/secondary-title&gt;&lt;alt-title&gt;Muscle &amp;amp; nerve&lt;/alt-title&gt;&lt;/titles&gt;&lt;periodical&gt;&lt;full-title&gt;Muscle and Nerve&lt;/full-title&gt;&lt;abbr-1&gt;Muscle Nerve&lt;/abbr-1&gt;&lt;abbr-2&gt;Muscle Nerve&lt;/abbr-2&gt;&lt;abbr-3&gt;Muscle &amp;amp; Nerve&lt;/abbr-3&gt;&lt;/periodical&gt;&lt;alt-periodical&gt;&lt;full-title&gt;Muscle and Nerve&lt;/full-title&gt;&lt;abbr-1&gt;Muscle Nerve&lt;/abbr-1&gt;&lt;abbr-2&gt;Muscle Nerve&lt;/abbr-2&gt;&lt;abbr-3&gt;Muscle &amp;amp; Nerve&lt;/abbr-3&gt;&lt;/alt-periodical&gt;&lt;pages&gt;863-73&lt;/pages&gt;&lt;volume&gt;23&lt;/volume&gt;&lt;number&gt;6&lt;/number&gt;&lt;edition&gt;2000/06/08&lt;/edition&gt;&lt;keywords&gt;&lt;keyword&gt;Electromyography&lt;/keyword&gt;&lt;keyword&gt;Humans&lt;/keyword&gt;&lt;keyword&gt;Neural Conduction/physiology&lt;/keyword&gt;&lt;keyword&gt;*Peripheral Nerve Injuries&lt;/keyword&gt;&lt;keyword&gt;Peripheral Nerves/*physiopathology&lt;/keyword&gt;&lt;keyword&gt;Peripheral Nervous System Diseases/*diagnosis/*physiopathology&lt;/keyword&gt;&lt;/keywords&gt;&lt;dates&gt;&lt;year&gt;2000&lt;/year&gt;&lt;pub-dates&gt;&lt;date&gt;Jun&lt;/date&gt;&lt;/pub-dates&gt;&lt;/dates&gt;&lt;isbn&gt;0148-639X (Print)&amp;#xD;0148-639x&lt;/isbn&gt;&lt;accession-num&gt;10842261&lt;/accession-num&gt;&lt;urls&gt;&lt;related-urls&gt;&lt;url&gt;http://onlinelibrary.wiley.com.ezproxy.ub.gu.se/store/10.1002/(SICI)1097-4598(200006)23:6%3C863::AID-MUS4%3E3.0.CO;2-0/asset/4_ftp.pdf?v=1&amp;amp;t=jclo2oci&amp;amp;s=a489d9d3baf83251ef4b0efa577f42e67cbea3fd&lt;/url&gt;&lt;/related-urls&gt;&lt;/urls&gt;&lt;remote-database-provider&gt;NLM&lt;/remote-database-provider&gt;&lt;language&gt;eng&lt;/language&gt;&lt;/record&gt;&lt;/Cite&gt;&lt;/EndNote&gt;</w:instrText>
      </w:r>
      <w:r w:rsidRPr="2ADA7F9E" w:rsidR="00884614">
        <w:rPr>
          <w:color w:val="000000" w:themeColor="text2"/>
        </w:rPr>
        <w:fldChar w:fldCharType="separate"/>
      </w:r>
      <w:r w:rsidRPr="2ADA7F9E">
        <w:rPr>
          <w:noProof/>
          <w:color w:val="000000" w:themeColor="text2"/>
        </w:rPr>
        <w:t>[22]</w:t>
      </w:r>
      <w:r w:rsidRPr="2ADA7F9E" w:rsidR="00884614">
        <w:rPr>
          <w:color w:val="000000" w:themeColor="text2"/>
        </w:rPr>
        <w:fldChar w:fldCharType="end"/>
      </w:r>
      <w:r w:rsidRPr="2ADA7F9E">
        <w:rPr>
          <w:color w:val="000000" w:themeColor="text2"/>
        </w:rPr>
        <w:t>. Risken är då större att nervtrådarna är delade även om endoneurium, perineurium och epineurium är intakt (axonotmesis) eller att nerven är helt delad (neurotmesis).</w:t>
      </w:r>
    </w:p>
    <w:p w:rsidRPr="00E33E9A" w:rsidR="00E33E9A" w:rsidP="00F779EC" w:rsidRDefault="00884614" w14:paraId="4C7DD80E" w14:textId="1A796F6F">
      <w:pPr>
        <w:rPr>
          <w:lang w:val="is-IS"/>
        </w:rPr>
      </w:pPr>
      <w:r w:rsidRPr="00884614">
        <w:rPr>
          <w:lang w:val="is-IS"/>
        </w:rPr>
        <w:t xml:space="preserve">Risken för sekundär radialispares efter kirurgi ligger mellan 2 och 7 % </w:t>
      </w:r>
      <w:r w:rsidRPr="00884614">
        <w:rPr>
          <w:lang w:val="is-IS"/>
        </w:rPr>
        <w:fldChar w:fldCharType="begin"/>
      </w:r>
      <w:r w:rsidRPr="00884614">
        <w:rPr>
          <w:lang w:val="is-IS"/>
        </w:rPr>
        <w:instrText xml:space="preserve"> ADDIN EN.CITE &lt;EndNote&gt;&lt;Cite&gt;&lt;Author&gt;Ramo&lt;/Author&gt;&lt;Year&gt;2017&lt;/Year&gt;&lt;RecNum&gt;2&lt;/RecNum&gt;&lt;DisplayText&gt;[18]&lt;/DisplayText&gt;&lt;record&gt;&lt;rec-number&gt;2&lt;/rec-number&gt;&lt;foreign-keys&gt;&lt;key app="EN" db-id="zvfzs2af9wds5zetfz0599dw25z090xeespa" timestamp="1514992229"&gt;2&lt;/key&gt;&lt;/foreign-keys&gt;&lt;ref-type name="Journal Article"&gt;17&lt;/ref-type&gt;&lt;contributors&gt;&lt;authors&gt;&lt;author&gt;Ramo, L.&lt;/author&gt;&lt;author&gt;Taimela, S.&lt;/author&gt;&lt;author&gt;Lepola, V.&lt;/author&gt;&lt;author&gt;Malmivaara, A.&lt;/author&gt;&lt;author&gt;Lahdeoja, T.&lt;/author&gt;&lt;author&gt;Paavola, M.&lt;/author&gt;&lt;/authors&gt;&lt;/contributors&gt;&lt;auth-address&gt;Department of Orthopaedics and Traumatology, Helsinki University Central Hospital, Helsinki, Finland.&amp;#xD;Department of Orthopaedics and Traumatology, Tampere University Central Hospital, Tampere, Finland.&amp;#xD;Centre for Health and Social Economics, National Institute for Health and Welfare, Helsinki, Finland.&lt;/auth-address&gt;&lt;titles&gt;&lt;title&gt;Open reduction and internal fixation of humeral shaft fractures versus conservative treatment with a functional brace: a study protocol of a randomised controlled trial embedded in a cohort&lt;/title&gt;&lt;secondary-title&gt;BMJ Open&lt;/secondary-title&gt;&lt;/titles&gt;&lt;periodical&gt;&lt;full-title&gt;BMJ Open&lt;/full-title&gt;&lt;/periodical&gt;&lt;pages&gt;e014076&lt;/pages&gt;&lt;volume&gt;7&lt;/volume&gt;&lt;number&gt;7&lt;/number&gt;&lt;keywords&gt;&lt;keyword&gt;diaphysis&lt;/keyword&gt;&lt;keyword&gt;functional bracing&lt;/keyword&gt;&lt;keyword&gt;humeral fractures&lt;/keyword&gt;&lt;keyword&gt;operative treatment&lt;/keyword&gt;&lt;keyword&gt;pragmatic cohort&lt;/keyword&gt;&lt;keyword&gt;randomised controlled trial&lt;/keyword&gt;&lt;keyword&gt;shaft&lt;/keyword&gt;&lt;/keywords&gt;&lt;dates&gt;&lt;year&gt;2017&lt;/year&gt;&lt;pub-dates&gt;&lt;date&gt;Jul 9&lt;/date&gt;&lt;/pub-dates&gt;&lt;/dates&gt;&lt;isbn&gt;2044-6055 (Electronic)&amp;#xD;2044-6055 (Linking)&lt;/isbn&gt;&lt;accession-num&gt;28694341&lt;/accession-num&gt;&lt;urls&gt;&lt;related-urls&gt;&lt;url&gt;https://www.ncbi.nlm.nih.gov/pubmed/28694341&lt;/url&gt;&lt;/related-urls&gt;&lt;/urls&gt;&lt;custom2&gt;PMC5734401&lt;/custom2&gt;&lt;electronic-resource-num&gt;10.1136/bmjopen-2016-014076&lt;/electronic-resource-num&gt;&lt;/record&gt;&lt;/Cite&gt;&lt;/EndNote&gt;</w:instrText>
      </w:r>
      <w:r w:rsidRPr="00884614">
        <w:rPr>
          <w:lang w:val="is-IS"/>
        </w:rPr>
        <w:fldChar w:fldCharType="separate"/>
      </w:r>
      <w:r w:rsidRPr="00884614">
        <w:rPr>
          <w:noProof/>
          <w:lang w:val="is-IS"/>
        </w:rPr>
        <w:t>[18]</w:t>
      </w:r>
      <w:r w:rsidRPr="00884614">
        <w:rPr>
          <w:lang w:val="is-IS"/>
        </w:rPr>
        <w:fldChar w:fldCharType="end"/>
      </w:r>
      <w:r w:rsidRPr="00884614">
        <w:rPr>
          <w:lang w:val="is-IS"/>
        </w:rPr>
        <w:t xml:space="preserve">. Risken är högre med posterior tillgång (9 %) än med anterolateral tillgång (4 %) </w:t>
      </w:r>
      <w:r w:rsidRPr="00884614">
        <w:rPr>
          <w:lang w:val="is-IS"/>
        </w:rPr>
        <w:fldChar w:fldCharType="begin"/>
      </w:r>
      <w:r w:rsidRPr="00884614">
        <w:rPr>
          <w:lang w:val="is-IS"/>
        </w:rPr>
        <w:instrText xml:space="preserve"> ADDIN EN.CITE </w:instrText>
      </w:r>
      <w:r w:rsidRPr="00884614">
        <w:rPr>
          <w:lang w:val="is-IS"/>
        </w:rPr>
        <w:fldChar w:fldCharType="begin"/>
      </w:r>
      <w:r w:rsidRPr="00884614">
        <w:rPr>
          <w:lang w:val="is-IS"/>
        </w:rPr>
        <w:instrText xml:space="preserve"> ADDIN EN.CITE.DATA </w:instrText>
      </w:r>
      <w:r w:rsidRPr="00884614">
        <w:rPr>
          <w:lang w:val="is-IS"/>
        </w:rPr>
        <w:fldChar w:fldCharType="separate"/>
      </w:r>
      <w:r w:rsidRPr="00884614">
        <w:rPr>
          <w:lang w:val="is-IS"/>
        </w:rPr>
        <w:fldChar w:fldCharType="end"/>
      </w:r>
      <w:r w:rsidRPr="00884614">
        <w:rPr>
          <w:lang w:val="is-IS"/>
        </w:rPr>
        <w:fldChar w:fldCharType="separate"/>
      </w:r>
      <w:r w:rsidRPr="00884614">
        <w:rPr>
          <w:noProof/>
          <w:lang w:val="is-IS"/>
        </w:rPr>
        <w:t>[23]</w:t>
      </w:r>
      <w:r w:rsidRPr="00884614">
        <w:rPr>
          <w:lang w:val="is-IS"/>
        </w:rPr>
        <w:fldChar w:fldCharType="end"/>
      </w:r>
      <w:r w:rsidRPr="00884614">
        <w:rPr>
          <w:lang w:val="is-IS"/>
        </w:rPr>
        <w:t xml:space="preserve">. Prognosen är bra, över 90% återfår god funktion </w:t>
      </w:r>
      <w:r w:rsidRPr="00884614">
        <w:rPr>
          <w:lang w:val="is-IS"/>
        </w:rPr>
        <w:fldChar w:fldCharType="begin"/>
      </w:r>
      <w:r w:rsidRPr="00884614">
        <w:rPr>
          <w:lang w:val="is-IS"/>
        </w:rPr>
        <w:instrText xml:space="preserve"> ADDIN EN.CITE </w:instrText>
      </w:r>
      <w:r w:rsidRPr="00884614">
        <w:rPr>
          <w:lang w:val="is-IS"/>
        </w:rPr>
        <w:fldChar w:fldCharType="begin"/>
      </w:r>
      <w:r w:rsidRPr="00884614">
        <w:rPr>
          <w:lang w:val="is-IS"/>
        </w:rPr>
        <w:instrText xml:space="preserve"> ADDIN EN.CITE.DATA </w:instrText>
      </w:r>
      <w:r w:rsidRPr="00884614">
        <w:rPr>
          <w:lang w:val="is-IS"/>
        </w:rPr>
        <w:fldChar w:fldCharType="separate"/>
      </w:r>
      <w:r w:rsidRPr="00884614">
        <w:rPr>
          <w:lang w:val="is-IS"/>
        </w:rPr>
        <w:fldChar w:fldCharType="end"/>
      </w:r>
      <w:r w:rsidRPr="00884614">
        <w:rPr>
          <w:lang w:val="is-IS"/>
        </w:rPr>
        <w:fldChar w:fldCharType="separate"/>
      </w:r>
      <w:r w:rsidRPr="00884614">
        <w:rPr>
          <w:noProof/>
          <w:lang w:val="is-IS"/>
        </w:rPr>
        <w:t>[21]</w:t>
      </w:r>
      <w:r w:rsidRPr="00884614">
        <w:rPr>
          <w:lang w:val="is-IS"/>
        </w:rPr>
        <w:fldChar w:fldCharType="end"/>
      </w:r>
      <w:r w:rsidRPr="00884614">
        <w:rPr>
          <w:lang w:val="is-IS"/>
        </w:rPr>
        <w:t xml:space="preserve">. Den genomsnittliga tiden till första tecken till återhämtning är 9 veckor </w:t>
      </w:r>
      <w:r w:rsidRPr="00884614">
        <w:rPr>
          <w:lang w:val="is-IS"/>
        </w:rPr>
        <w:fldChar w:fldCharType="begin"/>
      </w:r>
      <w:r w:rsidRPr="00884614">
        <w:rPr>
          <w:lang w:val="is-IS"/>
        </w:rPr>
        <w:instrText xml:space="preserve"> ADDIN EN.CITE &lt;EndNote&gt;&lt;Cite&gt;&lt;Author&gt;Lang&lt;/Author&gt;&lt;Year&gt;2017&lt;/Year&gt;&lt;RecNum&gt;20&lt;/RecNum&gt;&lt;DisplayText&gt;[24]&lt;/DisplayText&gt;&lt;record&gt;&lt;rec-number&gt;20&lt;/rec-number&gt;&lt;foreign-keys&gt;&lt;key app="EN" db-id="zvfzs2af9wds5zetfz0599dw25z090xeespa" timestamp="1517049571"&gt;20&lt;/key&gt;&lt;/foreign-keys&gt;&lt;ref-type name="Journal Article"&gt;17&lt;/ref-type&gt;&lt;contributors&gt;&lt;authors&gt;&lt;author&gt;Lang, N. W.&lt;/author&gt;&lt;author&gt;Ostermann, R. C.&lt;/author&gt;&lt;author&gt;Arthold, C.&lt;/author&gt;&lt;author&gt;Joestl, J.&lt;/author&gt;&lt;author&gt;Platzer, P.&lt;/author&gt;&lt;/authors&gt;&lt;/contributors&gt;&lt;auth-address&gt;Department of Traumatology, Medical University of Vienna, Waehringer Guertel 18 - 20, Vienna, A - 1090, Austria. nikolaus.lang@meduniwien.ac.at.&amp;#xD;Department of Traumatology, Medical University of Vienna, Waehringer Guertel 18 - 20, Vienna, A - 1090, Austria.&lt;/auth-address&gt;&lt;titles&gt;&lt;title&gt;Retrospective case series with one year follow-up after radial nerve palsy associated with humeral fractures&lt;/title&gt;&lt;secondary-title&gt;Int Orthop&lt;/secondary-title&gt;&lt;/titles&gt;&lt;periodical&gt;&lt;full-title&gt;Int Orthop&lt;/full-title&gt;&lt;/periodical&gt;&lt;pages&gt;191-196&lt;/pages&gt;&lt;volume&gt;41&lt;/volume&gt;&lt;number&gt;1&lt;/number&gt;&lt;keywords&gt;&lt;keyword&gt;Intramedullary nail&lt;/keyword&gt;&lt;keyword&gt;Orif&lt;/keyword&gt;&lt;keyword&gt;Radial nerve palsy&lt;/keyword&gt;&lt;keyword&gt;Recovery&lt;/keyword&gt;&lt;/keywords&gt;&lt;dates&gt;&lt;year&gt;2017&lt;/year&gt;&lt;pub-dates&gt;&lt;date&gt;Jan&lt;/date&gt;&lt;/pub-dates&gt;&lt;/dates&gt;&lt;isbn&gt;1432-5195 (Electronic)&amp;#xD;0341-2695 (Linking)&lt;/isbn&gt;&lt;accession-num&gt;27079837&lt;/accession-num&gt;&lt;urls&gt;&lt;related-urls&gt;&lt;url&gt;https://www.ncbi.nlm.nih.gov/pubmed/27079837&lt;/url&gt;&lt;/related-urls&gt;&lt;/urls&gt;&lt;electronic-resource-num&gt;10.1007/s00264-016-3186-3&lt;/electronic-resource-num&gt;&lt;/record&gt;&lt;/Cite&gt;&lt;/EndNote&gt;</w:instrText>
      </w:r>
      <w:r w:rsidRPr="00884614">
        <w:rPr>
          <w:lang w:val="is-IS"/>
        </w:rPr>
        <w:fldChar w:fldCharType="separate"/>
      </w:r>
      <w:r w:rsidRPr="00884614">
        <w:rPr>
          <w:noProof/>
          <w:lang w:val="is-IS"/>
        </w:rPr>
        <w:t>[24]</w:t>
      </w:r>
      <w:r w:rsidRPr="00884614">
        <w:rPr>
          <w:lang w:val="is-IS"/>
        </w:rPr>
        <w:fldChar w:fldCharType="end"/>
      </w:r>
      <w:r w:rsidRPr="00884614">
        <w:rPr>
          <w:lang w:val="is-IS"/>
        </w:rPr>
        <w:t>.</w:t>
      </w:r>
    </w:p>
    <w:p w:rsidRPr="003C657C" w:rsidR="00884614" w:rsidP="003C657C" w:rsidRDefault="003178A6" w14:paraId="7C8DDD75" w14:textId="3B326348">
      <w:pPr>
        <w:pStyle w:val="Rubrik2"/>
      </w:pPr>
      <w:bookmarkStart w:name="_Toc204086419" w:id="28"/>
      <w:r w:rsidRPr="003C657C">
        <w:t>Arbetsgrupp</w:t>
      </w:r>
      <w:bookmarkEnd w:id="28"/>
    </w:p>
    <w:p w:rsidR="00273204" w:rsidP="003C657C" w:rsidRDefault="00273204" w14:paraId="6577A6CA" w14:textId="5B89845C">
      <w:r w:rsidRPr="00273204">
        <w:t>Innehållsansvarig</w:t>
      </w:r>
    </w:p>
    <w:p w:rsidRPr="00DE4FE4" w:rsidR="00DE4FE4" w:rsidP="003C657C" w:rsidRDefault="00DE4FE4" w14:paraId="6BA5475D" w14:textId="08AFA349">
      <w:r w:rsidRPr="2ADA7F9E">
        <w:t>Carl Bergdahl, Överläkare,</w:t>
      </w:r>
      <w:r>
        <w:t xml:space="preserve"> Verksamhet Ortopedi, Sahlgrenska Universitetssjukhuset</w:t>
      </w:r>
    </w:p>
    <w:p w:rsidR="00273204" w:rsidP="003C657C" w:rsidRDefault="47B82867" w14:paraId="4E1FC070" w14:textId="5290376F">
      <w:r w:rsidRPr="00FD7AB7">
        <w:t>Innehållsgranskare</w:t>
      </w:r>
    </w:p>
    <w:p w:rsidRPr="00F64AA7" w:rsidR="00F64AA7" w:rsidP="002A2CAD" w:rsidRDefault="00F64AA7" w14:paraId="4AA55FAA" w14:textId="1EE8602D">
      <w:r>
        <w:t>Albin Jorméus, Speciali</w:t>
      </w:r>
      <w:r w:rsidR="00A16D86">
        <w:t>stläkare, Verksamhet Ortopedi, Sahlgrenska Universitetssjukhuset</w:t>
      </w:r>
    </w:p>
    <w:p w:rsidRPr="00237E1C" w:rsidR="00884614" w:rsidP="005345D5" w:rsidRDefault="002A374A" w14:paraId="678065C9" w14:textId="6065F2DD">
      <w:pPr>
        <w:pStyle w:val="Rubrik2"/>
        <w:rPr>
          <w:rFonts w:ascii="Arial" w:hAnsi="Arial" w:cs="Arial"/>
          <w:lang w:val="en-US"/>
        </w:rPr>
      </w:pPr>
      <w:bookmarkStart w:name="_Toc204086420" w:id="29"/>
      <w:r>
        <w:t>Källförteckning</w:t>
      </w:r>
      <w:bookmarkEnd w:id="29"/>
    </w:p>
    <w:p w:rsidRPr="00884614" w:rsidR="00884614" w:rsidP="005345D5" w:rsidRDefault="00884614" w14:paraId="43CDB7CC" w14:textId="77777777">
      <w:pPr>
        <w:rPr>
          <w:noProof/>
          <w:lang w:val="en-US"/>
        </w:rPr>
      </w:pPr>
      <w:r w:rsidRPr="00884614">
        <w:fldChar w:fldCharType="begin"/>
      </w:r>
      <w:r w:rsidRPr="00884614">
        <w:rPr>
          <w:lang w:val="en-GB"/>
        </w:rPr>
        <w:instrText xml:space="preserve"> ADDIN EN.REFLIST </w:instrText>
      </w:r>
      <w:r w:rsidRPr="00884614">
        <w:fldChar w:fldCharType="separate"/>
      </w:r>
      <w:r w:rsidRPr="00884614">
        <w:rPr>
          <w:noProof/>
          <w:lang w:val="en-US"/>
        </w:rPr>
        <w:t>1.</w:t>
      </w:r>
      <w:r>
        <w:tab/>
      </w:r>
      <w:r w:rsidRPr="00884614">
        <w:rPr>
          <w:noProof/>
          <w:lang w:val="en-US"/>
        </w:rPr>
        <w:t xml:space="preserve">Bergdahl, C., et al., Epidemiology and patho-anatomical pattern of 2,011 humeral fractures: data from the Swedish Fracture Register. BMC Musculoskelet Disord, 2016. </w:t>
      </w:r>
      <w:r w:rsidRPr="54240AC5">
        <w:rPr>
          <w:lang w:val="en-US"/>
        </w:rPr>
        <w:t>17</w:t>
      </w:r>
      <w:r w:rsidRPr="00884614">
        <w:rPr>
          <w:noProof/>
          <w:lang w:val="en-US"/>
        </w:rPr>
        <w:t>: p. 159.</w:t>
      </w:r>
    </w:p>
    <w:p w:rsidRPr="00884614" w:rsidR="00884614" w:rsidP="005345D5" w:rsidRDefault="00884614" w14:paraId="4610D68A" w14:textId="77777777">
      <w:pPr>
        <w:rPr>
          <w:noProof/>
        </w:rPr>
      </w:pPr>
      <w:r w:rsidRPr="00884614">
        <w:rPr>
          <w:noProof/>
          <w:lang w:val="en-US"/>
        </w:rPr>
        <w:t>2.</w:t>
      </w:r>
      <w:r>
        <w:tab/>
      </w:r>
      <w:r w:rsidRPr="00884614">
        <w:rPr>
          <w:noProof/>
          <w:lang w:val="en-US"/>
        </w:rPr>
        <w:t xml:space="preserve">Papasoulis, E., et al., Functional bracing of humeral shaft fractures. </w:t>
      </w:r>
      <w:r w:rsidRPr="00884614">
        <w:rPr>
          <w:noProof/>
        </w:rPr>
        <w:t xml:space="preserve">A review of clinical studies. Injury, 2010. </w:t>
      </w:r>
      <w:r w:rsidRPr="54240AC5">
        <w:t>41</w:t>
      </w:r>
      <w:r w:rsidRPr="00884614">
        <w:rPr>
          <w:noProof/>
        </w:rPr>
        <w:t>(7): p. e21-27.</w:t>
      </w:r>
    </w:p>
    <w:p w:rsidRPr="00884614" w:rsidR="00884614" w:rsidP="005345D5" w:rsidRDefault="00884614" w14:paraId="0F034646" w14:textId="77777777">
      <w:pPr>
        <w:rPr>
          <w:noProof/>
          <w:lang w:val="en-US"/>
        </w:rPr>
      </w:pPr>
      <w:r w:rsidRPr="00884614">
        <w:rPr>
          <w:noProof/>
        </w:rPr>
        <w:t>3.</w:t>
      </w:r>
      <w:r w:rsidRPr="00884614">
        <w:rPr>
          <w:noProof/>
        </w:rPr>
        <w:tab/>
      </w:r>
      <w:r w:rsidRPr="00884614">
        <w:rPr>
          <w:noProof/>
        </w:rPr>
        <w:t xml:space="preserve">SBU, Behandling av armfraktur hos äldre. En systematisk översikt och utvärdering av medicinska, hälsoekonomiska, sociala och etiska aspekter. Stockholm: Statens beredning för medicinsk och social utvärdering in SBU-rapport nr 262. </w:t>
      </w:r>
      <w:r w:rsidRPr="00884614">
        <w:rPr>
          <w:noProof/>
          <w:lang w:val="en-US"/>
        </w:rPr>
        <w:t>ISBN 978-91-88437-04-4. 2017.</w:t>
      </w:r>
    </w:p>
    <w:p w:rsidRPr="00884614" w:rsidR="00884614" w:rsidP="005345D5" w:rsidRDefault="00884614" w14:paraId="0BABB29D" w14:textId="77777777">
      <w:pPr>
        <w:rPr>
          <w:noProof/>
          <w:lang w:val="en-US"/>
        </w:rPr>
      </w:pPr>
      <w:r w:rsidRPr="00884614">
        <w:rPr>
          <w:noProof/>
          <w:lang w:val="en-US"/>
        </w:rPr>
        <w:t>4.</w:t>
      </w:r>
      <w:r>
        <w:tab/>
      </w:r>
      <w:r w:rsidRPr="00884614">
        <w:rPr>
          <w:noProof/>
          <w:lang w:val="en-US"/>
        </w:rPr>
        <w:t>Kurup, H., M. Hossain, and J.G. Andrew, Dynamic compression plating versus locked intramedullary nailing for humeral shaft fractures in adults. Cochrane Database Syst Rev, 2011(6): p. Cd005959.</w:t>
      </w:r>
    </w:p>
    <w:p w:rsidRPr="00884614" w:rsidR="00884614" w:rsidP="005345D5" w:rsidRDefault="00884614" w14:paraId="54EFF9F0" w14:textId="77777777">
      <w:pPr>
        <w:rPr>
          <w:noProof/>
          <w:lang w:val="en-US"/>
        </w:rPr>
      </w:pPr>
      <w:r w:rsidRPr="00884614">
        <w:rPr>
          <w:noProof/>
          <w:lang w:val="en-US"/>
        </w:rPr>
        <w:t>5.</w:t>
      </w:r>
      <w:r>
        <w:tab/>
      </w:r>
      <w:r w:rsidRPr="00884614">
        <w:rPr>
          <w:noProof/>
          <w:lang w:val="en-US"/>
        </w:rPr>
        <w:t xml:space="preserve">Zhao, J.G., et al., Surgical interventions to treat humerus shaft fractures: A network meta-analysis of randomized controlled trials. PLoS One, 2017. </w:t>
      </w:r>
      <w:r w:rsidRPr="54240AC5">
        <w:rPr>
          <w:lang w:val="en-US"/>
        </w:rPr>
        <w:t>12</w:t>
      </w:r>
      <w:r w:rsidRPr="00884614">
        <w:rPr>
          <w:noProof/>
          <w:lang w:val="en-US"/>
        </w:rPr>
        <w:t>(3): p. e0173634.</w:t>
      </w:r>
    </w:p>
    <w:p w:rsidRPr="00884614" w:rsidR="00884614" w:rsidP="005345D5" w:rsidRDefault="00884614" w14:paraId="15546247" w14:textId="77777777">
      <w:pPr>
        <w:rPr>
          <w:noProof/>
          <w:lang w:val="en-US"/>
        </w:rPr>
      </w:pPr>
      <w:r w:rsidRPr="00884614">
        <w:rPr>
          <w:noProof/>
          <w:lang w:val="en-US"/>
        </w:rPr>
        <w:t>6.</w:t>
      </w:r>
      <w:r>
        <w:tab/>
      </w:r>
      <w:r w:rsidRPr="00884614">
        <w:rPr>
          <w:noProof/>
          <w:lang w:val="en-US"/>
        </w:rPr>
        <w:t xml:space="preserve">Ouyang, H., et al., Plate versus intramedullary nail fixation in the treatment of humeral shaft fractures: an updated meta-analysis. J Shoulder Elbow Surg, 2013. </w:t>
      </w:r>
      <w:r w:rsidRPr="54240AC5">
        <w:rPr>
          <w:lang w:val="en-US"/>
        </w:rPr>
        <w:t>22</w:t>
      </w:r>
      <w:r w:rsidRPr="00884614">
        <w:rPr>
          <w:noProof/>
          <w:lang w:val="en-US"/>
        </w:rPr>
        <w:t>(3): p. 387-95.</w:t>
      </w:r>
    </w:p>
    <w:p w:rsidRPr="00884614" w:rsidR="00884614" w:rsidP="005345D5" w:rsidRDefault="00884614" w14:paraId="614AFB75" w14:textId="77777777">
      <w:pPr>
        <w:rPr>
          <w:noProof/>
          <w:lang w:val="en-US"/>
        </w:rPr>
      </w:pPr>
      <w:r w:rsidRPr="00884614">
        <w:rPr>
          <w:noProof/>
          <w:lang w:val="en-US"/>
        </w:rPr>
        <w:t>7.</w:t>
      </w:r>
      <w:r>
        <w:tab/>
      </w:r>
      <w:r w:rsidRPr="00884614">
        <w:rPr>
          <w:noProof/>
          <w:lang w:val="en-US"/>
        </w:rPr>
        <w:t>Schwab, T.R., et al., Radial nerve palsy in humeral shaft fractures with internal fixation: analysis of management and outcome. Eur J Trauma Emerg Surg, 2017.</w:t>
      </w:r>
    </w:p>
    <w:p w:rsidRPr="00884614" w:rsidR="00884614" w:rsidP="005345D5" w:rsidRDefault="00884614" w14:paraId="149DA427" w14:textId="77777777">
      <w:pPr>
        <w:rPr>
          <w:noProof/>
          <w:lang w:val="en-US"/>
        </w:rPr>
      </w:pPr>
      <w:r w:rsidRPr="00884614">
        <w:rPr>
          <w:noProof/>
          <w:lang w:val="en-US"/>
        </w:rPr>
        <w:t>8.</w:t>
      </w:r>
      <w:r>
        <w:tab/>
      </w:r>
      <w:r w:rsidRPr="00884614">
        <w:rPr>
          <w:noProof/>
          <w:lang w:val="en-US"/>
        </w:rPr>
        <w:t xml:space="preserve">Dai, J., et al., Dynamic compression plating versus locked intramedullary nailing for humeral shaft fractures: a meta-analysis of RCTs and nonrandomized studies. J Orthop Sci, 2014. </w:t>
      </w:r>
      <w:r w:rsidRPr="54240AC5">
        <w:rPr>
          <w:lang w:val="en-US"/>
        </w:rPr>
        <w:t>19</w:t>
      </w:r>
      <w:r w:rsidRPr="00884614">
        <w:rPr>
          <w:noProof/>
          <w:lang w:val="en-US"/>
        </w:rPr>
        <w:t>(2): p. 282-91.</w:t>
      </w:r>
    </w:p>
    <w:p w:rsidRPr="00884614" w:rsidR="00884614" w:rsidP="005345D5" w:rsidRDefault="00884614" w14:paraId="7EAF2E2D" w14:textId="77777777">
      <w:pPr>
        <w:rPr>
          <w:noProof/>
          <w:lang w:val="en-GB"/>
        </w:rPr>
      </w:pPr>
      <w:r w:rsidRPr="00884614">
        <w:rPr>
          <w:noProof/>
          <w:lang w:val="en-US"/>
        </w:rPr>
        <w:t>9.</w:t>
      </w:r>
      <w:r>
        <w:tab/>
      </w:r>
      <w:r w:rsidRPr="00884614">
        <w:rPr>
          <w:noProof/>
          <w:lang w:val="en-US"/>
        </w:rPr>
        <w:t xml:space="preserve">Zhao, J.G., et al., Intramedullary nail versus plate fixation for humeral shaft fractures: a systematic review of overlapping meta-analyses. </w:t>
      </w:r>
      <w:r w:rsidRPr="00884614">
        <w:rPr>
          <w:noProof/>
          <w:lang w:val="en-GB"/>
        </w:rPr>
        <w:t xml:space="preserve">Medicine (Baltimore), 2015. </w:t>
      </w:r>
      <w:r w:rsidRPr="54240AC5">
        <w:rPr>
          <w:lang w:val="en-GB"/>
        </w:rPr>
        <w:t>94</w:t>
      </w:r>
      <w:r w:rsidRPr="00884614">
        <w:rPr>
          <w:noProof/>
          <w:lang w:val="en-GB"/>
        </w:rPr>
        <w:t>(11): p. e599.</w:t>
      </w:r>
    </w:p>
    <w:p w:rsidRPr="00884614" w:rsidR="00884614" w:rsidP="005345D5" w:rsidRDefault="00884614" w14:paraId="218B7587" w14:textId="002A682B">
      <w:pPr>
        <w:rPr>
          <w:noProof/>
          <w:lang w:val="en-US"/>
        </w:rPr>
      </w:pPr>
      <w:r w:rsidRPr="00884614">
        <w:rPr>
          <w:noProof/>
          <w:lang w:val="en-US"/>
        </w:rPr>
        <w:t xml:space="preserve">10.Gerwin, M., R.N. Hotchkiss, and A.J. Weiland, Alternative operative exposures of the posterior aspect of the humeral diaphysis with reference to the radial nerve. J Bone Joint Surg Am, 1996. </w:t>
      </w:r>
      <w:r w:rsidRPr="54240AC5">
        <w:rPr>
          <w:lang w:val="en-US"/>
        </w:rPr>
        <w:t>78</w:t>
      </w:r>
      <w:r w:rsidRPr="00884614">
        <w:rPr>
          <w:noProof/>
          <w:lang w:val="en-US"/>
        </w:rPr>
        <w:t>(11): p. 1690-5.</w:t>
      </w:r>
    </w:p>
    <w:p w:rsidRPr="00884614" w:rsidR="00884614" w:rsidP="005345D5" w:rsidRDefault="00884614" w14:paraId="7E287536" w14:textId="77777777">
      <w:pPr>
        <w:rPr>
          <w:noProof/>
          <w:lang w:val="en-US"/>
        </w:rPr>
      </w:pPr>
      <w:r w:rsidRPr="00884614">
        <w:rPr>
          <w:noProof/>
          <w:lang w:val="en-US"/>
        </w:rPr>
        <w:t>11.</w:t>
      </w:r>
      <w:r>
        <w:tab/>
      </w:r>
      <w:r w:rsidRPr="00884614">
        <w:rPr>
          <w:noProof/>
          <w:lang w:val="en-US"/>
        </w:rPr>
        <w:t xml:space="preserve">Klenerman, L., Fractures of the shaft of the humerus. J Bone Joint Surg Br, 1966. </w:t>
      </w:r>
      <w:r w:rsidRPr="54240AC5">
        <w:rPr>
          <w:lang w:val="en-US"/>
        </w:rPr>
        <w:t>48</w:t>
      </w:r>
      <w:r w:rsidRPr="00884614">
        <w:rPr>
          <w:noProof/>
          <w:lang w:val="en-US"/>
        </w:rPr>
        <w:t>(1): p. 105-11.</w:t>
      </w:r>
    </w:p>
    <w:p w:rsidRPr="00884614" w:rsidR="00884614" w:rsidP="005345D5" w:rsidRDefault="00884614" w14:paraId="71258928" w14:textId="0E941C42">
      <w:pPr>
        <w:rPr>
          <w:noProof/>
          <w:lang w:val="en-US"/>
        </w:rPr>
      </w:pPr>
      <w:r w:rsidRPr="00884614">
        <w:rPr>
          <w:noProof/>
          <w:lang w:val="en-US"/>
        </w:rPr>
        <w:t xml:space="preserve">12.Shields, E., et al., The impact of residual angulation on patient reported functional outcome scores after non-operative treatment for humeral shaft fractures. Injury, 2016. </w:t>
      </w:r>
      <w:r w:rsidRPr="54240AC5">
        <w:rPr>
          <w:lang w:val="en-US"/>
        </w:rPr>
        <w:t>47</w:t>
      </w:r>
      <w:r w:rsidRPr="00884614">
        <w:rPr>
          <w:noProof/>
          <w:lang w:val="en-US"/>
        </w:rPr>
        <w:t>(4): p. 914-8.</w:t>
      </w:r>
    </w:p>
    <w:p w:rsidRPr="00884614" w:rsidR="00884614" w:rsidP="005345D5" w:rsidRDefault="00884614" w14:paraId="480BBD24" w14:textId="2FE752F8">
      <w:pPr>
        <w:rPr>
          <w:noProof/>
          <w:lang w:val="en-US"/>
        </w:rPr>
      </w:pPr>
      <w:r w:rsidRPr="00884614">
        <w:rPr>
          <w:noProof/>
          <w:lang w:val="en-US"/>
        </w:rPr>
        <w:t xml:space="preserve">13.Westrick, E., et al., Humeral shaft fractures: results of operative and non-operative treatment. Int Orthop, 2017. </w:t>
      </w:r>
      <w:r w:rsidRPr="54240AC5">
        <w:rPr>
          <w:lang w:val="en-US"/>
        </w:rPr>
        <w:t>41</w:t>
      </w:r>
      <w:r w:rsidRPr="00884614">
        <w:rPr>
          <w:noProof/>
          <w:lang w:val="en-US"/>
        </w:rPr>
        <w:t>(2): p. 385-395.</w:t>
      </w:r>
    </w:p>
    <w:p w:rsidRPr="00884614" w:rsidR="00884614" w:rsidP="005345D5" w:rsidRDefault="00884614" w14:paraId="0563E06E" w14:textId="73C3284B">
      <w:pPr>
        <w:rPr>
          <w:noProof/>
          <w:lang w:val="en-US"/>
        </w:rPr>
      </w:pPr>
      <w:r w:rsidRPr="00884614">
        <w:rPr>
          <w:noProof/>
          <w:lang w:val="en-US"/>
        </w:rPr>
        <w:t xml:space="preserve">14.Neuhaus, V., et al., Risk factors for fracture mobility six weeks after initiation of brace treatment of mid-diaphyseal humeral fractures. J Bone Joint Surg Am, 2014. </w:t>
      </w:r>
      <w:r w:rsidRPr="54240AC5">
        <w:rPr>
          <w:lang w:val="en-US"/>
        </w:rPr>
        <w:t>96</w:t>
      </w:r>
      <w:r w:rsidRPr="00884614">
        <w:rPr>
          <w:noProof/>
          <w:lang w:val="en-US"/>
        </w:rPr>
        <w:t>(5): p. 403-7.</w:t>
      </w:r>
    </w:p>
    <w:p w:rsidRPr="00884614" w:rsidR="00884614" w:rsidP="005345D5" w:rsidRDefault="00884614" w14:paraId="63A580F9" w14:textId="4F2D5AF5">
      <w:pPr>
        <w:rPr>
          <w:noProof/>
          <w:lang w:val="en-US"/>
        </w:rPr>
      </w:pPr>
      <w:r w:rsidRPr="00884614">
        <w:rPr>
          <w:noProof/>
          <w:lang w:val="en-US"/>
        </w:rPr>
        <w:t xml:space="preserve">15.Cadet, E.R., et al., Proximal humerus and humeral shaft nonunions. J Am Acad Orthop Surg, 2013. </w:t>
      </w:r>
      <w:r w:rsidRPr="54240AC5">
        <w:rPr>
          <w:lang w:val="en-US"/>
        </w:rPr>
        <w:t>21</w:t>
      </w:r>
      <w:r w:rsidRPr="00884614">
        <w:rPr>
          <w:noProof/>
          <w:lang w:val="en-US"/>
        </w:rPr>
        <w:t>(9): p. 538-47.</w:t>
      </w:r>
    </w:p>
    <w:p w:rsidRPr="00884614" w:rsidR="00884614" w:rsidP="005345D5" w:rsidRDefault="00884614" w14:paraId="5F51C651" w14:textId="1F647621">
      <w:pPr>
        <w:rPr>
          <w:noProof/>
          <w:lang w:val="en-US"/>
        </w:rPr>
      </w:pPr>
      <w:r w:rsidRPr="00884614">
        <w:rPr>
          <w:noProof/>
          <w:lang w:val="en-US"/>
        </w:rPr>
        <w:t xml:space="preserve">16.Broadbent, M.R., E. Will, and M.M. McQueen, Prediction of outcome after humeral diaphyseal fracture. Injury, 2010. </w:t>
      </w:r>
      <w:r w:rsidRPr="54240AC5">
        <w:rPr>
          <w:lang w:val="en-US"/>
        </w:rPr>
        <w:t>41</w:t>
      </w:r>
      <w:r w:rsidRPr="00884614">
        <w:rPr>
          <w:noProof/>
          <w:lang w:val="en-US"/>
        </w:rPr>
        <w:t>(6): p. 572-7.</w:t>
      </w:r>
    </w:p>
    <w:p w:rsidRPr="00884614" w:rsidR="00884614" w:rsidP="005345D5" w:rsidRDefault="00884614" w14:paraId="5F3206E9" w14:textId="05E18102">
      <w:pPr>
        <w:rPr>
          <w:noProof/>
          <w:lang w:val="en-US"/>
        </w:rPr>
      </w:pPr>
      <w:r w:rsidRPr="00884614">
        <w:rPr>
          <w:noProof/>
          <w:lang w:val="en-US"/>
        </w:rPr>
        <w:t xml:space="preserve">17.Driesman, A.S., et al., Fracture Site Mobility at 6 Weeks After Humeral Shaft Fracture Predicts Nonunion Without Surgery. J Orthop Trauma, 2017. </w:t>
      </w:r>
      <w:r w:rsidRPr="54240AC5">
        <w:rPr>
          <w:lang w:val="en-US"/>
        </w:rPr>
        <w:t>31</w:t>
      </w:r>
      <w:r w:rsidRPr="00884614">
        <w:rPr>
          <w:noProof/>
          <w:lang w:val="en-US"/>
        </w:rPr>
        <w:t>(12): p. 657-662.</w:t>
      </w:r>
    </w:p>
    <w:p w:rsidRPr="00884614" w:rsidR="00884614" w:rsidP="005345D5" w:rsidRDefault="00884614" w14:paraId="1D4011A8" w14:textId="2C17D7B7">
      <w:pPr>
        <w:rPr>
          <w:noProof/>
          <w:lang w:val="en-US"/>
        </w:rPr>
      </w:pPr>
      <w:r w:rsidRPr="00884614">
        <w:rPr>
          <w:noProof/>
          <w:lang w:val="en-US"/>
        </w:rPr>
        <w:t xml:space="preserve">18.Ramo, L., et al., Open reduction and internal fixation of humeral shaft fractures versus conservative treatment with a functional brace: a study protocol of a randomised controlled trial embedded in a cohort. BMJ Open, 2017. </w:t>
      </w:r>
      <w:r w:rsidRPr="54240AC5">
        <w:rPr>
          <w:lang w:val="en-US"/>
        </w:rPr>
        <w:t>7</w:t>
      </w:r>
      <w:r w:rsidRPr="00884614">
        <w:rPr>
          <w:noProof/>
          <w:lang w:val="en-US"/>
        </w:rPr>
        <w:t>(7): p. e014076.</w:t>
      </w:r>
    </w:p>
    <w:p w:rsidRPr="00884614" w:rsidR="00884614" w:rsidP="005345D5" w:rsidRDefault="00884614" w14:paraId="3DF21AEB" w14:textId="2212E1CC">
      <w:pPr>
        <w:rPr>
          <w:noProof/>
          <w:lang w:val="en-GB"/>
        </w:rPr>
      </w:pPr>
      <w:r w:rsidRPr="00884614">
        <w:rPr>
          <w:noProof/>
          <w:lang w:val="en-US"/>
        </w:rPr>
        <w:t xml:space="preserve">19.Peters, R.M., et al., Union rate after operative treatment of humeral shaft nonunion--A systematic review. </w:t>
      </w:r>
      <w:r w:rsidRPr="00884614">
        <w:rPr>
          <w:noProof/>
          <w:lang w:val="en-GB"/>
        </w:rPr>
        <w:t xml:space="preserve">Injury, 2015. </w:t>
      </w:r>
      <w:r w:rsidRPr="54240AC5">
        <w:rPr>
          <w:lang w:val="en-GB"/>
        </w:rPr>
        <w:t>46</w:t>
      </w:r>
      <w:r w:rsidRPr="00884614">
        <w:rPr>
          <w:noProof/>
          <w:lang w:val="en-GB"/>
        </w:rPr>
        <w:t>(12): p. 2314-24.</w:t>
      </w:r>
    </w:p>
    <w:p w:rsidRPr="00884614" w:rsidR="00884614" w:rsidP="005345D5" w:rsidRDefault="00884614" w14:paraId="0BFF8EC1" w14:textId="3E7902D1">
      <w:pPr>
        <w:rPr>
          <w:noProof/>
          <w:lang w:val="en-GB"/>
        </w:rPr>
      </w:pPr>
      <w:r w:rsidRPr="00884614">
        <w:rPr>
          <w:noProof/>
          <w:lang w:val="en-US"/>
        </w:rPr>
        <w:t xml:space="preserve">20.Denard, A., Jr., et al., Outcome of nonoperative vs operative treatment of humeral shaft fractures: a retrospective study of 213 patients. </w:t>
      </w:r>
      <w:r w:rsidRPr="00884614">
        <w:rPr>
          <w:noProof/>
          <w:lang w:val="en-GB"/>
        </w:rPr>
        <w:t xml:space="preserve">Orthopedics, 2010. </w:t>
      </w:r>
      <w:r w:rsidRPr="54240AC5">
        <w:rPr>
          <w:lang w:val="en-GB"/>
        </w:rPr>
        <w:t>33</w:t>
      </w:r>
      <w:r w:rsidRPr="00884614">
        <w:rPr>
          <w:noProof/>
          <w:lang w:val="en-GB"/>
        </w:rPr>
        <w:t>(8).</w:t>
      </w:r>
    </w:p>
    <w:p w:rsidRPr="00884614" w:rsidR="00884614" w:rsidP="005345D5" w:rsidRDefault="00884614" w14:paraId="66142C5F" w14:textId="32E248B3">
      <w:pPr>
        <w:rPr>
          <w:noProof/>
          <w:lang w:val="en-US"/>
        </w:rPr>
      </w:pPr>
      <w:r w:rsidRPr="00884614">
        <w:rPr>
          <w:noProof/>
          <w:lang w:val="en-US"/>
        </w:rPr>
        <w:t xml:space="preserve">21.Shao, Y.C., et al., Radial nerve palsy associated with fractures of the shaft of the humerus: a systematic review. J Bone Joint Surg Br, 2005. </w:t>
      </w:r>
      <w:r w:rsidRPr="54240AC5">
        <w:rPr>
          <w:lang w:val="en-US"/>
        </w:rPr>
        <w:t>87</w:t>
      </w:r>
      <w:r w:rsidRPr="00884614">
        <w:rPr>
          <w:noProof/>
          <w:lang w:val="en-US"/>
        </w:rPr>
        <w:t>(12): p. 1647-52.</w:t>
      </w:r>
    </w:p>
    <w:p w:rsidRPr="00884614" w:rsidR="00884614" w:rsidP="005345D5" w:rsidRDefault="00884614" w14:paraId="2EF72370" w14:textId="17F1A25C">
      <w:pPr>
        <w:rPr>
          <w:noProof/>
          <w:lang w:val="en-US"/>
        </w:rPr>
      </w:pPr>
      <w:r w:rsidRPr="00884614">
        <w:rPr>
          <w:noProof/>
          <w:lang w:val="en-US"/>
        </w:rPr>
        <w:t xml:space="preserve">22.Robinson, L.R., Traumatic injury to peripheral nerves. Muscle Nerve, 2000. </w:t>
      </w:r>
      <w:r w:rsidRPr="54240AC5">
        <w:rPr>
          <w:lang w:val="en-US"/>
        </w:rPr>
        <w:t>23</w:t>
      </w:r>
      <w:r w:rsidRPr="00884614">
        <w:rPr>
          <w:noProof/>
          <w:lang w:val="en-US"/>
        </w:rPr>
        <w:t>(6): p. 863-73.</w:t>
      </w:r>
    </w:p>
    <w:p w:rsidRPr="00884614" w:rsidR="00884614" w:rsidP="005345D5" w:rsidRDefault="00884614" w14:paraId="5A173AE1" w14:textId="4DE36015">
      <w:pPr>
        <w:rPr>
          <w:noProof/>
          <w:lang w:val="en-US"/>
        </w:rPr>
      </w:pPr>
      <w:r w:rsidRPr="00884614">
        <w:rPr>
          <w:noProof/>
          <w:lang w:val="en-US"/>
        </w:rPr>
        <w:t xml:space="preserve">23.Claessen, F.M., et al., Factors associated with radial nerve palsy after operative treatment of diaphyseal humeral shaft fractures. J Shoulder Elbow Surg, 2015. </w:t>
      </w:r>
      <w:r w:rsidRPr="54240AC5">
        <w:rPr>
          <w:lang w:val="en-US"/>
        </w:rPr>
        <w:t>24</w:t>
      </w:r>
      <w:r w:rsidRPr="00884614">
        <w:rPr>
          <w:noProof/>
          <w:lang w:val="en-US"/>
        </w:rPr>
        <w:t>(11): p. e307-11.</w:t>
      </w:r>
    </w:p>
    <w:p w:rsidRPr="00884614" w:rsidR="00884614" w:rsidP="005345D5" w:rsidRDefault="00884614" w14:paraId="483AB69C" w14:textId="62287954">
      <w:pPr>
        <w:rPr>
          <w:noProof/>
        </w:rPr>
      </w:pPr>
      <w:r w:rsidRPr="00884614">
        <w:rPr>
          <w:noProof/>
          <w:lang w:val="en-US"/>
        </w:rPr>
        <w:t xml:space="preserve">24.Lang, N.W., et al., Retrospective case series with one year follow-up after radial nerve palsy associated with humeral fractures. </w:t>
      </w:r>
      <w:r w:rsidRPr="00884614">
        <w:rPr>
          <w:noProof/>
        </w:rPr>
        <w:t xml:space="preserve">Int Orthop, 2017. </w:t>
      </w:r>
      <w:r w:rsidRPr="54240AC5">
        <w:t>41</w:t>
      </w:r>
      <w:r w:rsidRPr="00884614">
        <w:rPr>
          <w:noProof/>
        </w:rPr>
        <w:t>(1): p. 191-196.</w:t>
      </w:r>
    </w:p>
    <w:p w:rsidRPr="00237E1C" w:rsidR="00536A5A" w:rsidP="54240AC5" w:rsidRDefault="00536A5A" w14:paraId="7ECF9B8B" w14:textId="77777777"/>
    <w:p w:rsidR="54240AC5" w:rsidP="54240AC5" w:rsidRDefault="54240AC5" w14:paraId="19F3E96A" w14:textId="4EEB0046"/>
    <w:p w:rsidR="54240AC5" w:rsidP="54240AC5" w:rsidRDefault="54240AC5" w14:paraId="50BF4228" w14:textId="0CE63A45"/>
    <w:p w:rsidRPr="00237E1C" w:rsidR="00536A5A" w:rsidP="005345D5" w:rsidRDefault="00884614" w14:paraId="2B251B86" w14:textId="216BC09F">
      <w:r w:rsidRPr="00884614">
        <w:fldChar w:fldCharType="end"/>
      </w:r>
      <w:bookmarkEnd w:id="0"/>
    </w:p>
    <w:sectPr w:rsidRPr="00237E1C" w:rsidR="00536A5A" w:rsidSect="0088461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B0D69" w:rsidRDefault="004B0D69" w14:paraId="13EDD4A7" w14:textId="77777777">
      <w:r>
        <w:separator/>
      </w:r>
    </w:p>
  </w:endnote>
  <w:endnote w:type="continuationSeparator" w:id="0">
    <w:p w:rsidR="004B0D69" w:rsidRDefault="004B0D69" w14:paraId="78324827" w14:textId="77777777">
      <w:r>
        <w:continuationSeparator/>
      </w:r>
    </w:p>
  </w:endnote>
  <w:endnote w:type="continuationNotice" w:id="1">
    <w:p w:rsidR="004B0D69" w:rsidRDefault="004B0D69" w14:paraId="74ABA29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6" name="Bildobjekt 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B0D69" w:rsidRDefault="004B0D69" w14:paraId="23455942" w14:textId="77777777"/>
  </w:footnote>
  <w:footnote w:type="continuationSeparator" w:id="0">
    <w:p w:rsidR="004B0D69" w:rsidRDefault="004B0D69" w14:paraId="19E778AA" w14:textId="77777777">
      <w:r>
        <w:continuationSeparator/>
      </w:r>
    </w:p>
  </w:footnote>
  <w:footnote w:type="continuationNotice" w:id="1">
    <w:p w:rsidR="004B0D69" w:rsidRDefault="004B0D69" w14:paraId="69558E2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710D75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750E6B1">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ZL0F2JFCVmFEvO" int2:id="A6Mra1Pb">
      <int2:state int2:type="spell" int2:value="Rejected"/>
    </int2:textHash>
    <int2:textHash int2:hashCode="6VaUD2Wtt7vGbE" int2:id="0QUDUGpg">
      <int2:state int2:type="spell" int2:value="Rejected"/>
    </int2:textHash>
    <int2:textHash int2:hashCode="2dEpZAFW4oCf88" int2:id="0VGhHxfT">
      <int2:state int2:type="spell" int2:value="Rejected"/>
    </int2:textHash>
    <int2:textHash int2:hashCode="YrN2Bob9CdqxSg" int2:id="1QEdPQNf">
      <int2:state int2:type="spell" int2:value="Rejected"/>
    </int2:textHash>
    <int2:textHash int2:hashCode="GtScbyiDGdCwTX" int2:id="2Ux73NQM">
      <int2:state int2:type="spell" int2:value="Rejected"/>
    </int2:textHash>
    <int2:textHash int2:hashCode="D5GQOgiZ6gNZej" int2:id="2qp7E1dG">
      <int2:state int2:type="spell" int2:value="Rejected"/>
    </int2:textHash>
    <int2:textHash int2:hashCode="jioJWtaGGGqEuC" int2:id="3rxiksYO">
      <int2:state int2:type="spell" int2:value="Rejected"/>
    </int2:textHash>
    <int2:textHash int2:hashCode="oYtLLau/bkxID4" int2:id="3thPfQgU">
      <int2:state int2:type="spell" int2:value="Rejected"/>
    </int2:textHash>
    <int2:textHash int2:hashCode="r+8Pdkv5O/Z5rQ" int2:id="4VSaDZ0o">
      <int2:state int2:type="spell" int2:value="Rejected"/>
    </int2:textHash>
    <int2:textHash int2:hashCode="LEer2tQR7GG/+B" int2:id="4olmKRYJ">
      <int2:state int2:type="spell" int2:value="Rejected"/>
    </int2:textHash>
    <int2:textHash int2:hashCode="AJxxjP4pHRl8u4" int2:id="4opQURkH">
      <int2:state int2:type="spell" int2:value="Rejected"/>
    </int2:textHash>
    <int2:textHash int2:hashCode="w88FJ1mNGatjW6" int2:id="6YHU0Pa7">
      <int2:state int2:type="spell" int2:value="Rejected"/>
    </int2:textHash>
    <int2:textHash int2:hashCode="647MIXp2ksvzvI" int2:id="6c3f5nUD">
      <int2:state int2:type="spell" int2:value="Rejected"/>
    </int2:textHash>
    <int2:textHash int2:hashCode="a6HGlbu4lE2onv" int2:id="zcChffva">
      <int2:state int2:type="spell" int2:value="Rejected"/>
    </int2:textHash>
    <int2:textHash int2:hashCode="8SCOrpmVHf/jjJ" int2:id="6wGLUmOM">
      <int2:state int2:type="spell" int2:value="Rejected"/>
    </int2:textHash>
    <int2:textHash int2:hashCode="aJh2ffp0WIa7rV" int2:id="71Eh0yB9">
      <int2:state int2:type="spell" int2:value="Rejected"/>
    </int2:textHash>
    <int2:textHash int2:hashCode="D7qc5QBxylBxn4" int2:id="7Q02DYuV">
      <int2:state int2:type="spell" int2:value="Rejected"/>
    </int2:textHash>
    <int2:textHash int2:hashCode="Gp4PDQiSE9BWKQ" int2:id="86iCGBLG">
      <int2:state int2:type="spell" int2:value="Rejected"/>
    </int2:textHash>
    <int2:textHash int2:hashCode="8cbyqYgJbS9zL4" int2:id="8Kb0FwjM">
      <int2:state int2:type="spell" int2:value="Rejected"/>
    </int2:textHash>
    <int2:textHash int2:hashCode="K+m62wTgyi3uc+" int2:id="8L1vToNJ">
      <int2:state int2:type="spell" int2:value="Rejected"/>
    </int2:textHash>
    <int2:textHash int2:hashCode="hdLKQOKtG99eiB" int2:id="8zNvfc7E">
      <int2:state int2:type="spell" int2:value="Rejected"/>
    </int2:textHash>
    <int2:textHash int2:hashCode="e8zT5sdARm0Qks" int2:id="9fRLQDLu">
      <int2:state int2:type="spell" int2:value="Rejected"/>
    </int2:textHash>
    <int2:textHash int2:hashCode="OMqPItOo3WU8K8" int2:id="9yGv7Sm0">
      <int2:state int2:type="spell" int2:value="Rejected"/>
    </int2:textHash>
    <int2:textHash int2:hashCode="HYJavVgVdVSMT+" int2:id="BmoFkNtT">
      <int2:state int2:type="spell" int2:value="Rejected"/>
    </int2:textHash>
    <int2:textHash int2:hashCode="Xo+kLAH49onRL/" int2:id="CLMljPFA">
      <int2:state int2:type="spell" int2:value="Rejected"/>
    </int2:textHash>
    <int2:textHash int2:hashCode="Mg6Du9Fsh4cZQL" int2:id="Cju763zd">
      <int2:state int2:type="spell" int2:value="Rejected"/>
    </int2:textHash>
    <int2:textHash int2:hashCode="FB1H8M0cJwnYuZ" int2:id="DAz6UeS4">
      <int2:state int2:type="spell" int2:value="Rejected"/>
    </int2:textHash>
    <int2:textHash int2:hashCode="DV/rGWQoImbWa+" int2:id="E8wIVEaU">
      <int2:state int2:type="spell" int2:value="Rejected"/>
    </int2:textHash>
    <int2:textHash int2:hashCode="LX2ilOj2FZtRzZ" int2:id="EHtvmw4I">
      <int2:state int2:type="spell" int2:value="Rejected"/>
    </int2:textHash>
    <int2:textHash int2:hashCode="vdDr+mfUifW37X" int2:id="FMxeQbL0">
      <int2:state int2:type="spell" int2:value="Rejected"/>
    </int2:textHash>
    <int2:textHash int2:hashCode="A1rugjBtNR19Vh" int2:id="GNaKyMjB">
      <int2:state int2:type="spell" int2:value="Rejected"/>
    </int2:textHash>
    <int2:textHash int2:hashCode="C75CPwX5JkRDnT" int2:id="HV7kVRSo">
      <int2:state int2:type="spell" int2:value="Rejected"/>
    </int2:textHash>
    <int2:textHash int2:hashCode="E9R4doGG+85+e6" int2:id="IFFMHFcC">
      <int2:state int2:type="spell" int2:value="Rejected"/>
    </int2:textHash>
    <int2:textHash int2:hashCode="dliyd1dJBkUble" int2:id="K9FUSk8l">
      <int2:state int2:type="spell" int2:value="Rejected"/>
    </int2:textHash>
    <int2:textHash int2:hashCode="EBGYmAflQh1Qc9" int2:id="KGQJRv7a">
      <int2:state int2:type="spell" int2:value="Rejected"/>
    </int2:textHash>
    <int2:textHash int2:hashCode="XPVZrHSyDeX94V" int2:id="Kk5gHCYT">
      <int2:state int2:type="spell" int2:value="Rejected"/>
    </int2:textHash>
    <int2:textHash int2:hashCode="iaB2iJxFJ/ytDs" int2:id="LEyte4sL">
      <int2:state int2:type="spell" int2:value="Rejected"/>
    </int2:textHash>
    <int2:textHash int2:hashCode="WUC7EHtPFrIUt3" int2:id="M1BPUd04">
      <int2:state int2:type="spell" int2:value="Rejected"/>
    </int2:textHash>
    <int2:textHash int2:hashCode="58oNnsp9zGTaZU" int2:id="MhtG7NS7">
      <int2:state int2:type="spell" int2:value="Rejected"/>
    </int2:textHash>
    <int2:textHash int2:hashCode="S53GJvTZVxkVfG" int2:id="N7QvCGUj">
      <int2:state int2:type="spell" int2:value="Rejected"/>
    </int2:textHash>
    <int2:textHash int2:hashCode="KdMutfQLO3Tmh/" int2:id="NNA4gngG">
      <int2:state int2:type="spell" int2:value="Rejected"/>
    </int2:textHash>
    <int2:textHash int2:hashCode="XHMdHeYBKESIVB" int2:id="PCjCfBn9">
      <int2:state int2:type="spell" int2:value="Rejected"/>
    </int2:textHash>
    <int2:textHash int2:hashCode="Ow3KXvTummeU3L" int2:id="Q5y9IZMX">
      <int2:state int2:type="spell" int2:value="Rejected"/>
    </int2:textHash>
    <int2:textHash int2:hashCode="wFn4LoJsHCXKLc" int2:id="QIcjIJ3b">
      <int2:state int2:type="spell" int2:value="Rejected"/>
    </int2:textHash>
    <int2:textHash int2:hashCode="BbNiL9YYjRlQVC" int2:id="RNAmrJMN">
      <int2:state int2:type="spell" int2:value="Rejected"/>
    </int2:textHash>
    <int2:textHash int2:hashCode="245CMH98diutI2" int2:id="SL1TCY1H">
      <int2:state int2:type="spell" int2:value="Rejected"/>
    </int2:textHash>
    <int2:textHash int2:hashCode="4bM1+1MT7zocQb" int2:id="SNql5e8z">
      <int2:state int2:type="spell" int2:value="Rejected"/>
    </int2:textHash>
    <int2:textHash int2:hashCode="vebcC4UoGbOqZo" int2:id="VTWjWwak">
      <int2:state int2:type="spell" int2:value="Rejected"/>
    </int2:textHash>
    <int2:textHash int2:hashCode="ak6SL0lwZvWnLA" int2:id="WNrHDhMD">
      <int2:state int2:type="spell" int2:value="Rejected"/>
    </int2:textHash>
    <int2:textHash int2:hashCode="8OMRWUZkjWb3i4" int2:id="ZeG4vSWt">
      <int2:state int2:type="spell" int2:value="Rejected"/>
    </int2:textHash>
    <int2:textHash int2:hashCode="OPalYgqCOSL8vO" int2:id="aTzyD9vw">
      <int2:state int2:type="spell" int2:value="Rejected"/>
    </int2:textHash>
    <int2:textHash int2:hashCode="bOJCMIT04X37fJ" int2:id="arwLbIwT">
      <int2:state int2:type="spell" int2:value="Rejected"/>
    </int2:textHash>
    <int2:textHash int2:hashCode="iWjpnohDblniTR" int2:id="b7ibLnOh">
      <int2:state int2:type="spell" int2:value="Rejected"/>
    </int2:textHash>
    <int2:textHash int2:hashCode="5m8yNEVrnRZxBc" int2:id="bS5K4AwI">
      <int2:state int2:type="spell" int2:value="Rejected"/>
    </int2:textHash>
    <int2:textHash int2:hashCode="FoFqMHCLbqYCuU" int2:id="bYEJxTVb">
      <int2:state int2:type="spell" int2:value="Rejected"/>
    </int2:textHash>
    <int2:textHash int2:hashCode="CUw3I7bjp1FEkN" int2:id="cFwyu1wg">
      <int2:state int2:type="spell" int2:value="Rejected"/>
    </int2:textHash>
    <int2:textHash int2:hashCode="EF1kEhi3LIEhWZ" int2:id="cm6c81a6">
      <int2:state int2:type="spell" int2:value="Rejected"/>
    </int2:textHash>
    <int2:textHash int2:hashCode="BEkQux9g536/X9" int2:id="dgNtQi0h">
      <int2:state int2:type="spell" int2:value="Rejected"/>
    </int2:textHash>
    <int2:textHash int2:hashCode="iOtA6ttF1bl4BF" int2:id="enYsKqZO">
      <int2:state int2:type="spell" int2:value="Rejected"/>
    </int2:textHash>
    <int2:textHash int2:hashCode="j6ZD2SRYYGPvGS" int2:id="epGRjFJ8">
      <int2:state int2:type="spell" int2:value="Rejected"/>
    </int2:textHash>
    <int2:textHash int2:hashCode="Byld4Y6yh2OPkv" int2:id="fhvIaaVa">
      <int2:state int2:type="spell" int2:value="Rejected"/>
    </int2:textHash>
    <int2:textHash int2:hashCode="yn5fuMVwSVjKI7" int2:id="gxSsIObj">
      <int2:state int2:type="spell" int2:value="Rejected"/>
    </int2:textHash>
    <int2:textHash int2:hashCode="7NTx6ektMR6pj3" int2:id="hZBEoooR">
      <int2:state int2:type="spell" int2:value="Rejected"/>
    </int2:textHash>
    <int2:textHash int2:hashCode="gJwxaymJOUrcZK" int2:id="hn8UsiPE">
      <int2:state int2:type="spell" int2:value="Rejected"/>
    </int2:textHash>
    <int2:textHash int2:hashCode="g64WUQLEQhxViY" int2:id="jERvaiSW">
      <int2:state int2:type="spell" int2:value="Rejected"/>
    </int2:textHash>
    <int2:textHash int2:hashCode="IaSCCEhvL7gV1l" int2:id="jdEiOGVg">
      <int2:state int2:type="spell" int2:value="Rejected"/>
    </int2:textHash>
    <int2:textHash int2:hashCode="Ty/zzRlYUS15yh" int2:id="jh7vQc2p">
      <int2:state int2:type="spell" int2:value="Rejected"/>
    </int2:textHash>
    <int2:textHash int2:hashCode="OxAoEiuOXy4ttt" int2:id="k5SJOxCu">
      <int2:state int2:type="spell" int2:value="Rejected"/>
    </int2:textHash>
    <int2:textHash int2:hashCode="hu+bj0vMC9FvKV" int2:id="nPMuYc4d">
      <int2:state int2:type="spell" int2:value="Rejected"/>
    </int2:textHash>
    <int2:textHash int2:hashCode="bx51DqqE0DK5GO" int2:id="oFOQ1n99">
      <int2:state int2:type="spell" int2:value="Rejected"/>
    </int2:textHash>
    <int2:textHash int2:hashCode="cD5/8Az54pqk37" int2:id="qKfPQ7s5">
      <int2:state int2:type="spell" int2:value="Rejected"/>
    </int2:textHash>
    <int2:textHash int2:hashCode="baSPOYXYfRiUxG" int2:id="qcUJX6tH">
      <int2:state int2:type="spell" int2:value="Rejected"/>
    </int2:textHash>
    <int2:textHash int2:hashCode="YBg6e0Dv7povhr" int2:id="rftbLfnQ">
      <int2:state int2:type="spell" int2:value="Rejected"/>
    </int2:textHash>
    <int2:textHash int2:hashCode="gXGdGzimq9RIgN" int2:id="rhoqrEI7">
      <int2:state int2:type="spell" int2:value="Rejected"/>
    </int2:textHash>
    <int2:textHash int2:hashCode="fyJnyou8grwk0G" int2:id="sPwMWCOy">
      <int2:state int2:type="spell" int2:value="Rejected"/>
    </int2:textHash>
    <int2:textHash int2:hashCode="FN1OtmpOl5DUdZ" int2:id="sXbBHzIt">
      <int2:state int2:type="spell" int2:value="Rejected"/>
    </int2:textHash>
    <int2:textHash int2:hashCode="Pk6xU6ObLwkqJy" int2:id="t03cpwwZ">
      <int2:state int2:type="spell" int2:value="Rejected"/>
    </int2:textHash>
    <int2:textHash int2:hashCode="XGn2Ht9QkAFlQ0" int2:id="u7RQsp8j">
      <int2:state int2:type="spell" int2:value="Rejected"/>
    </int2:textHash>
    <int2:textHash int2:hashCode="Y0scfLs6mzKgYQ" int2:id="uFdK5p5n">
      <int2:state int2:type="spell" int2:value="Rejected"/>
    </int2:textHash>
    <int2:textHash int2:hashCode="kw9q6MMqSsWgOA" int2:id="v0Vpspg9">
      <int2:state int2:type="spell" int2:value="Rejected"/>
    </int2:textHash>
    <int2:textHash int2:hashCode="+W7yVDqR5FZK0n" int2:id="vaqrZmH8">
      <int2:state int2:type="spell" int2:value="Rejected"/>
    </int2:textHash>
    <int2:textHash int2:hashCode="gDUmAz6i0wR/4b" int2:id="wJ9RSBiy">
      <int2:state int2:type="spell" int2:value="Rejected"/>
    </int2:textHash>
    <int2:textHash int2:hashCode="Dh3f52H0TykQN7" int2:id="xkDHFcO2">
      <int2:state int2:type="spell" int2:value="Rejected"/>
    </int2:textHash>
    <int2:textHash int2:hashCode="ISmN+KMnc1fuVb" int2:id="yptzp1L3">
      <int2:state int2:type="spell" int2:value="Rejected"/>
    </int2:textHash>
    <int2:textHash int2:hashCode="939PNAHDTX1S93" int2:id="zNq5Lknj">
      <int2:state int2:type="spell" int2:value="Rejected"/>
    </int2:textHash>
    <int2:bookmark int2:bookmarkName="_Int_auU9zfo0" int2:invalidationBookmarkName="" int2:hashCode="IViEGYKrCnGEeb" int2:id="sv67SLA8">
      <int2:state int2:type="gram"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A45DB0"/>
    <w:multiLevelType w:val="hybridMultilevel"/>
    <w:tmpl w:val="91725294"/>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9" w15:restartNumberingAfterBreak="0">
    <w:nsid w:val="32134237"/>
    <w:multiLevelType w:val="hybridMultilevel"/>
    <w:tmpl w:val="040EE70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A6DAB7B"/>
    <w:multiLevelType w:val="hybridMultilevel"/>
    <w:tmpl w:val="A0AEA9C8"/>
    <w:lvl w:ilvl="0" w:tplc="ED3A8192">
      <w:start w:val="1"/>
      <w:numFmt w:val="lowerLetter"/>
      <w:lvlText w:val="%1)"/>
      <w:lvlJc w:val="left"/>
      <w:pPr>
        <w:ind w:left="1352" w:hanging="360"/>
      </w:pPr>
    </w:lvl>
    <w:lvl w:ilvl="1" w:tplc="5264291E">
      <w:start w:val="1"/>
      <w:numFmt w:val="lowerLetter"/>
      <w:lvlText w:val="%2."/>
      <w:lvlJc w:val="left"/>
      <w:pPr>
        <w:ind w:left="2072" w:hanging="360"/>
      </w:pPr>
    </w:lvl>
    <w:lvl w:ilvl="2" w:tplc="BC86E4DE">
      <w:start w:val="1"/>
      <w:numFmt w:val="lowerRoman"/>
      <w:lvlText w:val="%3."/>
      <w:lvlJc w:val="right"/>
      <w:pPr>
        <w:ind w:left="2792" w:hanging="180"/>
      </w:pPr>
    </w:lvl>
    <w:lvl w:ilvl="3" w:tplc="CFDA61D0">
      <w:start w:val="1"/>
      <w:numFmt w:val="decimal"/>
      <w:lvlText w:val="%4."/>
      <w:lvlJc w:val="left"/>
      <w:pPr>
        <w:ind w:left="3512" w:hanging="360"/>
      </w:pPr>
    </w:lvl>
    <w:lvl w:ilvl="4" w:tplc="C89A6C52">
      <w:start w:val="1"/>
      <w:numFmt w:val="lowerLetter"/>
      <w:lvlText w:val="%5."/>
      <w:lvlJc w:val="left"/>
      <w:pPr>
        <w:ind w:left="4232" w:hanging="360"/>
      </w:pPr>
    </w:lvl>
    <w:lvl w:ilvl="5" w:tplc="E97CBF80">
      <w:start w:val="1"/>
      <w:numFmt w:val="lowerRoman"/>
      <w:lvlText w:val="%6."/>
      <w:lvlJc w:val="right"/>
      <w:pPr>
        <w:ind w:left="4952" w:hanging="180"/>
      </w:pPr>
    </w:lvl>
    <w:lvl w:ilvl="6" w:tplc="3E0E0FCC">
      <w:start w:val="1"/>
      <w:numFmt w:val="decimal"/>
      <w:lvlText w:val="%7."/>
      <w:lvlJc w:val="left"/>
      <w:pPr>
        <w:ind w:left="5672" w:hanging="360"/>
      </w:pPr>
    </w:lvl>
    <w:lvl w:ilvl="7" w:tplc="882EE990">
      <w:start w:val="1"/>
      <w:numFmt w:val="lowerLetter"/>
      <w:lvlText w:val="%8."/>
      <w:lvlJc w:val="left"/>
      <w:pPr>
        <w:ind w:left="6392" w:hanging="360"/>
      </w:pPr>
    </w:lvl>
    <w:lvl w:ilvl="8" w:tplc="F926EABE">
      <w:start w:val="1"/>
      <w:numFmt w:val="lowerRoman"/>
      <w:lvlText w:val="%9."/>
      <w:lvlJc w:val="right"/>
      <w:pPr>
        <w:ind w:left="7112" w:hanging="180"/>
      </w:p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3DC57BEC"/>
    <w:multiLevelType w:val="hybridMultilevel"/>
    <w:tmpl w:val="0BB20CEC"/>
    <w:lvl w:ilvl="0" w:tplc="A3EC04BC">
      <w:start w:val="1"/>
      <w:numFmt w:val="lowerLetter"/>
      <w:lvlText w:val="%1)"/>
      <w:lvlJc w:val="left"/>
      <w:pPr>
        <w:ind w:left="1892" w:hanging="360"/>
      </w:pPr>
      <w:rPr>
        <w:rFonts w:hint="default"/>
      </w:rPr>
    </w:lvl>
    <w:lvl w:ilvl="1" w:tplc="041D0019" w:tentative="1">
      <w:start w:val="1"/>
      <w:numFmt w:val="lowerLetter"/>
      <w:lvlText w:val="%2."/>
      <w:lvlJc w:val="left"/>
      <w:pPr>
        <w:ind w:left="2612" w:hanging="360"/>
      </w:pPr>
    </w:lvl>
    <w:lvl w:ilvl="2" w:tplc="041D001B" w:tentative="1">
      <w:start w:val="1"/>
      <w:numFmt w:val="lowerRoman"/>
      <w:lvlText w:val="%3."/>
      <w:lvlJc w:val="right"/>
      <w:pPr>
        <w:ind w:left="3332" w:hanging="180"/>
      </w:pPr>
    </w:lvl>
    <w:lvl w:ilvl="3" w:tplc="041D000F" w:tentative="1">
      <w:start w:val="1"/>
      <w:numFmt w:val="decimal"/>
      <w:lvlText w:val="%4."/>
      <w:lvlJc w:val="left"/>
      <w:pPr>
        <w:ind w:left="4052" w:hanging="360"/>
      </w:pPr>
    </w:lvl>
    <w:lvl w:ilvl="4" w:tplc="041D0019" w:tentative="1">
      <w:start w:val="1"/>
      <w:numFmt w:val="lowerLetter"/>
      <w:lvlText w:val="%5."/>
      <w:lvlJc w:val="left"/>
      <w:pPr>
        <w:ind w:left="4772" w:hanging="360"/>
      </w:pPr>
    </w:lvl>
    <w:lvl w:ilvl="5" w:tplc="041D001B" w:tentative="1">
      <w:start w:val="1"/>
      <w:numFmt w:val="lowerRoman"/>
      <w:lvlText w:val="%6."/>
      <w:lvlJc w:val="right"/>
      <w:pPr>
        <w:ind w:left="5492" w:hanging="180"/>
      </w:pPr>
    </w:lvl>
    <w:lvl w:ilvl="6" w:tplc="041D000F" w:tentative="1">
      <w:start w:val="1"/>
      <w:numFmt w:val="decimal"/>
      <w:lvlText w:val="%7."/>
      <w:lvlJc w:val="left"/>
      <w:pPr>
        <w:ind w:left="6212" w:hanging="360"/>
      </w:pPr>
    </w:lvl>
    <w:lvl w:ilvl="7" w:tplc="041D0019" w:tentative="1">
      <w:start w:val="1"/>
      <w:numFmt w:val="lowerLetter"/>
      <w:lvlText w:val="%8."/>
      <w:lvlJc w:val="left"/>
      <w:pPr>
        <w:ind w:left="6932" w:hanging="360"/>
      </w:pPr>
    </w:lvl>
    <w:lvl w:ilvl="8" w:tplc="041D001B" w:tentative="1">
      <w:start w:val="1"/>
      <w:numFmt w:val="lowerRoman"/>
      <w:lvlText w:val="%9."/>
      <w:lvlJc w:val="right"/>
      <w:pPr>
        <w:ind w:left="7652" w:hanging="180"/>
      </w:pPr>
    </w:lvl>
  </w:abstractNum>
  <w:abstractNum w:abstractNumId="14" w15:restartNumberingAfterBreak="0">
    <w:nsid w:val="3ED07272"/>
    <w:multiLevelType w:val="hybridMultilevel"/>
    <w:tmpl w:val="2EE2232C"/>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A7F4150"/>
    <w:multiLevelType w:val="hybridMultilevel"/>
    <w:tmpl w:val="C932155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FAD9D22"/>
    <w:multiLevelType w:val="hybridMultilevel"/>
    <w:tmpl w:val="B40012A2"/>
    <w:lvl w:ilvl="0" w:tplc="19726D42">
      <w:start w:val="1"/>
      <w:numFmt w:val="decimal"/>
      <w:lvlText w:val="%1."/>
      <w:lvlJc w:val="left"/>
      <w:pPr>
        <w:ind w:left="1352" w:hanging="360"/>
      </w:pPr>
    </w:lvl>
    <w:lvl w:ilvl="1" w:tplc="E4927364">
      <w:start w:val="1"/>
      <w:numFmt w:val="lowerLetter"/>
      <w:lvlText w:val="%2."/>
      <w:lvlJc w:val="left"/>
      <w:pPr>
        <w:ind w:left="2072" w:hanging="360"/>
      </w:pPr>
    </w:lvl>
    <w:lvl w:ilvl="2" w:tplc="3BFA5FAA">
      <w:start w:val="1"/>
      <w:numFmt w:val="lowerRoman"/>
      <w:lvlText w:val="%3."/>
      <w:lvlJc w:val="right"/>
      <w:pPr>
        <w:ind w:left="2792" w:hanging="180"/>
      </w:pPr>
    </w:lvl>
    <w:lvl w:ilvl="3" w:tplc="843C8BC4">
      <w:start w:val="1"/>
      <w:numFmt w:val="decimal"/>
      <w:lvlText w:val="%4."/>
      <w:lvlJc w:val="left"/>
      <w:pPr>
        <w:ind w:left="3512" w:hanging="360"/>
      </w:pPr>
    </w:lvl>
    <w:lvl w:ilvl="4" w:tplc="6C7402CA">
      <w:start w:val="1"/>
      <w:numFmt w:val="lowerLetter"/>
      <w:lvlText w:val="%5."/>
      <w:lvlJc w:val="left"/>
      <w:pPr>
        <w:ind w:left="4232" w:hanging="360"/>
      </w:pPr>
    </w:lvl>
    <w:lvl w:ilvl="5" w:tplc="68285262">
      <w:start w:val="1"/>
      <w:numFmt w:val="lowerRoman"/>
      <w:lvlText w:val="%6."/>
      <w:lvlJc w:val="right"/>
      <w:pPr>
        <w:ind w:left="4952" w:hanging="180"/>
      </w:pPr>
    </w:lvl>
    <w:lvl w:ilvl="6" w:tplc="06424CC4">
      <w:start w:val="1"/>
      <w:numFmt w:val="decimal"/>
      <w:lvlText w:val="%7."/>
      <w:lvlJc w:val="left"/>
      <w:pPr>
        <w:ind w:left="5672" w:hanging="360"/>
      </w:pPr>
    </w:lvl>
    <w:lvl w:ilvl="7" w:tplc="5906AF64">
      <w:start w:val="1"/>
      <w:numFmt w:val="lowerLetter"/>
      <w:lvlText w:val="%8."/>
      <w:lvlJc w:val="left"/>
      <w:pPr>
        <w:ind w:left="6392" w:hanging="360"/>
      </w:pPr>
    </w:lvl>
    <w:lvl w:ilvl="8" w:tplc="0B123036">
      <w:start w:val="1"/>
      <w:numFmt w:val="lowerRoman"/>
      <w:lvlText w:val="%9."/>
      <w:lvlJc w:val="right"/>
      <w:pPr>
        <w:ind w:left="7112" w:hanging="180"/>
      </w:pPr>
    </w:lvl>
  </w:abstractNum>
  <w:abstractNum w:abstractNumId="22" w15:restartNumberingAfterBreak="0">
    <w:nsid w:val="62243A8A"/>
    <w:multiLevelType w:val="hybridMultilevel"/>
    <w:tmpl w:val="F5C08994"/>
    <w:lvl w:ilvl="0" w:tplc="F2869D10">
      <w:start w:val="1"/>
      <w:numFmt w:val="lowerLetter"/>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3" w15:restartNumberingAfterBreak="0">
    <w:nsid w:val="628F6468"/>
    <w:multiLevelType w:val="hybridMultilevel"/>
    <w:tmpl w:val="A83A48C4"/>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B287166"/>
    <w:multiLevelType w:val="hybridMultilevel"/>
    <w:tmpl w:val="54D86380"/>
    <w:lvl w:ilvl="0" w:tplc="8242B53C">
      <w:start w:val="1"/>
      <w:numFmt w:val="lowerLetter"/>
      <w:lvlText w:val="%1)"/>
      <w:lvlJc w:val="left"/>
      <w:pPr>
        <w:ind w:left="1892" w:hanging="360"/>
      </w:pPr>
      <w:rPr>
        <w:rFonts w:hint="default"/>
      </w:rPr>
    </w:lvl>
    <w:lvl w:ilvl="1" w:tplc="041D0019" w:tentative="1">
      <w:start w:val="1"/>
      <w:numFmt w:val="lowerLetter"/>
      <w:lvlText w:val="%2."/>
      <w:lvlJc w:val="left"/>
      <w:pPr>
        <w:ind w:left="2612" w:hanging="360"/>
      </w:pPr>
    </w:lvl>
    <w:lvl w:ilvl="2" w:tplc="041D001B" w:tentative="1">
      <w:start w:val="1"/>
      <w:numFmt w:val="lowerRoman"/>
      <w:lvlText w:val="%3."/>
      <w:lvlJc w:val="right"/>
      <w:pPr>
        <w:ind w:left="3332" w:hanging="180"/>
      </w:pPr>
    </w:lvl>
    <w:lvl w:ilvl="3" w:tplc="041D000F" w:tentative="1">
      <w:start w:val="1"/>
      <w:numFmt w:val="decimal"/>
      <w:lvlText w:val="%4."/>
      <w:lvlJc w:val="left"/>
      <w:pPr>
        <w:ind w:left="4052" w:hanging="360"/>
      </w:pPr>
    </w:lvl>
    <w:lvl w:ilvl="4" w:tplc="041D0019" w:tentative="1">
      <w:start w:val="1"/>
      <w:numFmt w:val="lowerLetter"/>
      <w:lvlText w:val="%5."/>
      <w:lvlJc w:val="left"/>
      <w:pPr>
        <w:ind w:left="4772" w:hanging="360"/>
      </w:pPr>
    </w:lvl>
    <w:lvl w:ilvl="5" w:tplc="041D001B" w:tentative="1">
      <w:start w:val="1"/>
      <w:numFmt w:val="lowerRoman"/>
      <w:lvlText w:val="%6."/>
      <w:lvlJc w:val="right"/>
      <w:pPr>
        <w:ind w:left="5492" w:hanging="180"/>
      </w:pPr>
    </w:lvl>
    <w:lvl w:ilvl="6" w:tplc="041D000F" w:tentative="1">
      <w:start w:val="1"/>
      <w:numFmt w:val="decimal"/>
      <w:lvlText w:val="%7."/>
      <w:lvlJc w:val="left"/>
      <w:pPr>
        <w:ind w:left="6212" w:hanging="360"/>
      </w:pPr>
    </w:lvl>
    <w:lvl w:ilvl="7" w:tplc="041D0019" w:tentative="1">
      <w:start w:val="1"/>
      <w:numFmt w:val="lowerLetter"/>
      <w:lvlText w:val="%8."/>
      <w:lvlJc w:val="left"/>
      <w:pPr>
        <w:ind w:left="6932" w:hanging="360"/>
      </w:pPr>
    </w:lvl>
    <w:lvl w:ilvl="8" w:tplc="041D001B" w:tentative="1">
      <w:start w:val="1"/>
      <w:numFmt w:val="lowerRoman"/>
      <w:lvlText w:val="%9."/>
      <w:lvlJc w:val="right"/>
      <w:pPr>
        <w:ind w:left="7652" w:hanging="180"/>
      </w:p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C7859E7"/>
    <w:multiLevelType w:val="hybridMultilevel"/>
    <w:tmpl w:val="90BCE6A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6820554">
    <w:abstractNumId w:val="28"/>
  </w:num>
  <w:num w:numId="2" w16cid:durableId="1626886524">
    <w:abstractNumId w:val="20"/>
  </w:num>
  <w:num w:numId="3" w16cid:durableId="1263685485">
    <w:abstractNumId w:val="0"/>
  </w:num>
  <w:num w:numId="4" w16cid:durableId="1740403941">
    <w:abstractNumId w:val="6"/>
  </w:num>
  <w:num w:numId="5" w16cid:durableId="55248688">
    <w:abstractNumId w:val="24"/>
  </w:num>
  <w:num w:numId="6" w16cid:durableId="1522623998">
    <w:abstractNumId w:val="2"/>
  </w:num>
  <w:num w:numId="7" w16cid:durableId="1527717726">
    <w:abstractNumId w:val="16"/>
  </w:num>
  <w:num w:numId="8" w16cid:durableId="121921343">
    <w:abstractNumId w:val="10"/>
  </w:num>
  <w:num w:numId="9" w16cid:durableId="1868834983">
    <w:abstractNumId w:val="1"/>
  </w:num>
  <w:num w:numId="10" w16cid:durableId="1183280113">
    <w:abstractNumId w:val="1"/>
  </w:num>
  <w:num w:numId="11" w16cid:durableId="687679802">
    <w:abstractNumId w:val="3"/>
  </w:num>
  <w:num w:numId="12" w16cid:durableId="2044014679">
    <w:abstractNumId w:val="4"/>
  </w:num>
  <w:num w:numId="13" w16cid:durableId="1953510460">
    <w:abstractNumId w:val="19"/>
  </w:num>
  <w:num w:numId="14" w16cid:durableId="1941915377">
    <w:abstractNumId w:val="12"/>
  </w:num>
  <w:num w:numId="15" w16cid:durableId="942541033">
    <w:abstractNumId w:val="7"/>
  </w:num>
  <w:num w:numId="16" w16cid:durableId="2106072529">
    <w:abstractNumId w:val="18"/>
  </w:num>
  <w:num w:numId="17" w16cid:durableId="1985306079">
    <w:abstractNumId w:val="5"/>
  </w:num>
  <w:num w:numId="18" w16cid:durableId="1204630774">
    <w:abstractNumId w:val="15"/>
  </w:num>
  <w:num w:numId="19" w16cid:durableId="1088041812">
    <w:abstractNumId w:val="26"/>
  </w:num>
  <w:num w:numId="20" w16cid:durableId="2067600706">
    <w:abstractNumId w:val="27"/>
  </w:num>
  <w:num w:numId="21" w16cid:durableId="2017419462">
    <w:abstractNumId w:val="9"/>
  </w:num>
  <w:num w:numId="22" w16cid:durableId="1303652293">
    <w:abstractNumId w:val="23"/>
  </w:num>
  <w:num w:numId="23" w16cid:durableId="803235584">
    <w:abstractNumId w:val="17"/>
  </w:num>
  <w:num w:numId="24" w16cid:durableId="1371032154">
    <w:abstractNumId w:val="14"/>
  </w:num>
  <w:num w:numId="25" w16cid:durableId="1694915978">
    <w:abstractNumId w:val="8"/>
  </w:num>
  <w:num w:numId="26" w16cid:durableId="1841581034">
    <w:abstractNumId w:val="11"/>
  </w:num>
  <w:num w:numId="27" w16cid:durableId="550844366">
    <w:abstractNumId w:val="21"/>
  </w:num>
  <w:num w:numId="28" w16cid:durableId="1274903851">
    <w:abstractNumId w:val="25"/>
  </w:num>
  <w:num w:numId="29" w16cid:durableId="1657033842">
    <w:abstractNumId w:val="13"/>
  </w:num>
  <w:num w:numId="30" w16cid:durableId="883173124">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8CB"/>
    <w:rsid w:val="00006D2A"/>
    <w:rsid w:val="00010A78"/>
    <w:rsid w:val="00010D47"/>
    <w:rsid w:val="00016CF0"/>
    <w:rsid w:val="00022276"/>
    <w:rsid w:val="0002435C"/>
    <w:rsid w:val="00026BA6"/>
    <w:rsid w:val="000279EC"/>
    <w:rsid w:val="00030DDD"/>
    <w:rsid w:val="000313BB"/>
    <w:rsid w:val="00032F88"/>
    <w:rsid w:val="000335AB"/>
    <w:rsid w:val="000339C4"/>
    <w:rsid w:val="00033ED5"/>
    <w:rsid w:val="00041585"/>
    <w:rsid w:val="00044921"/>
    <w:rsid w:val="00050500"/>
    <w:rsid w:val="00054292"/>
    <w:rsid w:val="0005691C"/>
    <w:rsid w:val="00056ECB"/>
    <w:rsid w:val="00056ED5"/>
    <w:rsid w:val="000610AD"/>
    <w:rsid w:val="0006284E"/>
    <w:rsid w:val="000655CC"/>
    <w:rsid w:val="000700AE"/>
    <w:rsid w:val="00074B42"/>
    <w:rsid w:val="00084024"/>
    <w:rsid w:val="0009062C"/>
    <w:rsid w:val="00095368"/>
    <w:rsid w:val="000954C4"/>
    <w:rsid w:val="000966A3"/>
    <w:rsid w:val="000A4C35"/>
    <w:rsid w:val="000A611A"/>
    <w:rsid w:val="000B12D9"/>
    <w:rsid w:val="000B4536"/>
    <w:rsid w:val="000B7715"/>
    <w:rsid w:val="000C2667"/>
    <w:rsid w:val="000D2131"/>
    <w:rsid w:val="000D78EA"/>
    <w:rsid w:val="000E463B"/>
    <w:rsid w:val="000E5A7E"/>
    <w:rsid w:val="000F123C"/>
    <w:rsid w:val="000F43A3"/>
    <w:rsid w:val="000F7681"/>
    <w:rsid w:val="00103031"/>
    <w:rsid w:val="001044FE"/>
    <w:rsid w:val="001139D4"/>
    <w:rsid w:val="00120788"/>
    <w:rsid w:val="00126074"/>
    <w:rsid w:val="0013082E"/>
    <w:rsid w:val="00131B08"/>
    <w:rsid w:val="00132A59"/>
    <w:rsid w:val="00133337"/>
    <w:rsid w:val="00133A0F"/>
    <w:rsid w:val="0013580F"/>
    <w:rsid w:val="00137B6D"/>
    <w:rsid w:val="0014070B"/>
    <w:rsid w:val="001422C1"/>
    <w:rsid w:val="001435B6"/>
    <w:rsid w:val="00147B58"/>
    <w:rsid w:val="001522AE"/>
    <w:rsid w:val="001523D0"/>
    <w:rsid w:val="00154D9B"/>
    <w:rsid w:val="00157D5B"/>
    <w:rsid w:val="00160FE1"/>
    <w:rsid w:val="00161FE6"/>
    <w:rsid w:val="001647EA"/>
    <w:rsid w:val="00164C3D"/>
    <w:rsid w:val="00166D3A"/>
    <w:rsid w:val="00174048"/>
    <w:rsid w:val="00181FDC"/>
    <w:rsid w:val="001825E9"/>
    <w:rsid w:val="00183537"/>
    <w:rsid w:val="00184619"/>
    <w:rsid w:val="001860B9"/>
    <w:rsid w:val="00186F2B"/>
    <w:rsid w:val="001874D6"/>
    <w:rsid w:val="00190867"/>
    <w:rsid w:val="0019632A"/>
    <w:rsid w:val="001A4E7C"/>
    <w:rsid w:val="001B0AEA"/>
    <w:rsid w:val="001B762C"/>
    <w:rsid w:val="001C4D0A"/>
    <w:rsid w:val="001C5FEF"/>
    <w:rsid w:val="001E23F0"/>
    <w:rsid w:val="001E3F02"/>
    <w:rsid w:val="001E517F"/>
    <w:rsid w:val="001E756A"/>
    <w:rsid w:val="001F152B"/>
    <w:rsid w:val="00211487"/>
    <w:rsid w:val="00211D91"/>
    <w:rsid w:val="00217DEC"/>
    <w:rsid w:val="002272DE"/>
    <w:rsid w:val="00235B57"/>
    <w:rsid w:val="00237E1C"/>
    <w:rsid w:val="00250F24"/>
    <w:rsid w:val="00251B28"/>
    <w:rsid w:val="002523C5"/>
    <w:rsid w:val="00252A42"/>
    <w:rsid w:val="0025380B"/>
    <w:rsid w:val="00253DD2"/>
    <w:rsid w:val="0025703A"/>
    <w:rsid w:val="00262F3D"/>
    <w:rsid w:val="00263281"/>
    <w:rsid w:val="002651D6"/>
    <w:rsid w:val="0026551F"/>
    <w:rsid w:val="00266FFD"/>
    <w:rsid w:val="00267CC1"/>
    <w:rsid w:val="00273204"/>
    <w:rsid w:val="00280A85"/>
    <w:rsid w:val="00281CBA"/>
    <w:rsid w:val="00284119"/>
    <w:rsid w:val="00285FE4"/>
    <w:rsid w:val="00290581"/>
    <w:rsid w:val="00290B5C"/>
    <w:rsid w:val="00294791"/>
    <w:rsid w:val="002A2CAD"/>
    <w:rsid w:val="002A374A"/>
    <w:rsid w:val="002B0497"/>
    <w:rsid w:val="002B0B30"/>
    <w:rsid w:val="002B0B32"/>
    <w:rsid w:val="002B0C78"/>
    <w:rsid w:val="002C0C02"/>
    <w:rsid w:val="002C1277"/>
    <w:rsid w:val="002C60AD"/>
    <w:rsid w:val="002D0E0E"/>
    <w:rsid w:val="002D58F5"/>
    <w:rsid w:val="002D5C06"/>
    <w:rsid w:val="002D6023"/>
    <w:rsid w:val="002E263F"/>
    <w:rsid w:val="002E6479"/>
    <w:rsid w:val="002E6F81"/>
    <w:rsid w:val="002F08BA"/>
    <w:rsid w:val="002F2CFF"/>
    <w:rsid w:val="002F568B"/>
    <w:rsid w:val="002F7818"/>
    <w:rsid w:val="002F7C3E"/>
    <w:rsid w:val="003025CD"/>
    <w:rsid w:val="003034BA"/>
    <w:rsid w:val="003066D0"/>
    <w:rsid w:val="00311401"/>
    <w:rsid w:val="00315EF9"/>
    <w:rsid w:val="003178A6"/>
    <w:rsid w:val="003203D7"/>
    <w:rsid w:val="00320F86"/>
    <w:rsid w:val="00324171"/>
    <w:rsid w:val="00326C24"/>
    <w:rsid w:val="00330055"/>
    <w:rsid w:val="00331327"/>
    <w:rsid w:val="00336E97"/>
    <w:rsid w:val="00337F99"/>
    <w:rsid w:val="0034307B"/>
    <w:rsid w:val="00344D06"/>
    <w:rsid w:val="00345EB1"/>
    <w:rsid w:val="00350CC4"/>
    <w:rsid w:val="00360E0D"/>
    <w:rsid w:val="0036357D"/>
    <w:rsid w:val="00363B23"/>
    <w:rsid w:val="00365788"/>
    <w:rsid w:val="0036594C"/>
    <w:rsid w:val="00367D19"/>
    <w:rsid w:val="00371BED"/>
    <w:rsid w:val="00384019"/>
    <w:rsid w:val="003854F1"/>
    <w:rsid w:val="0039118E"/>
    <w:rsid w:val="003916C1"/>
    <w:rsid w:val="00397F54"/>
    <w:rsid w:val="003A05DE"/>
    <w:rsid w:val="003A0D43"/>
    <w:rsid w:val="003A431E"/>
    <w:rsid w:val="003A65EA"/>
    <w:rsid w:val="003A7BD2"/>
    <w:rsid w:val="003B2A4B"/>
    <w:rsid w:val="003B4ABD"/>
    <w:rsid w:val="003C6212"/>
    <w:rsid w:val="003C657C"/>
    <w:rsid w:val="003D099E"/>
    <w:rsid w:val="003D1A67"/>
    <w:rsid w:val="003D21A2"/>
    <w:rsid w:val="003D29D2"/>
    <w:rsid w:val="003D60E6"/>
    <w:rsid w:val="003D79EF"/>
    <w:rsid w:val="003E0705"/>
    <w:rsid w:val="003E2FF7"/>
    <w:rsid w:val="003F1013"/>
    <w:rsid w:val="003F1ACF"/>
    <w:rsid w:val="00402997"/>
    <w:rsid w:val="00404948"/>
    <w:rsid w:val="00406BEA"/>
    <w:rsid w:val="00413A60"/>
    <w:rsid w:val="004230F7"/>
    <w:rsid w:val="0043167E"/>
    <w:rsid w:val="0043409A"/>
    <w:rsid w:val="00443C1E"/>
    <w:rsid w:val="00446255"/>
    <w:rsid w:val="00451935"/>
    <w:rsid w:val="00460ED0"/>
    <w:rsid w:val="00464E87"/>
    <w:rsid w:val="00465651"/>
    <w:rsid w:val="00470CE7"/>
    <w:rsid w:val="00470F4F"/>
    <w:rsid w:val="00472482"/>
    <w:rsid w:val="00480DC7"/>
    <w:rsid w:val="004876F6"/>
    <w:rsid w:val="0049236A"/>
    <w:rsid w:val="00492718"/>
    <w:rsid w:val="004A0D91"/>
    <w:rsid w:val="004A355D"/>
    <w:rsid w:val="004A4970"/>
    <w:rsid w:val="004B0D69"/>
    <w:rsid w:val="004B2183"/>
    <w:rsid w:val="004B2A01"/>
    <w:rsid w:val="004B7CD3"/>
    <w:rsid w:val="004C0701"/>
    <w:rsid w:val="004C2559"/>
    <w:rsid w:val="004D7262"/>
    <w:rsid w:val="004D7BA3"/>
    <w:rsid w:val="004F067D"/>
    <w:rsid w:val="004F4518"/>
    <w:rsid w:val="004F4C62"/>
    <w:rsid w:val="00501433"/>
    <w:rsid w:val="00511640"/>
    <w:rsid w:val="00511CC4"/>
    <w:rsid w:val="0051790D"/>
    <w:rsid w:val="00531E60"/>
    <w:rsid w:val="005345D5"/>
    <w:rsid w:val="00536A5A"/>
    <w:rsid w:val="00537993"/>
    <w:rsid w:val="00541D07"/>
    <w:rsid w:val="00543228"/>
    <w:rsid w:val="00544BAB"/>
    <w:rsid w:val="00545F31"/>
    <w:rsid w:val="00546D8F"/>
    <w:rsid w:val="005578FA"/>
    <w:rsid w:val="00565129"/>
    <w:rsid w:val="00565CD0"/>
    <w:rsid w:val="00567820"/>
    <w:rsid w:val="00571269"/>
    <w:rsid w:val="005770AD"/>
    <w:rsid w:val="00581414"/>
    <w:rsid w:val="00582490"/>
    <w:rsid w:val="005826FA"/>
    <w:rsid w:val="0059588C"/>
    <w:rsid w:val="005969DA"/>
    <w:rsid w:val="00597E28"/>
    <w:rsid w:val="005A2E3B"/>
    <w:rsid w:val="005A3D2D"/>
    <w:rsid w:val="005A54ED"/>
    <w:rsid w:val="005A5D5B"/>
    <w:rsid w:val="005A6081"/>
    <w:rsid w:val="005A627D"/>
    <w:rsid w:val="005B6DE0"/>
    <w:rsid w:val="005C0045"/>
    <w:rsid w:val="005C084E"/>
    <w:rsid w:val="005C3D25"/>
    <w:rsid w:val="005C4606"/>
    <w:rsid w:val="005D0B0C"/>
    <w:rsid w:val="005D19A5"/>
    <w:rsid w:val="005E02B3"/>
    <w:rsid w:val="005E1BA1"/>
    <w:rsid w:val="005E1E24"/>
    <w:rsid w:val="0060596B"/>
    <w:rsid w:val="00606D97"/>
    <w:rsid w:val="0060765F"/>
    <w:rsid w:val="00614E64"/>
    <w:rsid w:val="00617710"/>
    <w:rsid w:val="00617EE6"/>
    <w:rsid w:val="0062184C"/>
    <w:rsid w:val="00623724"/>
    <w:rsid w:val="00627BEA"/>
    <w:rsid w:val="006304DC"/>
    <w:rsid w:val="006319DB"/>
    <w:rsid w:val="006360EA"/>
    <w:rsid w:val="006533DF"/>
    <w:rsid w:val="0065595B"/>
    <w:rsid w:val="00657317"/>
    <w:rsid w:val="00660269"/>
    <w:rsid w:val="00665F89"/>
    <w:rsid w:val="00673C92"/>
    <w:rsid w:val="006753EC"/>
    <w:rsid w:val="00697BDD"/>
    <w:rsid w:val="006A0228"/>
    <w:rsid w:val="006A2789"/>
    <w:rsid w:val="006A4978"/>
    <w:rsid w:val="006A7261"/>
    <w:rsid w:val="006B0D29"/>
    <w:rsid w:val="006B1819"/>
    <w:rsid w:val="006B2316"/>
    <w:rsid w:val="006B5DE7"/>
    <w:rsid w:val="006C5048"/>
    <w:rsid w:val="006C6A4B"/>
    <w:rsid w:val="006C779F"/>
    <w:rsid w:val="006D01F5"/>
    <w:rsid w:val="006D0CFB"/>
    <w:rsid w:val="006D0D31"/>
    <w:rsid w:val="006D193F"/>
    <w:rsid w:val="006D30C0"/>
    <w:rsid w:val="006D7535"/>
    <w:rsid w:val="006E02F2"/>
    <w:rsid w:val="006E450B"/>
    <w:rsid w:val="006F0D7E"/>
    <w:rsid w:val="006F361A"/>
    <w:rsid w:val="007035DB"/>
    <w:rsid w:val="00710B77"/>
    <w:rsid w:val="00711ED6"/>
    <w:rsid w:val="00716455"/>
    <w:rsid w:val="0072075B"/>
    <w:rsid w:val="007221C2"/>
    <w:rsid w:val="00724F8F"/>
    <w:rsid w:val="00725816"/>
    <w:rsid w:val="00730955"/>
    <w:rsid w:val="00731824"/>
    <w:rsid w:val="00733A9C"/>
    <w:rsid w:val="00736574"/>
    <w:rsid w:val="007367E0"/>
    <w:rsid w:val="00737215"/>
    <w:rsid w:val="00745679"/>
    <w:rsid w:val="00754905"/>
    <w:rsid w:val="00757F7A"/>
    <w:rsid w:val="00760038"/>
    <w:rsid w:val="0076145C"/>
    <w:rsid w:val="00762EE0"/>
    <w:rsid w:val="00765C41"/>
    <w:rsid w:val="00771100"/>
    <w:rsid w:val="007759DD"/>
    <w:rsid w:val="00777184"/>
    <w:rsid w:val="00783A43"/>
    <w:rsid w:val="0078609F"/>
    <w:rsid w:val="007917BA"/>
    <w:rsid w:val="0079243F"/>
    <w:rsid w:val="00796FD2"/>
    <w:rsid w:val="007A0AA7"/>
    <w:rsid w:val="007A5C6F"/>
    <w:rsid w:val="007A6DCC"/>
    <w:rsid w:val="007B2D3A"/>
    <w:rsid w:val="007C35F1"/>
    <w:rsid w:val="007C4430"/>
    <w:rsid w:val="007C754B"/>
    <w:rsid w:val="007D083B"/>
    <w:rsid w:val="007D1EC9"/>
    <w:rsid w:val="007D20FA"/>
    <w:rsid w:val="007D4241"/>
    <w:rsid w:val="007D4317"/>
    <w:rsid w:val="007D4E55"/>
    <w:rsid w:val="007D4EA3"/>
    <w:rsid w:val="007F1CFF"/>
    <w:rsid w:val="007F3A7F"/>
    <w:rsid w:val="007F5DD5"/>
    <w:rsid w:val="008169F8"/>
    <w:rsid w:val="00821A1B"/>
    <w:rsid w:val="00825573"/>
    <w:rsid w:val="008262E9"/>
    <w:rsid w:val="00827E69"/>
    <w:rsid w:val="00835C4D"/>
    <w:rsid w:val="008414E5"/>
    <w:rsid w:val="00843F48"/>
    <w:rsid w:val="0085105D"/>
    <w:rsid w:val="00851423"/>
    <w:rsid w:val="00857848"/>
    <w:rsid w:val="008654B6"/>
    <w:rsid w:val="0087139C"/>
    <w:rsid w:val="00880E83"/>
    <w:rsid w:val="008812EB"/>
    <w:rsid w:val="00884614"/>
    <w:rsid w:val="00885D73"/>
    <w:rsid w:val="00892F28"/>
    <w:rsid w:val="00895D03"/>
    <w:rsid w:val="00896743"/>
    <w:rsid w:val="008A0C5F"/>
    <w:rsid w:val="008A3DEA"/>
    <w:rsid w:val="008A4EB9"/>
    <w:rsid w:val="008A5299"/>
    <w:rsid w:val="008A74C0"/>
    <w:rsid w:val="008B1694"/>
    <w:rsid w:val="008B77FF"/>
    <w:rsid w:val="008C4B27"/>
    <w:rsid w:val="008C7F2A"/>
    <w:rsid w:val="008E36F8"/>
    <w:rsid w:val="008E46B2"/>
    <w:rsid w:val="008E682C"/>
    <w:rsid w:val="008E78A1"/>
    <w:rsid w:val="008E7A30"/>
    <w:rsid w:val="008F2047"/>
    <w:rsid w:val="008F589F"/>
    <w:rsid w:val="00900F6A"/>
    <w:rsid w:val="009040E8"/>
    <w:rsid w:val="00906238"/>
    <w:rsid w:val="00906A35"/>
    <w:rsid w:val="00907EF9"/>
    <w:rsid w:val="0091295C"/>
    <w:rsid w:val="00914D58"/>
    <w:rsid w:val="009174E6"/>
    <w:rsid w:val="00921F47"/>
    <w:rsid w:val="009228AB"/>
    <w:rsid w:val="00922E1B"/>
    <w:rsid w:val="0093085B"/>
    <w:rsid w:val="00931C57"/>
    <w:rsid w:val="009347A5"/>
    <w:rsid w:val="00942257"/>
    <w:rsid w:val="0094704C"/>
    <w:rsid w:val="009471BF"/>
    <w:rsid w:val="00947D49"/>
    <w:rsid w:val="00950E4E"/>
    <w:rsid w:val="009515D6"/>
    <w:rsid w:val="009529BD"/>
    <w:rsid w:val="009533B4"/>
    <w:rsid w:val="009533BB"/>
    <w:rsid w:val="009652A2"/>
    <w:rsid w:val="00971D93"/>
    <w:rsid w:val="00973D00"/>
    <w:rsid w:val="009753C9"/>
    <w:rsid w:val="0099156A"/>
    <w:rsid w:val="009A5092"/>
    <w:rsid w:val="009A5A35"/>
    <w:rsid w:val="009B1F6B"/>
    <w:rsid w:val="009B73BD"/>
    <w:rsid w:val="009B77DB"/>
    <w:rsid w:val="009C0D12"/>
    <w:rsid w:val="009C192E"/>
    <w:rsid w:val="009C624C"/>
    <w:rsid w:val="009D6819"/>
    <w:rsid w:val="009D6D1C"/>
    <w:rsid w:val="009E0CF9"/>
    <w:rsid w:val="009E531B"/>
    <w:rsid w:val="009E6C56"/>
    <w:rsid w:val="009E7DCF"/>
    <w:rsid w:val="009F4A56"/>
    <w:rsid w:val="009F4E65"/>
    <w:rsid w:val="00A006A5"/>
    <w:rsid w:val="00A05942"/>
    <w:rsid w:val="00A06F00"/>
    <w:rsid w:val="00A07BEC"/>
    <w:rsid w:val="00A16D86"/>
    <w:rsid w:val="00A20942"/>
    <w:rsid w:val="00A264BE"/>
    <w:rsid w:val="00A272CA"/>
    <w:rsid w:val="00A33051"/>
    <w:rsid w:val="00A3727B"/>
    <w:rsid w:val="00A407AD"/>
    <w:rsid w:val="00A40923"/>
    <w:rsid w:val="00A41C05"/>
    <w:rsid w:val="00A41C7E"/>
    <w:rsid w:val="00A42426"/>
    <w:rsid w:val="00A514B7"/>
    <w:rsid w:val="00A54A0B"/>
    <w:rsid w:val="00A65FD4"/>
    <w:rsid w:val="00A81198"/>
    <w:rsid w:val="00A81E48"/>
    <w:rsid w:val="00A82035"/>
    <w:rsid w:val="00A90D77"/>
    <w:rsid w:val="00A92E07"/>
    <w:rsid w:val="00AA0B3A"/>
    <w:rsid w:val="00AA1397"/>
    <w:rsid w:val="00AA45DD"/>
    <w:rsid w:val="00AA6EB4"/>
    <w:rsid w:val="00AA767D"/>
    <w:rsid w:val="00AB0CC9"/>
    <w:rsid w:val="00AB36A3"/>
    <w:rsid w:val="00AC3FF6"/>
    <w:rsid w:val="00AC5584"/>
    <w:rsid w:val="00AD463F"/>
    <w:rsid w:val="00AD73EC"/>
    <w:rsid w:val="00AE5BC7"/>
    <w:rsid w:val="00AE6938"/>
    <w:rsid w:val="00AE7915"/>
    <w:rsid w:val="00AF5AAF"/>
    <w:rsid w:val="00AF602A"/>
    <w:rsid w:val="00AF72B8"/>
    <w:rsid w:val="00B046D8"/>
    <w:rsid w:val="00B07C72"/>
    <w:rsid w:val="00B12E3F"/>
    <w:rsid w:val="00B13F4C"/>
    <w:rsid w:val="00B16219"/>
    <w:rsid w:val="00B16C59"/>
    <w:rsid w:val="00B24C2C"/>
    <w:rsid w:val="00B33FDD"/>
    <w:rsid w:val="00B359CC"/>
    <w:rsid w:val="00B36107"/>
    <w:rsid w:val="00B369C8"/>
    <w:rsid w:val="00B41789"/>
    <w:rsid w:val="00B46C03"/>
    <w:rsid w:val="00B56FD0"/>
    <w:rsid w:val="00B60C6C"/>
    <w:rsid w:val="00B619A9"/>
    <w:rsid w:val="00B65A9D"/>
    <w:rsid w:val="00B66C60"/>
    <w:rsid w:val="00B66D60"/>
    <w:rsid w:val="00B75EDE"/>
    <w:rsid w:val="00B77D88"/>
    <w:rsid w:val="00B77FAF"/>
    <w:rsid w:val="00B84336"/>
    <w:rsid w:val="00B851B9"/>
    <w:rsid w:val="00B86453"/>
    <w:rsid w:val="00B90054"/>
    <w:rsid w:val="00B902FB"/>
    <w:rsid w:val="00B92C14"/>
    <w:rsid w:val="00B95629"/>
    <w:rsid w:val="00BA0066"/>
    <w:rsid w:val="00BB69DB"/>
    <w:rsid w:val="00BC322E"/>
    <w:rsid w:val="00BC44CD"/>
    <w:rsid w:val="00BC48A6"/>
    <w:rsid w:val="00BD124C"/>
    <w:rsid w:val="00BE7978"/>
    <w:rsid w:val="00C07DDB"/>
    <w:rsid w:val="00C4115D"/>
    <w:rsid w:val="00C43954"/>
    <w:rsid w:val="00C43BDD"/>
    <w:rsid w:val="00C47778"/>
    <w:rsid w:val="00C5011E"/>
    <w:rsid w:val="00C50EE5"/>
    <w:rsid w:val="00C5240A"/>
    <w:rsid w:val="00C5398F"/>
    <w:rsid w:val="00C556F5"/>
    <w:rsid w:val="00C57BFE"/>
    <w:rsid w:val="00C62EB2"/>
    <w:rsid w:val="00C70E19"/>
    <w:rsid w:val="00C72574"/>
    <w:rsid w:val="00C7430C"/>
    <w:rsid w:val="00C74698"/>
    <w:rsid w:val="00C85DA1"/>
    <w:rsid w:val="00C9071C"/>
    <w:rsid w:val="00C908FF"/>
    <w:rsid w:val="00C97BD3"/>
    <w:rsid w:val="00CA39EF"/>
    <w:rsid w:val="00CA3A31"/>
    <w:rsid w:val="00CA489A"/>
    <w:rsid w:val="00CA521F"/>
    <w:rsid w:val="00CB0493"/>
    <w:rsid w:val="00CB17FF"/>
    <w:rsid w:val="00CB1ED7"/>
    <w:rsid w:val="00CB268B"/>
    <w:rsid w:val="00CB3012"/>
    <w:rsid w:val="00CB7ACC"/>
    <w:rsid w:val="00CC167C"/>
    <w:rsid w:val="00CC52D9"/>
    <w:rsid w:val="00CD627F"/>
    <w:rsid w:val="00CD6647"/>
    <w:rsid w:val="00CE4B73"/>
    <w:rsid w:val="00CF44D2"/>
    <w:rsid w:val="00CF70BB"/>
    <w:rsid w:val="00D04529"/>
    <w:rsid w:val="00D074DB"/>
    <w:rsid w:val="00D139CF"/>
    <w:rsid w:val="00D37E7F"/>
    <w:rsid w:val="00D41BE8"/>
    <w:rsid w:val="00D47AD7"/>
    <w:rsid w:val="00D51529"/>
    <w:rsid w:val="00D615B4"/>
    <w:rsid w:val="00D82745"/>
    <w:rsid w:val="00D84E91"/>
    <w:rsid w:val="00D85218"/>
    <w:rsid w:val="00D915B1"/>
    <w:rsid w:val="00DA299D"/>
    <w:rsid w:val="00DA65C4"/>
    <w:rsid w:val="00DC1552"/>
    <w:rsid w:val="00DC2ECA"/>
    <w:rsid w:val="00DD2BE0"/>
    <w:rsid w:val="00DD34A3"/>
    <w:rsid w:val="00DD55AA"/>
    <w:rsid w:val="00DD7395"/>
    <w:rsid w:val="00DE4447"/>
    <w:rsid w:val="00DE4FE4"/>
    <w:rsid w:val="00DE5DA2"/>
    <w:rsid w:val="00DF0033"/>
    <w:rsid w:val="00DF4A28"/>
    <w:rsid w:val="00E026BF"/>
    <w:rsid w:val="00E07B1B"/>
    <w:rsid w:val="00E11853"/>
    <w:rsid w:val="00E33E9A"/>
    <w:rsid w:val="00E37270"/>
    <w:rsid w:val="00E4303A"/>
    <w:rsid w:val="00E52A86"/>
    <w:rsid w:val="00E54B47"/>
    <w:rsid w:val="00E553BF"/>
    <w:rsid w:val="00E55D93"/>
    <w:rsid w:val="00E56913"/>
    <w:rsid w:val="00E61294"/>
    <w:rsid w:val="00E62B19"/>
    <w:rsid w:val="00E62E0A"/>
    <w:rsid w:val="00E7237C"/>
    <w:rsid w:val="00E7306F"/>
    <w:rsid w:val="00E77C46"/>
    <w:rsid w:val="00E86CE8"/>
    <w:rsid w:val="00E90E82"/>
    <w:rsid w:val="00EA00CB"/>
    <w:rsid w:val="00EA1BAA"/>
    <w:rsid w:val="00EA3FCD"/>
    <w:rsid w:val="00EA42A0"/>
    <w:rsid w:val="00EB6714"/>
    <w:rsid w:val="00EC0A68"/>
    <w:rsid w:val="00EC348D"/>
    <w:rsid w:val="00EC3C12"/>
    <w:rsid w:val="00EC5006"/>
    <w:rsid w:val="00ED49C3"/>
    <w:rsid w:val="00ED6CE8"/>
    <w:rsid w:val="00ED7AA6"/>
    <w:rsid w:val="00EE2A56"/>
    <w:rsid w:val="00EE3818"/>
    <w:rsid w:val="00F139C3"/>
    <w:rsid w:val="00F22264"/>
    <w:rsid w:val="00F2564D"/>
    <w:rsid w:val="00F35B05"/>
    <w:rsid w:val="00F376E7"/>
    <w:rsid w:val="00F413D9"/>
    <w:rsid w:val="00F43A5C"/>
    <w:rsid w:val="00F5135F"/>
    <w:rsid w:val="00F51F78"/>
    <w:rsid w:val="00F64AA7"/>
    <w:rsid w:val="00F779EC"/>
    <w:rsid w:val="00F82ECB"/>
    <w:rsid w:val="00F86F47"/>
    <w:rsid w:val="00F9088A"/>
    <w:rsid w:val="00F90B64"/>
    <w:rsid w:val="00F964B8"/>
    <w:rsid w:val="00FA12B2"/>
    <w:rsid w:val="00FA2BDE"/>
    <w:rsid w:val="00FA6124"/>
    <w:rsid w:val="00FA679A"/>
    <w:rsid w:val="00FB2F0F"/>
    <w:rsid w:val="00FB5086"/>
    <w:rsid w:val="00FB5411"/>
    <w:rsid w:val="00FB6392"/>
    <w:rsid w:val="00FC7832"/>
    <w:rsid w:val="00FD3C70"/>
    <w:rsid w:val="00FD4D33"/>
    <w:rsid w:val="00FD6820"/>
    <w:rsid w:val="00FD7AB7"/>
    <w:rsid w:val="00FE12D8"/>
    <w:rsid w:val="00FE40E7"/>
    <w:rsid w:val="00FE4A91"/>
    <w:rsid w:val="00FF4262"/>
    <w:rsid w:val="00FF7C02"/>
    <w:rsid w:val="01230CDC"/>
    <w:rsid w:val="018493A2"/>
    <w:rsid w:val="024801E3"/>
    <w:rsid w:val="02627CB1"/>
    <w:rsid w:val="0269DA67"/>
    <w:rsid w:val="02B39457"/>
    <w:rsid w:val="02BEDD3D"/>
    <w:rsid w:val="0405AAC8"/>
    <w:rsid w:val="04866CB7"/>
    <w:rsid w:val="051D8D4B"/>
    <w:rsid w:val="06426AFB"/>
    <w:rsid w:val="065130B9"/>
    <w:rsid w:val="072A0173"/>
    <w:rsid w:val="07B997E9"/>
    <w:rsid w:val="092D6495"/>
    <w:rsid w:val="098CD585"/>
    <w:rsid w:val="0B4577A2"/>
    <w:rsid w:val="0C7DA73F"/>
    <w:rsid w:val="0E3C9359"/>
    <w:rsid w:val="0E5BF467"/>
    <w:rsid w:val="0E9CEA6F"/>
    <w:rsid w:val="101F2C35"/>
    <w:rsid w:val="107E378F"/>
    <w:rsid w:val="1137DB45"/>
    <w:rsid w:val="145CD98C"/>
    <w:rsid w:val="159D63BD"/>
    <w:rsid w:val="182DBD70"/>
    <w:rsid w:val="1870583C"/>
    <w:rsid w:val="1A8C6123"/>
    <w:rsid w:val="1A92FD9C"/>
    <w:rsid w:val="1C8518DF"/>
    <w:rsid w:val="1E0678D7"/>
    <w:rsid w:val="1E902CDF"/>
    <w:rsid w:val="1F6CDDEB"/>
    <w:rsid w:val="1FA4A04C"/>
    <w:rsid w:val="20051A35"/>
    <w:rsid w:val="22BCFFC7"/>
    <w:rsid w:val="234411FB"/>
    <w:rsid w:val="25571387"/>
    <w:rsid w:val="25639E2F"/>
    <w:rsid w:val="25C0468C"/>
    <w:rsid w:val="26EFF862"/>
    <w:rsid w:val="2742EE90"/>
    <w:rsid w:val="2768E35E"/>
    <w:rsid w:val="27DD81BD"/>
    <w:rsid w:val="28B3146E"/>
    <w:rsid w:val="28FA92D1"/>
    <w:rsid w:val="29376555"/>
    <w:rsid w:val="29AE9C85"/>
    <w:rsid w:val="29CE2716"/>
    <w:rsid w:val="2ADA7F9E"/>
    <w:rsid w:val="2C82596E"/>
    <w:rsid w:val="2E296419"/>
    <w:rsid w:val="3143028C"/>
    <w:rsid w:val="3201B892"/>
    <w:rsid w:val="32632B89"/>
    <w:rsid w:val="3375512E"/>
    <w:rsid w:val="33BD252A"/>
    <w:rsid w:val="33E3D0B7"/>
    <w:rsid w:val="34019F97"/>
    <w:rsid w:val="34E85EAF"/>
    <w:rsid w:val="35218802"/>
    <w:rsid w:val="35E6B415"/>
    <w:rsid w:val="3638E6B5"/>
    <w:rsid w:val="39C2CBE3"/>
    <w:rsid w:val="39FE0F65"/>
    <w:rsid w:val="3AD8FC0B"/>
    <w:rsid w:val="3B17EF0D"/>
    <w:rsid w:val="3B1E3634"/>
    <w:rsid w:val="3C0FFECC"/>
    <w:rsid w:val="3C2620E6"/>
    <w:rsid w:val="3D204670"/>
    <w:rsid w:val="3DD04164"/>
    <w:rsid w:val="3DF3BF3D"/>
    <w:rsid w:val="3ED18088"/>
    <w:rsid w:val="3F6C11C5"/>
    <w:rsid w:val="4088234C"/>
    <w:rsid w:val="409F6F52"/>
    <w:rsid w:val="40F8BAEB"/>
    <w:rsid w:val="4242D6D8"/>
    <w:rsid w:val="424DD551"/>
    <w:rsid w:val="4297D485"/>
    <w:rsid w:val="42F49426"/>
    <w:rsid w:val="43324E75"/>
    <w:rsid w:val="441FACDC"/>
    <w:rsid w:val="4538D1D4"/>
    <w:rsid w:val="4541D685"/>
    <w:rsid w:val="459D6A63"/>
    <w:rsid w:val="4620C2CB"/>
    <w:rsid w:val="46299F1E"/>
    <w:rsid w:val="472EBD1F"/>
    <w:rsid w:val="47516F8A"/>
    <w:rsid w:val="477723AA"/>
    <w:rsid w:val="47ABBEE3"/>
    <w:rsid w:val="47B82867"/>
    <w:rsid w:val="493F7D58"/>
    <w:rsid w:val="49C32B6D"/>
    <w:rsid w:val="49F626E8"/>
    <w:rsid w:val="4A4448B8"/>
    <w:rsid w:val="4A53433C"/>
    <w:rsid w:val="4A5702DF"/>
    <w:rsid w:val="4B43D09B"/>
    <w:rsid w:val="4BFD1599"/>
    <w:rsid w:val="4D8F9BF0"/>
    <w:rsid w:val="4DD8B7D7"/>
    <w:rsid w:val="4E40E077"/>
    <w:rsid w:val="4F0F2101"/>
    <w:rsid w:val="4F1243F4"/>
    <w:rsid w:val="4FEDD859"/>
    <w:rsid w:val="508713D7"/>
    <w:rsid w:val="509FF877"/>
    <w:rsid w:val="5182C2C3"/>
    <w:rsid w:val="529CEF4E"/>
    <w:rsid w:val="53ED8740"/>
    <w:rsid w:val="54240AC5"/>
    <w:rsid w:val="547A18E5"/>
    <w:rsid w:val="54AA37E2"/>
    <w:rsid w:val="5533AA23"/>
    <w:rsid w:val="5543098F"/>
    <w:rsid w:val="5656F534"/>
    <w:rsid w:val="56C4EBD9"/>
    <w:rsid w:val="5792F8C5"/>
    <w:rsid w:val="582D15DB"/>
    <w:rsid w:val="590F1C8F"/>
    <w:rsid w:val="597F5BF6"/>
    <w:rsid w:val="5A03B26B"/>
    <w:rsid w:val="5A802418"/>
    <w:rsid w:val="5AC30FDB"/>
    <w:rsid w:val="5CCD50F2"/>
    <w:rsid w:val="5CE01246"/>
    <w:rsid w:val="5DBAE436"/>
    <w:rsid w:val="5F3C8049"/>
    <w:rsid w:val="6009C0EA"/>
    <w:rsid w:val="615FDD9D"/>
    <w:rsid w:val="616DE0FA"/>
    <w:rsid w:val="61DEE6BC"/>
    <w:rsid w:val="6267F606"/>
    <w:rsid w:val="647B2B65"/>
    <w:rsid w:val="64C3502A"/>
    <w:rsid w:val="64C4283C"/>
    <w:rsid w:val="659D4F98"/>
    <w:rsid w:val="66CE5032"/>
    <w:rsid w:val="67066E1C"/>
    <w:rsid w:val="67250153"/>
    <w:rsid w:val="673B6729"/>
    <w:rsid w:val="67AFD0DC"/>
    <w:rsid w:val="67F7C8B4"/>
    <w:rsid w:val="688E0435"/>
    <w:rsid w:val="689C6761"/>
    <w:rsid w:val="68E25826"/>
    <w:rsid w:val="68EBD62F"/>
    <w:rsid w:val="6B01BB26"/>
    <w:rsid w:val="6B2CF8ED"/>
    <w:rsid w:val="6BFB73F7"/>
    <w:rsid w:val="6D524140"/>
    <w:rsid w:val="6DE4BDE5"/>
    <w:rsid w:val="6DE959EA"/>
    <w:rsid w:val="6E9C7D46"/>
    <w:rsid w:val="70279B8D"/>
    <w:rsid w:val="719D3A3A"/>
    <w:rsid w:val="71EC1153"/>
    <w:rsid w:val="72CB9DAF"/>
    <w:rsid w:val="73AF7DA4"/>
    <w:rsid w:val="742824B3"/>
    <w:rsid w:val="75B9DB4B"/>
    <w:rsid w:val="76A97D85"/>
    <w:rsid w:val="773FEAEB"/>
    <w:rsid w:val="78454DE6"/>
    <w:rsid w:val="78CEE159"/>
    <w:rsid w:val="79197114"/>
    <w:rsid w:val="7A12A38D"/>
    <w:rsid w:val="7C01A6D3"/>
    <w:rsid w:val="7DAF91A0"/>
    <w:rsid w:val="7E24FDEC"/>
    <w:rsid w:val="7F5E421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17982B0-4194-46EF-B22A-C04EEB7E535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074B42"/>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Revision">
    <w:name w:val="Revision"/>
    <w:hidden/>
    <w:uiPriority w:val="99"/>
    <w:semiHidden/>
    <w:rsid w:val="009652A2"/>
    <w:rPr>
      <w:sz w:val="24"/>
      <w:szCs w:val="24"/>
    </w:rPr>
  </w:style>
  <w:style w:type="paragraph" w:styleId="pf0" w:customStyle="1">
    <w:name w:val="pf0"/>
    <w:basedOn w:val="Normal"/>
    <w:rsid w:val="009652A2"/>
    <w:pPr>
      <w:spacing w:before="100" w:beforeAutospacing="1" w:after="100" w:afterAutospacing="1" w:line="240" w:lineRule="auto"/>
      <w:ind w:left="980" w:right="0"/>
    </w:pPr>
  </w:style>
  <w:style w:type="character" w:styleId="cf01" w:customStyle="1">
    <w:name w:val="cf01"/>
    <w:basedOn w:val="Standardstycketeckensnitt"/>
    <w:rsid w:val="009652A2"/>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0935980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jpg" Id="rId19" /><Relationship Type="http://schemas.openxmlformats.org/officeDocument/2006/relationships/webSettings" Target="webSettings.xml" Id="rId9" /><Relationship Type="http://schemas.openxmlformats.org/officeDocument/2006/relationships/footer" Target="footer2.xml" Id="rId14" /><Relationship Type="http://schemas.microsoft.com/office/2020/10/relationships/intelligence" Target="intelligence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Skaftfrakturer i överarmen (humerus).ORT</dc:title>
  <dc:subject/>
  <dc:creator>patrik.jens.johansson@vgregion.se</dc:creator>
  <keywords/>
  <lastModifiedBy>Anita Henriksson</lastModifiedBy>
  <revision>123</revision>
  <lastPrinted>2016-03-31T10:56:00.0000000Z</lastPrinted>
  <dcterms:created xsi:type="dcterms:W3CDTF">2025-04-04T09:45:00.0000000Z</dcterms:created>
  <dcterms:modified xsi:type="dcterms:W3CDTF">2025-07-22T12:26:48.0000000Z</dcterms:modified>
</coreProperties>
</file>