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E6DE9" w:rsidP="00F35B05" w:rsidRDefault="008E6DE9" w14:paraId="3090B763" w14:textId="77777777">
      <w:pPr>
        <w:pStyle w:val="Rubrik2"/>
        <w:sectPr w:rsidR="008E6DE9" w:rsidSect="008E6DE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85644B" w:rsidP="007340D6" w:rsidRDefault="00F32004" w14:paraId="232CF305" w14:textId="4120CB37">
      <w:pPr>
        <w:pStyle w:val="Rubrik1"/>
        <w:ind w:left="567" w:right="-143"/>
      </w:pPr>
      <w:r>
        <w:t>Periprotesfraktur</w:t>
      </w:r>
    </w:p>
    <w:p w:rsidRPr="008E6DE9" w:rsidR="008E6DE9" w:rsidP="007340D6" w:rsidRDefault="00F32004" w14:paraId="3AD82F9A" w14:textId="00D3089A">
      <w:pPr>
        <w:pStyle w:val="Rubrik2"/>
        <w:ind w:left="567" w:right="-143"/>
      </w:pPr>
      <w:r>
        <w:t>Förändringar sedan föregående version</w:t>
      </w:r>
    </w:p>
    <w:p w:rsidRPr="00E9579F" w:rsidR="008E6DE9" w:rsidP="007340D6" w:rsidRDefault="00F32004" w14:paraId="2874B79F" w14:textId="7F8FC274">
      <w:pPr>
        <w:ind w:left="567" w:right="-143"/>
      </w:pPr>
      <w:r w:rsidR="00F32004">
        <w:rPr/>
        <w:t>2022</w:t>
      </w:r>
      <w:r w:rsidR="00E9579F">
        <w:rPr/>
        <w:t xml:space="preserve"> - </w:t>
      </w:r>
      <w:r w:rsidR="008E6DE9">
        <w:rPr/>
        <w:t>Första versionen</w:t>
      </w:r>
    </w:p>
    <w:p w:rsidR="0690F9B2" w:rsidP="50070F9F" w:rsidRDefault="0690F9B2" w14:paraId="05DCE8E1" w14:textId="7513EB70">
      <w:pPr>
        <w:ind w:left="567" w:right="-143"/>
      </w:pPr>
      <w:r w:rsidR="0690F9B2">
        <w:rPr/>
        <w:t>2025 Inga ändringar</w:t>
      </w:r>
    </w:p>
    <w:p w:rsidRPr="008E6DE9" w:rsidR="008E6DE9" w:rsidP="007340D6" w:rsidRDefault="00E9579F" w14:paraId="20B50E9A" w14:textId="4066EF0F">
      <w:pPr>
        <w:pStyle w:val="Rubrik2"/>
        <w:ind w:left="567" w:right="-143"/>
      </w:pPr>
      <w:r>
        <w:t>Bakgrund och s</w:t>
      </w:r>
      <w:r w:rsidRPr="008E6DE9" w:rsidR="008E6DE9">
        <w:t>yfte</w:t>
      </w:r>
    </w:p>
    <w:p w:rsidR="008E6DE9" w:rsidP="007340D6" w:rsidRDefault="008E6DE9" w14:paraId="167F97BB" w14:textId="75C1E2B5">
      <w:pPr>
        <w:ind w:left="567" w:right="-143"/>
      </w:pPr>
      <w:r w:rsidRPr="008E6DE9">
        <w:t xml:space="preserve">Att säkerställa en standardiserad, evidensbaserad handläggning av höft </w:t>
      </w:r>
      <w:r w:rsidR="009D6C94">
        <w:t>och</w:t>
      </w:r>
      <w:r w:rsidRPr="008E6DE9">
        <w:t xml:space="preserve"> knäprotesnära frakturer.</w:t>
      </w:r>
    </w:p>
    <w:p w:rsidRPr="008E6DE9" w:rsidR="00CD6CCB" w:rsidP="007340D6" w:rsidRDefault="00CD6CCB" w14:paraId="34037496" w14:textId="77777777">
      <w:pPr>
        <w:pStyle w:val="Rubrik3"/>
        <w:ind w:left="567" w:right="-143"/>
      </w:pPr>
      <w:r w:rsidRPr="008E6DE9">
        <w:t>Ansvar</w:t>
      </w:r>
    </w:p>
    <w:p w:rsidRPr="009D6C94" w:rsidR="00CD6CCB" w:rsidP="007340D6" w:rsidRDefault="00CD6CCB" w14:paraId="3A88FA9F" w14:textId="2F4707B9">
      <w:pPr>
        <w:ind w:left="567" w:right="-143"/>
      </w:pPr>
      <w:r w:rsidRPr="008E6DE9">
        <w:t xml:space="preserve">Sektionschef i protesteamet har ansvar för att denna rutin blir känd och följs Alla läkare på ortopedin ansvarar för att arbeta utefter denna rutin. </w:t>
      </w:r>
      <w:r w:rsidRPr="008E6DE9" w:rsidR="00394EC1">
        <w:t>Innehållsansvarig ansvarar för att rutinen revidering av rutinen vid behov dock minst en gång vartannat år</w:t>
      </w:r>
      <w:r w:rsidR="00394EC1">
        <w:t>.</w:t>
      </w:r>
    </w:p>
    <w:p w:rsidRPr="00405C76" w:rsidR="008E6DE9" w:rsidP="007340D6" w:rsidRDefault="009D6C94" w14:paraId="0BCC7D63" w14:textId="6197CAE3">
      <w:pPr>
        <w:pStyle w:val="Rubrik2"/>
        <w:ind w:left="567" w:right="-143"/>
      </w:pPr>
      <w:r>
        <w:t>Utförande</w:t>
      </w:r>
    </w:p>
    <w:p w:rsidRPr="008E6DE9" w:rsidR="008E6DE9" w:rsidP="007340D6" w:rsidRDefault="008E6DE9" w14:paraId="3EF2F30A" w14:textId="77777777">
      <w:pPr>
        <w:pStyle w:val="Rubrik3"/>
        <w:ind w:left="567" w:right="-143"/>
      </w:pPr>
      <w:r w:rsidRPr="008E6DE9">
        <w:t>Klinisk undersökning</w:t>
      </w:r>
    </w:p>
    <w:p w:rsidRPr="008E6DE9" w:rsidR="008E6DE9" w:rsidP="007340D6" w:rsidRDefault="008E6DE9" w14:paraId="0962A9B1" w14:textId="77777777">
      <w:pPr>
        <w:ind w:left="567" w:right="-143"/>
      </w:pPr>
      <w:r w:rsidRPr="008E6DE9">
        <w:t>Plötsligt debuterad smärta samt svullnad och ömhet runt knäet eller höften med eller utan felställning är av de vanliga symtomen. Oförmåga att gå och belasta är en de allra viktigaste kliniska fynden.</w:t>
      </w:r>
    </w:p>
    <w:p w:rsidRPr="008E6DE9" w:rsidR="008E6DE9" w:rsidP="007340D6" w:rsidRDefault="008E6DE9" w14:paraId="2914A3B9" w14:textId="5706B1A3">
      <w:pPr>
        <w:ind w:left="567" w:right="-143"/>
      </w:pPr>
      <w:r w:rsidRPr="008E6DE9">
        <w:t>Följande frågor ska kunna besvaras och dokumenteras i journalen</w:t>
      </w:r>
      <w:r w:rsidR="00405C76">
        <w:t>:</w:t>
      </w:r>
    </w:p>
    <w:p w:rsidRPr="008E6DE9" w:rsidR="008E6DE9" w:rsidP="007340D6" w:rsidRDefault="00405C76" w14:paraId="17D9C16F" w14:textId="66CE2A21">
      <w:pPr>
        <w:pStyle w:val="Punktlista"/>
        <w:ind w:left="567" w:right="-143"/>
      </w:pPr>
      <w:r>
        <w:t>Ä</w:t>
      </w:r>
      <w:r w:rsidRPr="008E6DE9" w:rsidR="008E6DE9">
        <w:t>r benet felställt? Utåtroterat? Förkortat?</w:t>
      </w:r>
    </w:p>
    <w:p w:rsidRPr="008E6DE9" w:rsidR="008E6DE9" w:rsidP="007340D6" w:rsidRDefault="00405C76" w14:paraId="17DE6EE8" w14:textId="5D29B030">
      <w:pPr>
        <w:pStyle w:val="Punktlista"/>
        <w:ind w:left="567" w:right="-143"/>
      </w:pPr>
      <w:r>
        <w:t>F</w:t>
      </w:r>
      <w:r w:rsidRPr="008E6DE9" w:rsidR="008E6DE9">
        <w:t>öreligger en öppenskada?</w:t>
      </w:r>
    </w:p>
    <w:p w:rsidRPr="008E6DE9" w:rsidR="008E6DE9" w:rsidP="007340D6" w:rsidRDefault="00405C76" w14:paraId="4B517ADE" w14:textId="031A7A0C">
      <w:pPr>
        <w:pStyle w:val="Punktlista"/>
        <w:ind w:left="567" w:right="-143"/>
      </w:pPr>
      <w:r>
        <w:t>D</w:t>
      </w:r>
      <w:r w:rsidRPr="008E6DE9" w:rsidR="008E6DE9">
        <w:t>istalstatus (neurologiskt och cirkulatoriskt)</w:t>
      </w:r>
      <w:r w:rsidR="00287D62">
        <w:t>.</w:t>
      </w:r>
    </w:p>
    <w:p w:rsidRPr="008E6DE9" w:rsidR="008E6DE9" w:rsidP="007340D6" w:rsidRDefault="00405C76" w14:paraId="0FE38685" w14:textId="29C8C1CD">
      <w:pPr>
        <w:pStyle w:val="Punktlista"/>
        <w:ind w:left="567" w:right="-143"/>
      </w:pPr>
      <w:r>
        <w:t>P</w:t>
      </w:r>
      <w:r w:rsidRPr="008E6DE9" w:rsidR="008E6DE9">
        <w:t>atientens allmäntillstånd och riskutvärdering</w:t>
      </w:r>
      <w:r w:rsidR="00287D62">
        <w:t>,</w:t>
      </w:r>
    </w:p>
    <w:p w:rsidRPr="002B5806" w:rsidR="008E6DE9" w:rsidP="007340D6" w:rsidRDefault="00405C76" w14:paraId="3C94C3E0" w14:textId="44FEBAEF">
      <w:pPr>
        <w:pStyle w:val="Punktlista"/>
        <w:ind w:left="567" w:right="-143"/>
        <w:rPr/>
      </w:pPr>
      <w:r w:rsidR="00405C76">
        <w:rPr/>
        <w:t>P</w:t>
      </w:r>
      <w:r w:rsidR="008E6DE9">
        <w:rPr/>
        <w:t>rotestyp (skaffa information om insatta proteser för icke S</w:t>
      </w:r>
      <w:r w:rsidR="4CA85C6B">
        <w:rPr/>
        <w:t>a</w:t>
      </w:r>
      <w:r w:rsidR="00287D62">
        <w:rPr/>
        <w:t>hlgrenska</w:t>
      </w:r>
      <w:r w:rsidR="008E6DE9">
        <w:rPr/>
        <w:t xml:space="preserve"> patienter), patienter som opererats på S</w:t>
      </w:r>
      <w:r w:rsidR="00287D62">
        <w:rPr/>
        <w:t>ahlgrenska</w:t>
      </w:r>
      <w:r w:rsidR="008E6DE9">
        <w:rPr/>
        <w:t xml:space="preserve"> kan man kort nämna protestypen från tidigare op</w:t>
      </w:r>
      <w:r w:rsidR="00287D62">
        <w:rPr/>
        <w:t>erations</w:t>
      </w:r>
      <w:r w:rsidR="008E6DE9">
        <w:rPr/>
        <w:t>berättelsen</w:t>
      </w:r>
      <w:r w:rsidR="00287D62">
        <w:rPr/>
        <w:t>,</w:t>
      </w:r>
    </w:p>
    <w:p w:rsidR="00392D38" w:rsidP="007340D6" w:rsidRDefault="00392D38" w14:paraId="0415A709" w14:textId="77777777">
      <w:pPr>
        <w:pStyle w:val="Rubrik3"/>
        <w:ind w:left="567" w:right="-143"/>
      </w:pPr>
    </w:p>
    <w:p w:rsidRPr="008E6DE9" w:rsidR="008E6DE9" w:rsidP="007340D6" w:rsidRDefault="008E6DE9" w14:paraId="322B31A8" w14:textId="0AE4BC3A">
      <w:pPr>
        <w:pStyle w:val="Rubrik3"/>
        <w:ind w:left="567" w:right="-143"/>
      </w:pPr>
      <w:r w:rsidRPr="008E6DE9">
        <w:t>Differentialdiagnoser</w:t>
      </w:r>
    </w:p>
    <w:p w:rsidRPr="008E6DE9" w:rsidR="008E6DE9" w:rsidP="007340D6" w:rsidRDefault="008E6DE9" w14:paraId="3E1CC63C" w14:textId="77777777">
      <w:pPr>
        <w:spacing w:after="0" w:line="240" w:lineRule="auto"/>
        <w:ind w:left="567" w:right="-143"/>
      </w:pPr>
    </w:p>
    <w:p w:rsidRPr="002B5806" w:rsidR="008E6DE9" w:rsidP="007340D6" w:rsidRDefault="008E6DE9" w14:paraId="70EDBB38" w14:textId="77777777">
      <w:pPr>
        <w:pStyle w:val="Liststycke"/>
        <w:ind w:left="567" w:right="-143"/>
        <w:rPr>
          <w:b/>
          <w:bCs/>
        </w:rPr>
      </w:pPr>
      <w:r w:rsidRPr="002B5806">
        <w:rPr>
          <w:b/>
          <w:bCs/>
        </w:rPr>
        <w:t>Höft/knäkontusioner</w:t>
      </w:r>
    </w:p>
    <w:p w:rsidRPr="008E6DE9" w:rsidR="008E6DE9" w:rsidP="007340D6" w:rsidRDefault="008E6DE9" w14:paraId="4ECF9220" w14:textId="1525621A">
      <w:pPr>
        <w:ind w:left="567" w:right="-143"/>
      </w:pPr>
      <w:r w:rsidRPr="008E6DE9">
        <w:t>Oftast röntgen behövs för att utesluta frakturer och i vissa fall komplettering med CT är indicerat där man trots negativ röntgen misstänker odislocerad periprostetisk fraktur.</w:t>
      </w:r>
    </w:p>
    <w:p w:rsidRPr="008E6DE9" w:rsidR="008E6DE9" w:rsidP="007340D6" w:rsidRDefault="008E6DE9" w14:paraId="0C25C38C" w14:textId="77777777">
      <w:pPr>
        <w:pStyle w:val="Liststycke"/>
        <w:ind w:left="567" w:right="-143"/>
      </w:pPr>
      <w:r w:rsidRPr="002B5806">
        <w:rPr>
          <w:b/>
          <w:bCs/>
        </w:rPr>
        <w:t>Proteslossning</w:t>
      </w:r>
    </w:p>
    <w:p w:rsidRPr="00394EC1" w:rsidR="008E6DE9" w:rsidP="007340D6" w:rsidRDefault="008E6DE9" w14:paraId="60760701" w14:textId="046AE833">
      <w:pPr>
        <w:ind w:left="567" w:right="-143"/>
      </w:pPr>
      <w:r w:rsidRPr="008E6DE9">
        <w:t>Försämring av tidigare kroniskt besvär i höften efter mindre trauma kan misstolkas som en periprostetisk fraktur.</w:t>
      </w:r>
    </w:p>
    <w:p w:rsidRPr="002B5806" w:rsidR="008E6DE9" w:rsidP="007340D6" w:rsidRDefault="008E6DE9" w14:paraId="2AF79744" w14:textId="77777777">
      <w:pPr>
        <w:pStyle w:val="Liststycke"/>
        <w:ind w:left="567" w:right="-143"/>
        <w:rPr>
          <w:b/>
          <w:bCs/>
        </w:rPr>
      </w:pPr>
      <w:r w:rsidRPr="002B5806">
        <w:rPr>
          <w:b/>
          <w:bCs/>
        </w:rPr>
        <w:t>Andra frakturer i bäckenet eller knäet</w:t>
      </w:r>
    </w:p>
    <w:p w:rsidRPr="00EA4674" w:rsidR="008E6DE9" w:rsidP="007340D6" w:rsidRDefault="008E6DE9" w14:paraId="0E0AD51A" w14:textId="5ECD7CB4">
      <w:pPr>
        <w:ind w:left="567" w:right="-143"/>
      </w:pPr>
      <w:r w:rsidRPr="008E6DE9">
        <w:t>Röntgen kan utesluta andra frakturer och röntgenbeställning är baserad på kliniska undersökningen</w:t>
      </w:r>
    </w:p>
    <w:p w:rsidRPr="008E6DE9" w:rsidR="008E6DE9" w:rsidP="007340D6" w:rsidRDefault="008E6DE9" w14:paraId="509E0469" w14:textId="77777777">
      <w:pPr>
        <w:pStyle w:val="Rubrik3"/>
        <w:ind w:left="567" w:right="-143"/>
      </w:pPr>
      <w:r w:rsidRPr="008E6DE9">
        <w:t>Röntgenundersökning</w:t>
      </w:r>
    </w:p>
    <w:p w:rsidRPr="00EA4674" w:rsidR="008E6DE9" w:rsidP="007340D6" w:rsidRDefault="008E6DE9" w14:paraId="24F6EBDE" w14:textId="481BDBDE">
      <w:pPr>
        <w:ind w:left="567" w:right="-143"/>
      </w:pPr>
      <w:r w:rsidRPr="008E6DE9">
        <w:t xml:space="preserve">Slätröntgen som visar skadan/frakturen i helhet, komplettering med CT för att kunna utvärdera eventuell benförlust, proteslossning, intraartikulär engagemang och patologiska frakturer. MR kan övervägas i vissa patologiska frakturer såsom lymphom </w:t>
      </w:r>
      <w:r w:rsidRPr="008E6DE9" w:rsidR="00EA4674">
        <w:t>etcetera</w:t>
      </w:r>
      <w:r w:rsidR="00EA4674">
        <w:t>.</w:t>
      </w:r>
    </w:p>
    <w:p w:rsidRPr="008E6DE9" w:rsidR="008E6DE9" w:rsidP="007340D6" w:rsidRDefault="008E6DE9" w14:paraId="2FC35999" w14:textId="77777777">
      <w:pPr>
        <w:pStyle w:val="Rubrik3"/>
        <w:ind w:left="567" w:right="-143"/>
      </w:pPr>
      <w:r w:rsidRPr="008E6DE9">
        <w:t>Inläggning</w:t>
      </w:r>
    </w:p>
    <w:p w:rsidRPr="0036270A" w:rsidR="008E6DE9" w:rsidP="007340D6" w:rsidRDefault="008E6DE9" w14:paraId="059DD2BF" w14:textId="470E8067">
      <w:pPr>
        <w:ind w:left="567" w:right="-143"/>
      </w:pPr>
      <w:r w:rsidRPr="008E6DE9">
        <w:t>Patienter med protesnära frakturer läggs in på vårdavdelning. Typ A kan eventuellt skickas hem utan inläggning. Om inläggningen kontaktas proteskonsult på kontorstid, protesjour på jourtid (må</w:t>
      </w:r>
      <w:r w:rsidR="00986A74">
        <w:t xml:space="preserve">ndag till </w:t>
      </w:r>
      <w:r w:rsidRPr="008E6DE9">
        <w:t>to</w:t>
      </w:r>
      <w:r w:rsidR="00986A74">
        <w:t>rsdag</w:t>
      </w:r>
      <w:r w:rsidRPr="008E6DE9">
        <w:t xml:space="preserve"> före kl</w:t>
      </w:r>
      <w:r w:rsidR="00986A74">
        <w:t>ockan</w:t>
      </w:r>
      <w:r w:rsidRPr="008E6DE9">
        <w:t xml:space="preserve"> 19</w:t>
      </w:r>
      <w:r w:rsidR="00986A74">
        <w:t>:00</w:t>
      </w:r>
      <w:r w:rsidRPr="008E6DE9">
        <w:t>, fre</w:t>
      </w:r>
      <w:r w:rsidR="00986A74">
        <w:t>dag</w:t>
      </w:r>
      <w:r w:rsidRPr="008E6DE9">
        <w:t xml:space="preserve"> före kl</w:t>
      </w:r>
      <w:r w:rsidR="00986A74">
        <w:t>ockan</w:t>
      </w:r>
      <w:r w:rsidRPr="008E6DE9">
        <w:t xml:space="preserve"> 16.30). Övrig tid kontaktas bakjouren om inläggningen enligt gällande rutin om inläggningar på akutintaget.</w:t>
      </w:r>
    </w:p>
    <w:p w:rsidRPr="008E6DE9" w:rsidR="008E6DE9" w:rsidP="007340D6" w:rsidRDefault="008E6DE9" w14:paraId="12AA9154" w14:textId="77777777">
      <w:pPr>
        <w:pStyle w:val="Rubrik3"/>
        <w:ind w:left="567" w:right="-143"/>
      </w:pPr>
      <w:r w:rsidRPr="008E6DE9">
        <w:t>Klassificera höft periprostetiska frakturer</w:t>
      </w:r>
    </w:p>
    <w:p w:rsidRPr="008E6DE9" w:rsidR="008E6DE9" w:rsidP="007340D6" w:rsidRDefault="008E6DE9" w14:paraId="77202C3A" w14:textId="0AC2AD65">
      <w:pPr>
        <w:ind w:left="567" w:right="-143"/>
      </w:pPr>
      <w:r w:rsidRPr="008E6DE9">
        <w:t>Vi använder Vancouver klassifikationssystem som beskriver frakturen och tar hänsyn till proteslossning, benkvaliten och benförlust.</w:t>
      </w:r>
    </w:p>
    <w:p w:rsidRPr="008E6DE9" w:rsidR="008E6DE9" w:rsidP="007340D6" w:rsidRDefault="008E6DE9" w14:paraId="70AE05F0" w14:textId="656C92F2">
      <w:pPr>
        <w:ind w:left="567" w:right="-143"/>
      </w:pPr>
      <w:r w:rsidRPr="3046247A" w:rsidR="008E6DE9">
        <w:rPr>
          <w:b w:val="1"/>
          <w:bCs w:val="1"/>
        </w:rPr>
        <w:t>Typ</w:t>
      </w:r>
      <w:r w:rsidR="008E6DE9">
        <w:rPr/>
        <w:t xml:space="preserve"> </w:t>
      </w:r>
      <w:r w:rsidRPr="3046247A" w:rsidR="008E6DE9">
        <w:rPr>
          <w:b w:val="1"/>
          <w:bCs w:val="1"/>
        </w:rPr>
        <w:t>A</w:t>
      </w:r>
    </w:p>
    <w:p w:rsidRPr="008E6DE9" w:rsidR="008E6DE9" w:rsidP="007340D6" w:rsidRDefault="008E6DE9" w14:paraId="284DB4B1" w14:textId="6C926684">
      <w:pPr>
        <w:ind w:left="567" w:right="-143"/>
      </w:pPr>
      <w:r w:rsidR="0036270A">
        <w:rPr/>
        <w:t xml:space="preserve"> </w:t>
      </w:r>
      <w:r w:rsidR="008E6DE9">
        <w:rPr/>
        <w:t xml:space="preserve">AG: frakturen omfattar bara </w:t>
      </w:r>
      <w:r w:rsidR="008E6DE9">
        <w:rPr/>
        <w:t>trokanter</w:t>
      </w:r>
      <w:r w:rsidR="008E6DE9">
        <w:rPr/>
        <w:t xml:space="preserve"> major</w:t>
      </w:r>
    </w:p>
    <w:p w:rsidRPr="008E6DE9" w:rsidR="008E6DE9" w:rsidP="007340D6" w:rsidRDefault="008E6DE9" w14:paraId="4819BB73" w14:textId="00F95695">
      <w:pPr>
        <w:ind w:left="567" w:right="-143"/>
      </w:pPr>
      <w:r w:rsidRPr="008E6DE9">
        <w:t>AL: frakturen omfattar trokanter minor</w:t>
      </w:r>
    </w:p>
    <w:p w:rsidRPr="008E6DE9" w:rsidR="008E6DE9" w:rsidP="007340D6" w:rsidRDefault="008E6DE9" w14:paraId="1E38F9C1" w14:textId="2D4F4FCB">
      <w:pPr>
        <w:ind w:left="567" w:right="-143"/>
      </w:pPr>
      <w:r w:rsidRPr="0036270A">
        <w:rPr>
          <w:b/>
          <w:bCs/>
        </w:rPr>
        <w:t>Typ B</w:t>
      </w:r>
      <w:r w:rsidR="0036270A">
        <w:t xml:space="preserve"> </w:t>
      </w:r>
      <w:r w:rsidRPr="008E6DE9">
        <w:t>Frakturen ligger runt protesen eller vid distalspetsen</w:t>
      </w:r>
    </w:p>
    <w:p w:rsidRPr="008E6DE9" w:rsidR="008E6DE9" w:rsidP="007340D6" w:rsidRDefault="008E6DE9" w14:paraId="0AD225D3" w14:textId="56B4DEF5">
      <w:pPr>
        <w:ind w:left="567" w:right="-143"/>
      </w:pPr>
      <w:r w:rsidRPr="008E6DE9">
        <w:t>B1: välfixerad protes utan tecken på lossning</w:t>
      </w:r>
    </w:p>
    <w:p w:rsidRPr="008E6DE9" w:rsidR="008E6DE9" w:rsidP="007340D6" w:rsidRDefault="008E6DE9" w14:paraId="3B01D8C8" w14:textId="73DA5064">
      <w:pPr>
        <w:ind w:left="567" w:right="-143"/>
      </w:pPr>
      <w:r w:rsidRPr="008E6DE9">
        <w:t>B2: radiologiska tecken på proteslossning</w:t>
      </w:r>
    </w:p>
    <w:p w:rsidRPr="008E6DE9" w:rsidR="008E6DE9" w:rsidP="007340D6" w:rsidRDefault="008E6DE9" w14:paraId="50E65549" w14:textId="194B020B">
      <w:pPr>
        <w:ind w:left="567" w:right="-143"/>
      </w:pPr>
      <w:r w:rsidRPr="008E6DE9">
        <w:t>B3: dålig benkvalitet, benförlust, kortikaldefekt eller komminut fraktur</w:t>
      </w:r>
    </w:p>
    <w:p w:rsidR="007340D6" w:rsidP="00392D38" w:rsidRDefault="008E6DE9" w14:paraId="113EB8F5" w14:textId="3384057F">
      <w:pPr>
        <w:ind w:left="567" w:right="-143"/>
      </w:pPr>
      <w:r w:rsidRPr="0036270A">
        <w:rPr>
          <w:b/>
          <w:bCs/>
        </w:rPr>
        <w:t>Typ C</w:t>
      </w:r>
      <w:r w:rsidR="0036270A">
        <w:t xml:space="preserve"> </w:t>
      </w:r>
      <w:r w:rsidRPr="008E6DE9">
        <w:t>Frakturen ligger disalt om protesstammen</w:t>
      </w:r>
    </w:p>
    <w:p w:rsidRPr="008E6DE9" w:rsidR="008E6DE9" w:rsidP="007340D6" w:rsidRDefault="008E6DE9" w14:paraId="7C1BD31A" w14:textId="488F6634">
      <w:pPr>
        <w:pStyle w:val="Rubrik3"/>
        <w:ind w:left="567" w:right="-143"/>
      </w:pPr>
      <w:r w:rsidRPr="008E6DE9">
        <w:t>Behandling</w:t>
      </w:r>
    </w:p>
    <w:p w:rsidR="00394EC1" w:rsidP="00394EC1" w:rsidRDefault="00394EC1" w14:paraId="28588D99" w14:textId="77777777">
      <w:pPr>
        <w:spacing w:after="0" w:line="240" w:lineRule="auto"/>
        <w:ind w:left="0" w:right="0"/>
        <w:rPr>
          <w:rFonts w:ascii="Arial" w:hAnsi="Arial" w:cs="Arial"/>
          <w:sz w:val="20"/>
        </w:rPr>
      </w:pPr>
    </w:p>
    <w:tbl>
      <w:tblPr>
        <w:tblStyle w:val="Tabellrutnt"/>
        <w:tblW w:w="10201" w:type="dxa"/>
        <w:tblLook w:val="04A0" w:firstRow="1" w:lastRow="0" w:firstColumn="1" w:lastColumn="0" w:noHBand="0" w:noVBand="1"/>
      </w:tblPr>
      <w:tblGrid>
        <w:gridCol w:w="1517"/>
        <w:gridCol w:w="1384"/>
        <w:gridCol w:w="1517"/>
        <w:gridCol w:w="1584"/>
        <w:gridCol w:w="1484"/>
        <w:gridCol w:w="1484"/>
        <w:gridCol w:w="1328"/>
      </w:tblGrid>
      <w:tr w:rsidR="00E131E7" w:rsidTr="007C2D76" w14:paraId="52F143EC" w14:textId="77777777">
        <w:trPr>
          <w:trHeight w:val="441"/>
        </w:trPr>
        <w:tc>
          <w:tcPr>
            <w:tcW w:w="1216" w:type="dxa"/>
          </w:tcPr>
          <w:p w:rsidRPr="007C2D76" w:rsidR="00537E59" w:rsidP="00394EC1" w:rsidRDefault="00537E59" w14:paraId="519CBBD0" w14:textId="4CC1251B">
            <w:pPr>
              <w:spacing w:after="0" w:line="240" w:lineRule="auto"/>
              <w:ind w:left="0" w:right="0"/>
              <w:rPr>
                <w:rFonts w:ascii="Arial" w:hAnsi="Arial" w:cs="Arial"/>
                <w:b/>
                <w:bCs/>
                <w:sz w:val="20"/>
              </w:rPr>
            </w:pPr>
            <w:r w:rsidRPr="007C2D76">
              <w:rPr>
                <w:rFonts w:ascii="Arial" w:hAnsi="Arial" w:cs="Arial"/>
                <w:b/>
                <w:bCs/>
                <w:sz w:val="20"/>
              </w:rPr>
              <w:t>Klassifikat</w:t>
            </w:r>
            <w:r w:rsidRPr="007C2D76" w:rsidR="00BE1034">
              <w:rPr>
                <w:rFonts w:ascii="Arial" w:hAnsi="Arial" w:cs="Arial"/>
                <w:b/>
                <w:bCs/>
                <w:sz w:val="20"/>
              </w:rPr>
              <w:t>ion</w:t>
            </w:r>
          </w:p>
        </w:tc>
        <w:tc>
          <w:tcPr>
            <w:tcW w:w="1216" w:type="dxa"/>
          </w:tcPr>
          <w:p w:rsidR="00537E59" w:rsidP="00394EC1" w:rsidRDefault="00BE1034" w14:paraId="04DDEB7D" w14:textId="68385BBE">
            <w:pPr>
              <w:spacing w:after="0" w:line="240" w:lineRule="auto"/>
              <w:ind w:left="0" w:right="0"/>
              <w:rPr>
                <w:rFonts w:ascii="Arial" w:hAnsi="Arial" w:cs="Arial"/>
                <w:sz w:val="20"/>
              </w:rPr>
            </w:pPr>
            <w:r w:rsidRPr="007C2D76">
              <w:rPr>
                <w:rFonts w:ascii="Arial" w:hAnsi="Arial" w:cs="Arial"/>
                <w:b/>
                <w:bCs/>
                <w:sz w:val="20"/>
              </w:rPr>
              <w:t>A</w:t>
            </w:r>
            <w:r>
              <w:rPr>
                <w:rFonts w:ascii="Arial" w:hAnsi="Arial" w:cs="Arial"/>
                <w:sz w:val="20"/>
              </w:rPr>
              <w:t>L</w:t>
            </w:r>
          </w:p>
        </w:tc>
        <w:tc>
          <w:tcPr>
            <w:tcW w:w="1330" w:type="dxa"/>
          </w:tcPr>
          <w:p w:rsidR="00537E59" w:rsidP="00394EC1" w:rsidRDefault="00BE1034" w14:paraId="509FD47B" w14:textId="742F1A63">
            <w:pPr>
              <w:spacing w:after="0" w:line="240" w:lineRule="auto"/>
              <w:ind w:left="0" w:right="0"/>
              <w:rPr>
                <w:rFonts w:ascii="Arial" w:hAnsi="Arial" w:cs="Arial"/>
                <w:sz w:val="20"/>
              </w:rPr>
            </w:pPr>
            <w:r w:rsidRPr="007C2D76">
              <w:rPr>
                <w:rFonts w:ascii="Arial" w:hAnsi="Arial" w:cs="Arial"/>
                <w:b/>
                <w:bCs/>
                <w:sz w:val="20"/>
              </w:rPr>
              <w:t>A</w:t>
            </w:r>
            <w:r>
              <w:rPr>
                <w:rFonts w:ascii="Arial" w:hAnsi="Arial" w:cs="Arial"/>
                <w:sz w:val="20"/>
              </w:rPr>
              <w:t>G</w:t>
            </w:r>
          </w:p>
        </w:tc>
        <w:tc>
          <w:tcPr>
            <w:tcW w:w="1387" w:type="dxa"/>
          </w:tcPr>
          <w:p w:rsidR="00537E59" w:rsidP="00394EC1" w:rsidRDefault="00BE1034" w14:paraId="1EA743C2" w14:textId="7B0D4C32">
            <w:pPr>
              <w:spacing w:after="0" w:line="240" w:lineRule="auto"/>
              <w:ind w:left="0" w:right="0"/>
              <w:rPr>
                <w:rFonts w:ascii="Arial" w:hAnsi="Arial" w:cs="Arial"/>
                <w:sz w:val="20"/>
              </w:rPr>
            </w:pPr>
            <w:r w:rsidRPr="007C2D76">
              <w:rPr>
                <w:rFonts w:ascii="Arial" w:hAnsi="Arial" w:cs="Arial"/>
                <w:b/>
                <w:bCs/>
                <w:sz w:val="20"/>
              </w:rPr>
              <w:t>B</w:t>
            </w:r>
            <w:r>
              <w:rPr>
                <w:rFonts w:ascii="Arial" w:hAnsi="Arial" w:cs="Arial"/>
                <w:sz w:val="20"/>
              </w:rPr>
              <w:t>1</w:t>
            </w:r>
          </w:p>
        </w:tc>
        <w:tc>
          <w:tcPr>
            <w:tcW w:w="1301" w:type="dxa"/>
          </w:tcPr>
          <w:p w:rsidR="00537E59" w:rsidP="00394EC1" w:rsidRDefault="00BE1034" w14:paraId="11DF317C" w14:textId="1D4F0B2C">
            <w:pPr>
              <w:spacing w:after="0" w:line="240" w:lineRule="auto"/>
              <w:ind w:left="0" w:right="0"/>
              <w:rPr>
                <w:rFonts w:ascii="Arial" w:hAnsi="Arial" w:cs="Arial"/>
                <w:sz w:val="20"/>
              </w:rPr>
            </w:pPr>
            <w:r w:rsidRPr="007C2D76">
              <w:rPr>
                <w:rFonts w:ascii="Arial" w:hAnsi="Arial" w:cs="Arial"/>
                <w:b/>
                <w:bCs/>
                <w:sz w:val="20"/>
              </w:rPr>
              <w:t>B</w:t>
            </w:r>
            <w:r>
              <w:rPr>
                <w:rFonts w:ascii="Arial" w:hAnsi="Arial" w:cs="Arial"/>
                <w:sz w:val="20"/>
              </w:rPr>
              <w:t>2</w:t>
            </w:r>
          </w:p>
        </w:tc>
        <w:tc>
          <w:tcPr>
            <w:tcW w:w="1301" w:type="dxa"/>
          </w:tcPr>
          <w:p w:rsidR="00537E59" w:rsidP="00394EC1" w:rsidRDefault="00BE1034" w14:paraId="3A7A2AE1" w14:textId="651D583F">
            <w:pPr>
              <w:spacing w:after="0" w:line="240" w:lineRule="auto"/>
              <w:ind w:left="0" w:right="0"/>
              <w:rPr>
                <w:rFonts w:ascii="Arial" w:hAnsi="Arial" w:cs="Arial"/>
                <w:sz w:val="20"/>
              </w:rPr>
            </w:pPr>
            <w:r w:rsidRPr="007C2D76">
              <w:rPr>
                <w:rFonts w:ascii="Arial" w:hAnsi="Arial" w:cs="Arial"/>
                <w:b/>
                <w:bCs/>
                <w:sz w:val="20"/>
              </w:rPr>
              <w:t>B</w:t>
            </w:r>
            <w:r>
              <w:rPr>
                <w:rFonts w:ascii="Arial" w:hAnsi="Arial" w:cs="Arial"/>
                <w:sz w:val="20"/>
              </w:rPr>
              <w:t>3</w:t>
            </w:r>
          </w:p>
        </w:tc>
        <w:tc>
          <w:tcPr>
            <w:tcW w:w="2450" w:type="dxa"/>
          </w:tcPr>
          <w:p w:rsidRPr="007C2D76" w:rsidR="00537E59" w:rsidP="00394EC1" w:rsidRDefault="00BE1034" w14:paraId="7BCBC27E" w14:textId="31CF63D8">
            <w:pPr>
              <w:spacing w:after="0" w:line="240" w:lineRule="auto"/>
              <w:ind w:left="0" w:right="0"/>
              <w:rPr>
                <w:rFonts w:ascii="Arial" w:hAnsi="Arial" w:cs="Arial"/>
                <w:b/>
                <w:bCs/>
                <w:sz w:val="20"/>
              </w:rPr>
            </w:pPr>
            <w:r w:rsidRPr="007C2D76">
              <w:rPr>
                <w:rFonts w:ascii="Arial" w:hAnsi="Arial" w:cs="Arial"/>
                <w:b/>
                <w:bCs/>
                <w:sz w:val="20"/>
              </w:rPr>
              <w:t>C</w:t>
            </w:r>
          </w:p>
        </w:tc>
      </w:tr>
      <w:tr w:rsidR="00E131E7" w:rsidTr="007C2D76" w14:paraId="06FDC166" w14:textId="77777777">
        <w:trPr>
          <w:trHeight w:val="561"/>
        </w:trPr>
        <w:tc>
          <w:tcPr>
            <w:tcW w:w="1216" w:type="dxa"/>
          </w:tcPr>
          <w:p w:rsidRPr="007C2D76" w:rsidR="00537E59" w:rsidP="00394EC1" w:rsidRDefault="00BE1034" w14:paraId="0CC7A129" w14:textId="0AE186C1">
            <w:pPr>
              <w:spacing w:after="0" w:line="240" w:lineRule="auto"/>
              <w:ind w:left="0" w:right="0"/>
              <w:rPr>
                <w:rFonts w:ascii="Arial" w:hAnsi="Arial" w:cs="Arial"/>
                <w:b/>
                <w:bCs/>
                <w:sz w:val="20"/>
              </w:rPr>
            </w:pPr>
            <w:r w:rsidRPr="007C2D76">
              <w:rPr>
                <w:rFonts w:ascii="Arial" w:hAnsi="Arial" w:cs="Arial"/>
                <w:b/>
                <w:bCs/>
                <w:sz w:val="20"/>
              </w:rPr>
              <w:t>Benkvalitet</w:t>
            </w:r>
          </w:p>
        </w:tc>
        <w:tc>
          <w:tcPr>
            <w:tcW w:w="1216" w:type="dxa"/>
          </w:tcPr>
          <w:p w:rsidR="00537E59" w:rsidP="00394EC1" w:rsidRDefault="00BE1034" w14:paraId="617E4F00" w14:textId="61DA74A1">
            <w:pPr>
              <w:spacing w:after="0" w:line="240" w:lineRule="auto"/>
              <w:ind w:left="0" w:right="0"/>
              <w:rPr>
                <w:rFonts w:ascii="Arial" w:hAnsi="Arial" w:cs="Arial"/>
                <w:sz w:val="20"/>
              </w:rPr>
            </w:pPr>
            <w:r>
              <w:rPr>
                <w:rFonts w:ascii="Arial" w:hAnsi="Arial" w:cs="Arial"/>
                <w:sz w:val="20"/>
              </w:rPr>
              <w:t>Bra</w:t>
            </w:r>
          </w:p>
        </w:tc>
        <w:tc>
          <w:tcPr>
            <w:tcW w:w="1330" w:type="dxa"/>
          </w:tcPr>
          <w:p w:rsidR="00537E59" w:rsidP="00394EC1" w:rsidRDefault="00BE1034" w14:paraId="45A99A2D" w14:textId="7F1959CC">
            <w:pPr>
              <w:spacing w:after="0" w:line="240" w:lineRule="auto"/>
              <w:ind w:left="0" w:right="0"/>
              <w:rPr>
                <w:rFonts w:ascii="Arial" w:hAnsi="Arial" w:cs="Arial"/>
                <w:sz w:val="20"/>
              </w:rPr>
            </w:pPr>
            <w:r>
              <w:rPr>
                <w:rFonts w:ascii="Arial" w:hAnsi="Arial" w:cs="Arial"/>
                <w:sz w:val="20"/>
              </w:rPr>
              <w:t>Bra</w:t>
            </w:r>
          </w:p>
        </w:tc>
        <w:tc>
          <w:tcPr>
            <w:tcW w:w="1387" w:type="dxa"/>
          </w:tcPr>
          <w:p w:rsidR="00537E59" w:rsidP="00394EC1" w:rsidRDefault="00BE1034" w14:paraId="168C8EC3" w14:textId="25A1F23C">
            <w:pPr>
              <w:spacing w:after="0" w:line="240" w:lineRule="auto"/>
              <w:ind w:left="0" w:right="0"/>
              <w:rPr>
                <w:rFonts w:ascii="Arial" w:hAnsi="Arial" w:cs="Arial"/>
                <w:sz w:val="20"/>
              </w:rPr>
            </w:pPr>
            <w:r>
              <w:rPr>
                <w:rFonts w:ascii="Arial" w:hAnsi="Arial" w:cs="Arial"/>
                <w:sz w:val="20"/>
              </w:rPr>
              <w:t>Bra</w:t>
            </w:r>
          </w:p>
        </w:tc>
        <w:tc>
          <w:tcPr>
            <w:tcW w:w="1301" w:type="dxa"/>
          </w:tcPr>
          <w:p w:rsidR="00537E59" w:rsidP="00394EC1" w:rsidRDefault="00BE1034" w14:paraId="294D7D39" w14:textId="7BA796CF">
            <w:pPr>
              <w:spacing w:after="0" w:line="240" w:lineRule="auto"/>
              <w:ind w:left="0" w:right="0"/>
              <w:rPr>
                <w:rFonts w:ascii="Arial" w:hAnsi="Arial" w:cs="Arial"/>
                <w:sz w:val="20"/>
              </w:rPr>
            </w:pPr>
            <w:r>
              <w:rPr>
                <w:rFonts w:ascii="Arial" w:hAnsi="Arial" w:cs="Arial"/>
                <w:sz w:val="20"/>
              </w:rPr>
              <w:t>Bra</w:t>
            </w:r>
          </w:p>
        </w:tc>
        <w:tc>
          <w:tcPr>
            <w:tcW w:w="1301" w:type="dxa"/>
          </w:tcPr>
          <w:p w:rsidR="00537E59" w:rsidP="00394EC1" w:rsidRDefault="00BE1034" w14:paraId="1CC9B7E5" w14:textId="5DA0E853">
            <w:pPr>
              <w:spacing w:after="0" w:line="240" w:lineRule="auto"/>
              <w:ind w:left="0" w:right="0"/>
              <w:rPr>
                <w:rFonts w:ascii="Arial" w:hAnsi="Arial" w:cs="Arial"/>
                <w:sz w:val="20"/>
              </w:rPr>
            </w:pPr>
            <w:r>
              <w:rPr>
                <w:rFonts w:ascii="Arial" w:hAnsi="Arial" w:cs="Arial"/>
                <w:sz w:val="20"/>
              </w:rPr>
              <w:t>Dålig</w:t>
            </w:r>
          </w:p>
        </w:tc>
        <w:tc>
          <w:tcPr>
            <w:tcW w:w="2450" w:type="dxa"/>
          </w:tcPr>
          <w:p w:rsidR="00537E59" w:rsidP="00394EC1" w:rsidRDefault="00BE1034" w14:paraId="01A08AE9" w14:textId="00FDADF2">
            <w:pPr>
              <w:spacing w:after="0" w:line="240" w:lineRule="auto"/>
              <w:ind w:left="0" w:right="0"/>
              <w:rPr>
                <w:rFonts w:ascii="Arial" w:hAnsi="Arial" w:cs="Arial"/>
                <w:sz w:val="20"/>
              </w:rPr>
            </w:pPr>
            <w:r>
              <w:rPr>
                <w:rFonts w:ascii="Arial" w:hAnsi="Arial" w:cs="Arial"/>
                <w:sz w:val="20"/>
              </w:rPr>
              <w:t>-</w:t>
            </w:r>
          </w:p>
        </w:tc>
      </w:tr>
      <w:tr w:rsidR="00E131E7" w:rsidTr="007C2D76" w14:paraId="1CFACC78" w14:textId="77777777">
        <w:trPr>
          <w:trHeight w:val="555"/>
        </w:trPr>
        <w:tc>
          <w:tcPr>
            <w:tcW w:w="1216" w:type="dxa"/>
          </w:tcPr>
          <w:p w:rsidRPr="007C2D76" w:rsidR="00537E59" w:rsidP="00394EC1" w:rsidRDefault="00BE1034" w14:paraId="4FF114BC" w14:textId="6BEE1EB1">
            <w:pPr>
              <w:spacing w:after="0" w:line="240" w:lineRule="auto"/>
              <w:ind w:left="0" w:right="0"/>
              <w:rPr>
                <w:rFonts w:ascii="Arial" w:hAnsi="Arial" w:cs="Arial"/>
                <w:b/>
                <w:bCs/>
                <w:sz w:val="20"/>
              </w:rPr>
            </w:pPr>
            <w:r w:rsidRPr="007C2D76">
              <w:rPr>
                <w:rFonts w:ascii="Arial" w:hAnsi="Arial" w:cs="Arial"/>
                <w:b/>
                <w:bCs/>
                <w:sz w:val="20"/>
              </w:rPr>
              <w:t>Stamfixation</w:t>
            </w:r>
          </w:p>
        </w:tc>
        <w:tc>
          <w:tcPr>
            <w:tcW w:w="1216" w:type="dxa"/>
          </w:tcPr>
          <w:p w:rsidRPr="007C2D76" w:rsidR="00537E59" w:rsidP="00394EC1" w:rsidRDefault="001A3BCD" w14:paraId="6EB55BDB" w14:textId="6FC4500E">
            <w:pPr>
              <w:spacing w:after="0" w:line="240" w:lineRule="auto"/>
              <w:ind w:left="0" w:right="0"/>
              <w:rPr>
                <w:rFonts w:ascii="Arial" w:hAnsi="Arial" w:cs="Arial"/>
                <w:b/>
                <w:bCs/>
                <w:sz w:val="20"/>
              </w:rPr>
            </w:pPr>
            <w:r w:rsidRPr="007C2D76">
              <w:rPr>
                <w:rFonts w:ascii="Arial" w:hAnsi="Arial" w:cs="Arial"/>
                <w:b/>
                <w:bCs/>
                <w:sz w:val="20"/>
              </w:rPr>
              <w:t>FAST</w:t>
            </w:r>
          </w:p>
        </w:tc>
        <w:tc>
          <w:tcPr>
            <w:tcW w:w="1330" w:type="dxa"/>
          </w:tcPr>
          <w:p w:rsidRPr="007C2D76" w:rsidR="00537E59" w:rsidP="00394EC1" w:rsidRDefault="001A3BCD" w14:paraId="3E91C3C4" w14:textId="15C30321">
            <w:pPr>
              <w:spacing w:after="0" w:line="240" w:lineRule="auto"/>
              <w:ind w:left="0" w:right="0"/>
              <w:rPr>
                <w:rFonts w:ascii="Arial" w:hAnsi="Arial" w:cs="Arial"/>
                <w:b/>
                <w:bCs/>
                <w:sz w:val="20"/>
              </w:rPr>
            </w:pPr>
            <w:r w:rsidRPr="007C2D76">
              <w:rPr>
                <w:rFonts w:ascii="Arial" w:hAnsi="Arial" w:cs="Arial"/>
                <w:b/>
                <w:bCs/>
                <w:sz w:val="20"/>
              </w:rPr>
              <w:t>FAST</w:t>
            </w:r>
          </w:p>
        </w:tc>
        <w:tc>
          <w:tcPr>
            <w:tcW w:w="1387" w:type="dxa"/>
          </w:tcPr>
          <w:p w:rsidRPr="007C2D76" w:rsidR="00537E59" w:rsidP="00394EC1" w:rsidRDefault="001A3BCD" w14:paraId="790FFC8F" w14:textId="46CA52CF">
            <w:pPr>
              <w:spacing w:after="0" w:line="240" w:lineRule="auto"/>
              <w:ind w:left="0" w:right="0"/>
              <w:rPr>
                <w:rFonts w:ascii="Arial" w:hAnsi="Arial" w:cs="Arial"/>
                <w:b/>
                <w:bCs/>
                <w:sz w:val="20"/>
              </w:rPr>
            </w:pPr>
            <w:r w:rsidRPr="007C2D76">
              <w:rPr>
                <w:rFonts w:ascii="Arial" w:hAnsi="Arial" w:cs="Arial"/>
                <w:b/>
                <w:bCs/>
                <w:sz w:val="20"/>
              </w:rPr>
              <w:t>FAST</w:t>
            </w:r>
          </w:p>
        </w:tc>
        <w:tc>
          <w:tcPr>
            <w:tcW w:w="1301" w:type="dxa"/>
          </w:tcPr>
          <w:p w:rsidRPr="007C2D76" w:rsidR="00537E59" w:rsidP="00394EC1" w:rsidRDefault="001A3BCD" w14:paraId="7558E94A" w14:textId="0704F069">
            <w:pPr>
              <w:spacing w:after="0" w:line="240" w:lineRule="auto"/>
              <w:ind w:left="0" w:right="0"/>
              <w:rPr>
                <w:rFonts w:ascii="Arial" w:hAnsi="Arial" w:cs="Arial"/>
                <w:b/>
                <w:bCs/>
                <w:sz w:val="20"/>
              </w:rPr>
            </w:pPr>
            <w:r w:rsidRPr="007C2D76">
              <w:rPr>
                <w:rFonts w:ascii="Arial" w:hAnsi="Arial" w:cs="Arial"/>
                <w:b/>
                <w:bCs/>
                <w:sz w:val="20"/>
              </w:rPr>
              <w:t>LÖS</w:t>
            </w:r>
          </w:p>
        </w:tc>
        <w:tc>
          <w:tcPr>
            <w:tcW w:w="1301" w:type="dxa"/>
          </w:tcPr>
          <w:p w:rsidRPr="007C2D76" w:rsidR="00537E59" w:rsidP="00394EC1" w:rsidRDefault="001A3BCD" w14:paraId="6EFAB916" w14:textId="71E0189C">
            <w:pPr>
              <w:spacing w:after="0" w:line="240" w:lineRule="auto"/>
              <w:ind w:left="0" w:right="0"/>
              <w:rPr>
                <w:rFonts w:ascii="Arial" w:hAnsi="Arial" w:cs="Arial"/>
                <w:b/>
                <w:bCs/>
                <w:sz w:val="20"/>
              </w:rPr>
            </w:pPr>
            <w:r w:rsidRPr="007C2D76">
              <w:rPr>
                <w:rFonts w:ascii="Arial" w:hAnsi="Arial" w:cs="Arial"/>
                <w:b/>
                <w:bCs/>
                <w:sz w:val="20"/>
              </w:rPr>
              <w:t>LÖS</w:t>
            </w:r>
          </w:p>
        </w:tc>
        <w:tc>
          <w:tcPr>
            <w:tcW w:w="2450" w:type="dxa"/>
          </w:tcPr>
          <w:p w:rsidRPr="007C2D76" w:rsidR="00537E59" w:rsidP="00394EC1" w:rsidRDefault="001A3BCD" w14:paraId="239B6EEA" w14:textId="70491679">
            <w:pPr>
              <w:spacing w:after="0" w:line="240" w:lineRule="auto"/>
              <w:ind w:left="0" w:right="0"/>
              <w:rPr>
                <w:rFonts w:ascii="Arial" w:hAnsi="Arial" w:cs="Arial"/>
                <w:b/>
                <w:bCs/>
                <w:sz w:val="20"/>
              </w:rPr>
            </w:pPr>
            <w:r w:rsidRPr="007C2D76">
              <w:rPr>
                <w:rFonts w:ascii="Arial" w:hAnsi="Arial" w:cs="Arial"/>
                <w:b/>
                <w:bCs/>
                <w:sz w:val="20"/>
              </w:rPr>
              <w:t>FAST</w:t>
            </w:r>
          </w:p>
        </w:tc>
      </w:tr>
      <w:tr w:rsidR="00E131E7" w:rsidTr="007C2D76" w14:paraId="6548FBC2" w14:textId="77777777">
        <w:tc>
          <w:tcPr>
            <w:tcW w:w="1216" w:type="dxa"/>
          </w:tcPr>
          <w:p w:rsidRPr="007C2D76" w:rsidR="00537E59" w:rsidP="00394EC1" w:rsidRDefault="001A3BCD" w14:paraId="5C82D9AE" w14:textId="2E50A2C5">
            <w:pPr>
              <w:spacing w:after="0" w:line="240" w:lineRule="auto"/>
              <w:ind w:left="0" w:right="0"/>
              <w:rPr>
                <w:rFonts w:ascii="Arial" w:hAnsi="Arial" w:cs="Arial"/>
                <w:b/>
                <w:bCs/>
                <w:sz w:val="20"/>
              </w:rPr>
            </w:pPr>
            <w:r w:rsidRPr="007C2D76">
              <w:rPr>
                <w:rFonts w:ascii="Arial" w:hAnsi="Arial" w:cs="Arial"/>
                <w:b/>
                <w:bCs/>
                <w:sz w:val="20"/>
              </w:rPr>
              <w:t>Behandling</w:t>
            </w:r>
          </w:p>
        </w:tc>
        <w:tc>
          <w:tcPr>
            <w:tcW w:w="1216" w:type="dxa"/>
          </w:tcPr>
          <w:p w:rsidR="00537E59" w:rsidP="00394EC1" w:rsidRDefault="001A3BCD" w14:paraId="22E5C9FF" w14:textId="54C666B8">
            <w:pPr>
              <w:spacing w:after="0" w:line="240" w:lineRule="auto"/>
              <w:ind w:left="0" w:right="0"/>
              <w:rPr>
                <w:rFonts w:ascii="Arial" w:hAnsi="Arial" w:cs="Arial"/>
                <w:sz w:val="20"/>
              </w:rPr>
            </w:pPr>
            <w:r>
              <w:rPr>
                <w:rFonts w:ascii="Arial" w:hAnsi="Arial" w:cs="Arial"/>
                <w:sz w:val="20"/>
              </w:rPr>
              <w:t xml:space="preserve">Symtomatisk behandling om inte </w:t>
            </w:r>
            <w:r w:rsidR="000325F6">
              <w:rPr>
                <w:rFonts w:ascii="Arial" w:hAnsi="Arial" w:cs="Arial"/>
                <w:sz w:val="20"/>
              </w:rPr>
              <w:t>påtagliga engagemang av mediala kortexen</w:t>
            </w:r>
            <w:r w:rsidR="00363CBA">
              <w:rPr>
                <w:rFonts w:ascii="Arial" w:hAnsi="Arial" w:cs="Arial"/>
                <w:sz w:val="20"/>
              </w:rPr>
              <w:t>.</w:t>
            </w:r>
          </w:p>
        </w:tc>
        <w:tc>
          <w:tcPr>
            <w:tcW w:w="1330" w:type="dxa"/>
          </w:tcPr>
          <w:p w:rsidR="00537E59" w:rsidP="00394EC1" w:rsidRDefault="000325F6" w14:paraId="6482F0AF" w14:textId="614FFDBF">
            <w:pPr>
              <w:spacing w:after="0" w:line="240" w:lineRule="auto"/>
              <w:ind w:left="0" w:right="0"/>
              <w:rPr>
                <w:rFonts w:ascii="Arial" w:hAnsi="Arial" w:cs="Arial"/>
                <w:sz w:val="20"/>
              </w:rPr>
            </w:pPr>
            <w:r>
              <w:rPr>
                <w:rFonts w:ascii="Arial" w:hAnsi="Arial" w:cs="Arial"/>
                <w:sz w:val="20"/>
              </w:rPr>
              <w:t>Symtomatisk behandling</w:t>
            </w:r>
            <w:r w:rsidR="002A6107">
              <w:rPr>
                <w:rFonts w:ascii="Arial" w:hAnsi="Arial" w:cs="Arial"/>
                <w:sz w:val="20"/>
              </w:rPr>
              <w:t xml:space="preserve"> öppen reposition och fixation med clawplatta om patienten haltar, har </w:t>
            </w:r>
            <w:r w:rsidR="00B1423B">
              <w:rPr>
                <w:rFonts w:ascii="Arial" w:hAnsi="Arial" w:cs="Arial"/>
                <w:sz w:val="20"/>
              </w:rPr>
              <w:t>ont eller får protesluxation</w:t>
            </w:r>
            <w:r w:rsidR="00363CBA">
              <w:rPr>
                <w:rFonts w:ascii="Arial" w:hAnsi="Arial" w:cs="Arial"/>
                <w:sz w:val="20"/>
              </w:rPr>
              <w:t>.</w:t>
            </w:r>
          </w:p>
        </w:tc>
        <w:tc>
          <w:tcPr>
            <w:tcW w:w="1387" w:type="dxa"/>
          </w:tcPr>
          <w:p w:rsidR="00537E59" w:rsidP="00394EC1" w:rsidRDefault="00B1423B" w14:paraId="0E585A7F" w14:textId="31D8B2CC">
            <w:pPr>
              <w:spacing w:after="0" w:line="240" w:lineRule="auto"/>
              <w:ind w:left="0" w:right="0"/>
              <w:rPr>
                <w:rFonts w:ascii="Arial" w:hAnsi="Arial" w:cs="Arial"/>
                <w:sz w:val="20"/>
              </w:rPr>
            </w:pPr>
            <w:r>
              <w:rPr>
                <w:rFonts w:ascii="Arial" w:hAnsi="Arial" w:cs="Arial"/>
                <w:sz w:val="20"/>
              </w:rPr>
              <w:t>Kirurgisk behandling med later</w:t>
            </w:r>
            <w:r w:rsidR="00363CBA">
              <w:rPr>
                <w:rFonts w:ascii="Arial" w:hAnsi="Arial" w:cs="Arial"/>
                <w:sz w:val="20"/>
              </w:rPr>
              <w:t>al platta som förlängs till femurkondylen.</w:t>
            </w:r>
          </w:p>
        </w:tc>
        <w:tc>
          <w:tcPr>
            <w:tcW w:w="1301" w:type="dxa"/>
          </w:tcPr>
          <w:p w:rsidR="00537E59" w:rsidP="00394EC1" w:rsidRDefault="00363CBA" w14:paraId="6E946358" w14:textId="47ABEFAD">
            <w:pPr>
              <w:spacing w:after="0" w:line="240" w:lineRule="auto"/>
              <w:ind w:left="0" w:right="0"/>
              <w:rPr>
                <w:rFonts w:ascii="Arial" w:hAnsi="Arial" w:cs="Arial"/>
                <w:sz w:val="20"/>
              </w:rPr>
            </w:pPr>
            <w:r>
              <w:rPr>
                <w:rFonts w:ascii="Arial" w:hAnsi="Arial" w:cs="Arial"/>
                <w:sz w:val="20"/>
              </w:rPr>
              <w:t>Protes</w:t>
            </w:r>
            <w:r w:rsidR="008D6FA0">
              <w:rPr>
                <w:rFonts w:ascii="Arial" w:hAnsi="Arial" w:cs="Arial"/>
                <w:sz w:val="20"/>
              </w:rPr>
              <w:t>revision med långstammad protes.</w:t>
            </w:r>
          </w:p>
        </w:tc>
        <w:tc>
          <w:tcPr>
            <w:tcW w:w="1301" w:type="dxa"/>
          </w:tcPr>
          <w:p w:rsidR="00537E59" w:rsidP="00394EC1" w:rsidRDefault="008D6FA0" w14:paraId="4DB4236D" w14:textId="591A3B4F">
            <w:pPr>
              <w:spacing w:after="0" w:line="240" w:lineRule="auto"/>
              <w:ind w:left="0" w:right="0"/>
              <w:rPr>
                <w:rFonts w:ascii="Arial" w:hAnsi="Arial" w:cs="Arial"/>
                <w:sz w:val="20"/>
              </w:rPr>
            </w:pPr>
            <w:r>
              <w:rPr>
                <w:rFonts w:ascii="Arial" w:hAnsi="Arial" w:cs="Arial"/>
                <w:sz w:val="20"/>
              </w:rPr>
              <w:t>Protesrevision med långstammad</w:t>
            </w:r>
            <w:r w:rsidR="00BE0F52">
              <w:rPr>
                <w:rFonts w:ascii="Arial" w:hAnsi="Arial" w:cs="Arial"/>
                <w:sz w:val="20"/>
              </w:rPr>
              <w:t xml:space="preserve"> protes med anterior strutallograft eller benpackning</w:t>
            </w:r>
            <w:r w:rsidR="007C2D76">
              <w:rPr>
                <w:rFonts w:ascii="Arial" w:hAnsi="Arial" w:cs="Arial"/>
                <w:sz w:val="20"/>
              </w:rPr>
              <w:t>.</w:t>
            </w:r>
          </w:p>
        </w:tc>
        <w:tc>
          <w:tcPr>
            <w:tcW w:w="2450" w:type="dxa"/>
          </w:tcPr>
          <w:p w:rsidR="00537E59" w:rsidP="00394EC1" w:rsidRDefault="00E131E7" w14:paraId="12BFDB33" w14:textId="6BA2A17D">
            <w:pPr>
              <w:spacing w:after="0" w:line="240" w:lineRule="auto"/>
              <w:ind w:left="0" w:right="0"/>
              <w:rPr>
                <w:rFonts w:ascii="Arial" w:hAnsi="Arial" w:cs="Arial"/>
                <w:sz w:val="20"/>
              </w:rPr>
            </w:pPr>
            <w:r>
              <w:rPr>
                <w:rFonts w:ascii="Arial" w:hAnsi="Arial" w:cs="Arial"/>
                <w:sz w:val="20"/>
              </w:rPr>
              <w:t xml:space="preserve">Distal femur lateral lockingplatta (LCP) som </w:t>
            </w:r>
            <w:r w:rsidR="007C2D76">
              <w:rPr>
                <w:rFonts w:ascii="Arial" w:hAnsi="Arial" w:cs="Arial"/>
                <w:sz w:val="20"/>
              </w:rPr>
              <w:t>proximalt omfattar 3 – 4 cm av stammen.</w:t>
            </w:r>
          </w:p>
        </w:tc>
      </w:tr>
    </w:tbl>
    <w:p w:rsidRPr="008E6DE9" w:rsidR="00537E59" w:rsidP="00394EC1" w:rsidRDefault="00537E59" w14:paraId="43413FE6" w14:textId="77777777">
      <w:pPr>
        <w:spacing w:after="0" w:line="240" w:lineRule="auto"/>
        <w:ind w:left="0" w:right="0"/>
        <w:rPr>
          <w:rFonts w:ascii="Arial" w:hAnsi="Arial" w:cs="Arial"/>
          <w:sz w:val="20"/>
        </w:rPr>
      </w:pPr>
    </w:p>
    <w:p w:rsidRPr="000D350C" w:rsidR="008E6DE9" w:rsidP="007340D6" w:rsidRDefault="000D350C" w14:paraId="751A8616" w14:textId="07C8E4FD">
      <w:pPr>
        <w:ind w:left="567" w:right="-143"/>
      </w:pPr>
      <w:r>
        <w:rPr>
          <w:rStyle w:val="normaltextrun"/>
          <w:color w:val="000000"/>
          <w:shd w:val="clear" w:color="auto" w:fill="FFFFFF"/>
        </w:rPr>
        <w:t xml:space="preserve">Medvetet avsteg från rutinen dokumenteras i journalsystemet om rutinen är kopplad till patient. Övriga orsaker till avsteg från styrdokumentet rapporteras i </w:t>
      </w:r>
      <w:r>
        <w:rPr>
          <w:rStyle w:val="spellingerror"/>
          <w:color w:val="000000"/>
          <w:shd w:val="clear" w:color="auto" w:fill="FFFFFF"/>
        </w:rPr>
        <w:t>MedControl</w:t>
      </w:r>
      <w:r>
        <w:rPr>
          <w:rStyle w:val="normaltextrun"/>
          <w:color w:val="000000"/>
          <w:shd w:val="clear" w:color="auto" w:fill="FFFFFF"/>
        </w:rPr>
        <w:t xml:space="preserve"> PRO.</w:t>
      </w:r>
    </w:p>
    <w:p w:rsidRPr="008E6DE9" w:rsidR="008E6DE9" w:rsidP="007340D6" w:rsidRDefault="0090787F" w14:paraId="1596E358" w14:textId="2ED26CF6">
      <w:pPr>
        <w:pStyle w:val="Rubrik2"/>
        <w:ind w:left="567" w:right="-143"/>
      </w:pPr>
      <w:r>
        <w:t>Källförteckning</w:t>
      </w:r>
    </w:p>
    <w:p w:rsidR="008E6DE9" w:rsidP="007340D6" w:rsidRDefault="008E6DE9" w14:paraId="03857F3A" w14:textId="3C1CFC3F">
      <w:pPr>
        <w:pStyle w:val="Liststycke"/>
        <w:numPr>
          <w:ilvl w:val="0"/>
          <w:numId w:val="22"/>
        </w:numPr>
        <w:ind w:left="567" w:right="-143"/>
      </w:pPr>
      <w:r w:rsidRPr="008E6DE9">
        <w:t xml:space="preserve">Chatziagorou C, Lindahl H, Garellick G, Kärrholm J. Incidence and demo-graphics of 1751 surgically treated periprosthetic femoral fractures around a primary hip prosthesis. HipInternational. 2019 May; 29(3): </w:t>
      </w:r>
      <w:r w:rsidRPr="008E6DE9" w:rsidR="002765A7">
        <w:t>282–288</w:t>
      </w:r>
    </w:p>
    <w:p w:rsidRPr="008E6DE9" w:rsidR="0066289A" w:rsidP="007340D6" w:rsidRDefault="0066289A" w14:paraId="7618A4B6" w14:textId="77777777">
      <w:pPr>
        <w:pStyle w:val="Liststycke"/>
        <w:numPr>
          <w:ilvl w:val="0"/>
          <w:numId w:val="0"/>
        </w:numPr>
        <w:ind w:left="567" w:right="-143"/>
      </w:pPr>
    </w:p>
    <w:p w:rsidRPr="008E6DE9" w:rsidR="008E6DE9" w:rsidP="007340D6" w:rsidRDefault="008E6DE9" w14:paraId="336E7484" w14:textId="207D738D">
      <w:pPr>
        <w:pStyle w:val="Liststycke"/>
        <w:ind w:left="567" w:right="-143"/>
      </w:pPr>
      <w:proofErr w:type="gramStart"/>
      <w:r w:rsidRPr="008E6DE9">
        <w:t>GeorgiosChatziagorou ,</w:t>
      </w:r>
      <w:proofErr w:type="gramEnd"/>
      <w:r w:rsidRPr="008E6DE9">
        <w:t xml:space="preserve"> Johan Kärrholm. Lower reoperation rate with locking plates compared with conventional plates in Vancouver type C periprosthetic femoral fractures: A register study of 639 cases in Sweden. </w:t>
      </w:r>
      <w:proofErr w:type="gramStart"/>
      <w:r w:rsidRPr="008E6DE9">
        <w:t>Injury,Volume</w:t>
      </w:r>
      <w:proofErr w:type="gramEnd"/>
      <w:r w:rsidRPr="008E6DE9">
        <w:t xml:space="preserve"> 50, Issue 12, December 2019: 2292</w:t>
      </w:r>
      <w:r w:rsidR="00C01B6E">
        <w:t xml:space="preserve"> </w:t>
      </w:r>
      <w:r w:rsidRPr="008E6DE9" w:rsidR="00C01B6E">
        <w:t>–</w:t>
      </w:r>
      <w:r w:rsidR="00C01B6E">
        <w:t xml:space="preserve"> </w:t>
      </w:r>
      <w:r w:rsidRPr="008E6DE9">
        <w:t>2300</w:t>
      </w:r>
    </w:p>
    <w:p w:rsidR="008E6DE9" w:rsidP="007340D6" w:rsidRDefault="0066289A" w14:paraId="2F78B862" w14:textId="358D095F">
      <w:pPr>
        <w:pStyle w:val="Rubrik2"/>
        <w:ind w:left="567" w:right="-143"/>
      </w:pPr>
      <w:r>
        <w:t>Arbetsgrupp</w:t>
      </w:r>
    </w:p>
    <w:p w:rsidR="0066289A" w:rsidP="007340D6" w:rsidRDefault="0066289A" w14:paraId="59E450E5" w14:textId="07400E79">
      <w:pPr>
        <w:ind w:left="567" w:right="-143"/>
        <w:rPr>
          <w:i/>
          <w:iCs/>
        </w:rPr>
      </w:pPr>
      <w:r w:rsidRPr="0066289A">
        <w:rPr>
          <w:i/>
          <w:iCs/>
        </w:rPr>
        <w:t>Innehållsansvarig</w:t>
      </w:r>
    </w:p>
    <w:p w:rsidRPr="003D2DB3" w:rsidR="003D2DB3" w:rsidP="007340D6" w:rsidRDefault="003D2DB3" w14:paraId="35E7FFB2" w14:textId="665CC9A7">
      <w:pPr>
        <w:ind w:left="567" w:right="-143"/>
      </w:pPr>
      <w:r>
        <w:t xml:space="preserve">Alireza Noori, </w:t>
      </w:r>
      <w:r w:rsidR="00EF4545">
        <w:t>Överläkare, Verksamhet Ortopedi, Sahlgrenska Universitetssjukhuset</w:t>
      </w:r>
    </w:p>
    <w:p w:rsidRPr="0066289A" w:rsidR="0066289A" w:rsidP="007340D6" w:rsidRDefault="0066289A" w14:paraId="75E07AE2" w14:textId="7A8D7E40">
      <w:pPr>
        <w:ind w:left="567" w:right="-143"/>
        <w:rPr>
          <w:i/>
          <w:iCs/>
        </w:rPr>
      </w:pPr>
      <w:r w:rsidRPr="73C78383" w:rsidR="0066289A">
        <w:rPr>
          <w:i w:val="1"/>
          <w:iCs w:val="1"/>
        </w:rPr>
        <w:t>Innehållsgranskare</w:t>
      </w:r>
    </w:p>
    <w:bookmarkEnd w:id="0"/>
    <w:p w:rsidR="58B4A8B2" w:rsidP="5B9AE56B" w:rsidRDefault="58B4A8B2" w14:paraId="2290D1A9" w14:textId="23DD21B9">
      <w:pPr>
        <w:pStyle w:val="Normal"/>
        <w:ind w:left="567" w:right="-143"/>
        <w:rPr>
          <w:i w:val="0"/>
          <w:iCs w:val="0"/>
        </w:rPr>
      </w:pPr>
      <w:r w:rsidRPr="5B9AE56B" w:rsidR="58B4A8B2">
        <w:rPr>
          <w:i w:val="0"/>
          <w:iCs w:val="0"/>
        </w:rPr>
        <w:t xml:space="preserve">Henrik </w:t>
      </w:r>
      <w:r w:rsidRPr="5B9AE56B" w:rsidR="58B4A8B2">
        <w:rPr>
          <w:i w:val="0"/>
          <w:iCs w:val="0"/>
        </w:rPr>
        <w:t>Malchau</w:t>
      </w:r>
      <w:r w:rsidRPr="5B9AE56B" w:rsidR="58B4A8B2">
        <w:rPr>
          <w:i w:val="0"/>
          <w:iCs w:val="0"/>
        </w:rPr>
        <w:t xml:space="preserve"> ,</w:t>
      </w:r>
      <w:r w:rsidRPr="5B9AE56B" w:rsidR="58B4A8B2">
        <w:rPr>
          <w:i w:val="0"/>
          <w:iCs w:val="0"/>
        </w:rPr>
        <w:t>Överläkare,Verksamhet</w:t>
      </w:r>
      <w:r w:rsidRPr="5B9AE56B" w:rsidR="58B4A8B2">
        <w:rPr>
          <w:i w:val="0"/>
          <w:iCs w:val="0"/>
        </w:rPr>
        <w:t xml:space="preserve"> </w:t>
      </w:r>
      <w:r w:rsidRPr="5B9AE56B" w:rsidR="3D157EF7">
        <w:rPr>
          <w:i w:val="0"/>
          <w:iCs w:val="0"/>
        </w:rPr>
        <w:t>O</w:t>
      </w:r>
      <w:r w:rsidRPr="5B9AE56B" w:rsidR="58B4A8B2">
        <w:rPr>
          <w:i w:val="0"/>
          <w:iCs w:val="0"/>
        </w:rPr>
        <w:t>rtopedi,S</w:t>
      </w:r>
      <w:r w:rsidRPr="5B9AE56B" w:rsidR="5C332E81">
        <w:rPr>
          <w:i w:val="0"/>
          <w:iCs w:val="0"/>
        </w:rPr>
        <w:t>a</w:t>
      </w:r>
      <w:r w:rsidRPr="5B9AE56B" w:rsidR="58B4A8B2">
        <w:rPr>
          <w:i w:val="0"/>
          <w:iCs w:val="0"/>
        </w:rPr>
        <w:t>hlgrenska</w:t>
      </w:r>
      <w:r w:rsidRPr="5B9AE56B" w:rsidR="58B4A8B2">
        <w:rPr>
          <w:i w:val="0"/>
          <w:iCs w:val="0"/>
        </w:rPr>
        <w:t xml:space="preserve"> </w:t>
      </w:r>
      <w:r w:rsidRPr="5B9AE56B" w:rsidR="0DBD8204">
        <w:rPr>
          <w:i w:val="0"/>
          <w:iCs w:val="0"/>
        </w:rPr>
        <w:t>Universitetsjukhus</w:t>
      </w:r>
      <w:r w:rsidRPr="5B9AE56B" w:rsidR="1A7F6E8F">
        <w:rPr>
          <w:i w:val="0"/>
          <w:iCs w:val="0"/>
        </w:rPr>
        <w:t>et</w:t>
      </w:r>
    </w:p>
    <w:p w:rsidRPr="00536A5A" w:rsidR="00536A5A" w:rsidP="00536A5A" w:rsidRDefault="00536A5A" w14:paraId="76B9F95B" w14:textId="24513497">
      <w:pPr>
        <w:spacing w:after="0" w:line="240" w:lineRule="auto"/>
        <w:ind w:left="0" w:right="0"/>
      </w:pPr>
    </w:p>
    <w:sectPr w:rsidRPr="00536A5A" w:rsidR="00536A5A" w:rsidSect="008E6DE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A5267" w:rsidRDefault="000A5267" w14:paraId="470A07E2" w14:textId="77777777">
      <w:r>
        <w:separator/>
      </w:r>
    </w:p>
  </w:endnote>
  <w:endnote w:type="continuationSeparator" w:id="0">
    <w:p w:rsidR="000A5267" w:rsidRDefault="000A5267" w14:paraId="4F9D7D66" w14:textId="77777777">
      <w:r>
        <w:continuationSeparator/>
      </w:r>
    </w:p>
  </w:endnote>
  <w:endnote w:type="continuationNotice" w:id="1">
    <w:p w:rsidR="000A5267" w:rsidRDefault="000A5267" w14:paraId="2AEDF2A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A5267" w:rsidRDefault="000A5267" w14:paraId="02B59884" w14:textId="77777777"/>
  </w:footnote>
  <w:footnote w:type="continuationSeparator" w:id="0">
    <w:p w:rsidR="000A5267" w:rsidRDefault="000A5267" w14:paraId="61AAB820" w14:textId="77777777">
      <w:r>
        <w:continuationSeparator/>
      </w:r>
    </w:p>
  </w:footnote>
  <w:footnote w:type="continuationNotice" w:id="1">
    <w:p w:rsidR="000A5267" w:rsidRDefault="000A5267" w14:paraId="12B6539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5DA5DC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4AC9B3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8D42F22"/>
    <w:multiLevelType w:val="hybridMultilevel"/>
    <w:tmpl w:val="116E08A0"/>
    <w:lvl w:ilvl="0" w:tplc="FFFFFFFF">
      <w:start w:val="1"/>
      <w:numFmt w:val="decimal"/>
      <w:lvlText w:val="%1)"/>
      <w:lvlJc w:val="left"/>
      <w:pPr>
        <w:ind w:left="355" w:hanging="360"/>
      </w:pPr>
      <w:rPr>
        <w:rFonts w:hint="default"/>
      </w:rPr>
    </w:lvl>
    <w:lvl w:ilvl="1" w:tplc="FFFFFFFF" w:tentative="1">
      <w:start w:val="1"/>
      <w:numFmt w:val="lowerLetter"/>
      <w:lvlText w:val="%2."/>
      <w:lvlJc w:val="left"/>
      <w:pPr>
        <w:ind w:left="1075" w:hanging="360"/>
      </w:pPr>
    </w:lvl>
    <w:lvl w:ilvl="2" w:tplc="FFFFFFFF" w:tentative="1">
      <w:start w:val="1"/>
      <w:numFmt w:val="lowerRoman"/>
      <w:lvlText w:val="%3."/>
      <w:lvlJc w:val="right"/>
      <w:pPr>
        <w:ind w:left="1795" w:hanging="180"/>
      </w:pPr>
    </w:lvl>
    <w:lvl w:ilvl="3" w:tplc="FFFFFFFF" w:tentative="1">
      <w:start w:val="1"/>
      <w:numFmt w:val="decimal"/>
      <w:lvlText w:val="%4."/>
      <w:lvlJc w:val="left"/>
      <w:pPr>
        <w:ind w:left="2515" w:hanging="360"/>
      </w:pPr>
    </w:lvl>
    <w:lvl w:ilvl="4" w:tplc="FFFFFFFF" w:tentative="1">
      <w:start w:val="1"/>
      <w:numFmt w:val="lowerLetter"/>
      <w:lvlText w:val="%5."/>
      <w:lvlJc w:val="left"/>
      <w:pPr>
        <w:ind w:left="3235" w:hanging="360"/>
      </w:pPr>
    </w:lvl>
    <w:lvl w:ilvl="5" w:tplc="FFFFFFFF" w:tentative="1">
      <w:start w:val="1"/>
      <w:numFmt w:val="lowerRoman"/>
      <w:lvlText w:val="%6."/>
      <w:lvlJc w:val="right"/>
      <w:pPr>
        <w:ind w:left="3955" w:hanging="180"/>
      </w:pPr>
    </w:lvl>
    <w:lvl w:ilvl="6" w:tplc="FFFFFFFF" w:tentative="1">
      <w:start w:val="1"/>
      <w:numFmt w:val="decimal"/>
      <w:lvlText w:val="%7."/>
      <w:lvlJc w:val="left"/>
      <w:pPr>
        <w:ind w:left="4675" w:hanging="360"/>
      </w:pPr>
    </w:lvl>
    <w:lvl w:ilvl="7" w:tplc="FFFFFFFF" w:tentative="1">
      <w:start w:val="1"/>
      <w:numFmt w:val="lowerLetter"/>
      <w:lvlText w:val="%8."/>
      <w:lvlJc w:val="left"/>
      <w:pPr>
        <w:ind w:left="5395" w:hanging="360"/>
      </w:pPr>
    </w:lvl>
    <w:lvl w:ilvl="8" w:tplc="FFFFFFFF" w:tentative="1">
      <w:start w:val="1"/>
      <w:numFmt w:val="lowerRoman"/>
      <w:lvlText w:val="%9."/>
      <w:lvlJc w:val="right"/>
      <w:pPr>
        <w:ind w:left="6115"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2B243C9"/>
    <w:multiLevelType w:val="hybridMultilevel"/>
    <w:tmpl w:val="741CDF9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54340635"/>
    <w:multiLevelType w:val="hybridMultilevel"/>
    <w:tmpl w:val="A78AFF5A"/>
    <w:lvl w:ilvl="0" w:tplc="D17878D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9"/>
  </w:num>
  <w:num w:numId="2">
    <w:abstractNumId w:val="16"/>
  </w:num>
  <w:num w:numId="3">
    <w:abstractNumId w:val="0"/>
  </w:num>
  <w:num w:numId="4">
    <w:abstractNumId w:val="7"/>
  </w:num>
  <w:num w:numId="5">
    <w:abstractNumId w:val="17"/>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5"/>
  </w:num>
  <w:num w:numId="14">
    <w:abstractNumId w:val="10"/>
  </w:num>
  <w:num w:numId="15">
    <w:abstractNumId w:val="8"/>
  </w:num>
  <w:num w:numId="16">
    <w:abstractNumId w:val="13"/>
  </w:num>
  <w:num w:numId="17">
    <w:abstractNumId w:val="5"/>
  </w:num>
  <w:num w:numId="18">
    <w:abstractNumId w:val="11"/>
  </w:num>
  <w:num w:numId="19">
    <w:abstractNumId w:val="18"/>
  </w:num>
  <w:num w:numId="20">
    <w:abstractNumId w:val="14"/>
  </w:num>
  <w:num w:numId="21">
    <w:abstractNumId w:val="6"/>
  </w:num>
  <w:num w:numId="22">
    <w:abstractNumId w:val="15"/>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5F6"/>
    <w:rsid w:val="00033ED5"/>
    <w:rsid w:val="00050500"/>
    <w:rsid w:val="0005691C"/>
    <w:rsid w:val="00056ECB"/>
    <w:rsid w:val="00056ED5"/>
    <w:rsid w:val="000655CC"/>
    <w:rsid w:val="000700AE"/>
    <w:rsid w:val="00084024"/>
    <w:rsid w:val="0009062C"/>
    <w:rsid w:val="00095368"/>
    <w:rsid w:val="000954C4"/>
    <w:rsid w:val="000A4C35"/>
    <w:rsid w:val="000A5267"/>
    <w:rsid w:val="000A611A"/>
    <w:rsid w:val="000B12D9"/>
    <w:rsid w:val="000B4536"/>
    <w:rsid w:val="000B7715"/>
    <w:rsid w:val="000D350C"/>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3BCD"/>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65A7"/>
    <w:rsid w:val="00280A85"/>
    <w:rsid w:val="00284119"/>
    <w:rsid w:val="00287D62"/>
    <w:rsid w:val="00290B5C"/>
    <w:rsid w:val="00294791"/>
    <w:rsid w:val="002A6107"/>
    <w:rsid w:val="002B0B30"/>
    <w:rsid w:val="002B0C78"/>
    <w:rsid w:val="002B5806"/>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270A"/>
    <w:rsid w:val="0036357D"/>
    <w:rsid w:val="00363B23"/>
    <w:rsid w:val="00363CBA"/>
    <w:rsid w:val="0036594C"/>
    <w:rsid w:val="00367D19"/>
    <w:rsid w:val="00371BED"/>
    <w:rsid w:val="00384019"/>
    <w:rsid w:val="003854F1"/>
    <w:rsid w:val="0039118E"/>
    <w:rsid w:val="00392D38"/>
    <w:rsid w:val="00394EC1"/>
    <w:rsid w:val="00397F54"/>
    <w:rsid w:val="003A0D43"/>
    <w:rsid w:val="003B2A4B"/>
    <w:rsid w:val="003D099E"/>
    <w:rsid w:val="003D21A2"/>
    <w:rsid w:val="003D29D2"/>
    <w:rsid w:val="003D2DB3"/>
    <w:rsid w:val="003E0705"/>
    <w:rsid w:val="003E2FF7"/>
    <w:rsid w:val="003F1013"/>
    <w:rsid w:val="003F1ACF"/>
    <w:rsid w:val="00404948"/>
    <w:rsid w:val="00405C76"/>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37E59"/>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289A"/>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40D6"/>
    <w:rsid w:val="00736574"/>
    <w:rsid w:val="007367E0"/>
    <w:rsid w:val="00737215"/>
    <w:rsid w:val="00754905"/>
    <w:rsid w:val="00760038"/>
    <w:rsid w:val="00762EE0"/>
    <w:rsid w:val="00765C41"/>
    <w:rsid w:val="00771100"/>
    <w:rsid w:val="007759DD"/>
    <w:rsid w:val="0078609F"/>
    <w:rsid w:val="007917BA"/>
    <w:rsid w:val="007A5C6F"/>
    <w:rsid w:val="007C2D76"/>
    <w:rsid w:val="007D4241"/>
    <w:rsid w:val="007D4317"/>
    <w:rsid w:val="007D4EA3"/>
    <w:rsid w:val="007F1CFF"/>
    <w:rsid w:val="007F5DD5"/>
    <w:rsid w:val="00800A37"/>
    <w:rsid w:val="00821A1B"/>
    <w:rsid w:val="008262E9"/>
    <w:rsid w:val="00827E69"/>
    <w:rsid w:val="00835C4D"/>
    <w:rsid w:val="00843F48"/>
    <w:rsid w:val="00851423"/>
    <w:rsid w:val="0085644B"/>
    <w:rsid w:val="00857848"/>
    <w:rsid w:val="008654B6"/>
    <w:rsid w:val="0087139C"/>
    <w:rsid w:val="00880E83"/>
    <w:rsid w:val="00892F28"/>
    <w:rsid w:val="008A0C5F"/>
    <w:rsid w:val="008A3DEA"/>
    <w:rsid w:val="008A4EB9"/>
    <w:rsid w:val="008A74C0"/>
    <w:rsid w:val="008B1694"/>
    <w:rsid w:val="008C4B27"/>
    <w:rsid w:val="008C7F2A"/>
    <w:rsid w:val="008D6FA0"/>
    <w:rsid w:val="008E36F8"/>
    <w:rsid w:val="008E46B2"/>
    <w:rsid w:val="008E682C"/>
    <w:rsid w:val="008E6DE9"/>
    <w:rsid w:val="008E78A1"/>
    <w:rsid w:val="008F589F"/>
    <w:rsid w:val="00906238"/>
    <w:rsid w:val="0090787F"/>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6A74"/>
    <w:rsid w:val="009B1F6B"/>
    <w:rsid w:val="009C0D12"/>
    <w:rsid w:val="009C192E"/>
    <w:rsid w:val="009D6819"/>
    <w:rsid w:val="009D6C94"/>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423B"/>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F52"/>
    <w:rsid w:val="00BE1034"/>
    <w:rsid w:val="00BE7978"/>
    <w:rsid w:val="00C01B6E"/>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6CCB"/>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31E7"/>
    <w:rsid w:val="00E52A86"/>
    <w:rsid w:val="00E54B47"/>
    <w:rsid w:val="00E553BF"/>
    <w:rsid w:val="00E55D93"/>
    <w:rsid w:val="00E61294"/>
    <w:rsid w:val="00E7237C"/>
    <w:rsid w:val="00E77C46"/>
    <w:rsid w:val="00E86CE8"/>
    <w:rsid w:val="00E90E82"/>
    <w:rsid w:val="00E9579F"/>
    <w:rsid w:val="00EA00CB"/>
    <w:rsid w:val="00EA1BAA"/>
    <w:rsid w:val="00EA3FCD"/>
    <w:rsid w:val="00EA42A0"/>
    <w:rsid w:val="00EA4674"/>
    <w:rsid w:val="00EB6714"/>
    <w:rsid w:val="00EC0A68"/>
    <w:rsid w:val="00EC5006"/>
    <w:rsid w:val="00ED49C3"/>
    <w:rsid w:val="00ED6CE8"/>
    <w:rsid w:val="00ED7AA6"/>
    <w:rsid w:val="00EE2A56"/>
    <w:rsid w:val="00EE3818"/>
    <w:rsid w:val="00EF4545"/>
    <w:rsid w:val="00F22264"/>
    <w:rsid w:val="00F2564D"/>
    <w:rsid w:val="00F32004"/>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690F9B2"/>
    <w:rsid w:val="0DBD8204"/>
    <w:rsid w:val="1A7F6E8F"/>
    <w:rsid w:val="25C56D0F"/>
    <w:rsid w:val="3046247A"/>
    <w:rsid w:val="3D157EF7"/>
    <w:rsid w:val="4CA85C6B"/>
    <w:rsid w:val="50070F9F"/>
    <w:rsid w:val="58B4A8B2"/>
    <w:rsid w:val="5B9AE56B"/>
    <w:rsid w:val="5C332E81"/>
    <w:rsid w:val="634B777F"/>
    <w:rsid w:val="647B2B65"/>
    <w:rsid w:val="6796F9E7"/>
    <w:rsid w:val="6B2CF8ED"/>
    <w:rsid w:val="73C7838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normaltextrun" w:customStyle="1">
    <w:name w:val="normaltextrun"/>
    <w:basedOn w:val="Standardstycketeckensnitt"/>
    <w:rsid w:val="000D350C"/>
  </w:style>
  <w:style w:type="character" w:styleId="spellingerror" w:customStyle="1">
    <w:name w:val="spellingerror"/>
    <w:basedOn w:val="Standardstycketeckensnitt"/>
    <w:rsid w:val="000D35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95ed638dc7ed459d"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62c22dfc-a4bd-406b-a8f2-26f21fe73c2f}"/>
      </w:docPartPr>
      <w:docPartBody>
        <w:p xmlns:wp14="http://schemas.microsoft.com/office/word/2010/wordml" w14:paraId="0258D1C2"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Periprotesfraktur</dc:title>
  <dc:subject/>
  <dc:creator>patrik.jens.johansson@vgregion.se</dc:creator>
  <keywords/>
  <lastModifiedBy>Anita Henriksson</lastModifiedBy>
  <revision>40</revision>
  <lastPrinted>2016-03-31T10:56:00.0000000Z</lastPrinted>
  <dcterms:created xsi:type="dcterms:W3CDTF">2022-06-02T15:02:00.0000000Z</dcterms:created>
  <dcterms:modified xsi:type="dcterms:W3CDTF">2025-04-02T07:56:41.0000000Z</dcterms:modified>
</coreProperties>
</file>