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C107" w14:textId="1F22C7C0" w:rsidR="00184167" w:rsidRPr="007F4CC7" w:rsidRDefault="007E0D14" w:rsidP="007F4CC7">
      <w:pPr>
        <w:pStyle w:val="Heading1"/>
      </w:pPr>
      <w:bookmarkStart w:id="0" w:name="_Toc321146591"/>
      <w:r>
        <w:t>Intraartikulära injektioner</w:t>
      </w:r>
    </w:p>
    <w:p w14:paraId="20F3743F" w14:textId="3B5D79C1" w:rsidR="00316993" w:rsidRDefault="00316993" w:rsidP="00737FDD">
      <w:pPr>
        <w:pStyle w:val="Heading2"/>
      </w:pPr>
      <w:bookmarkStart w:id="1" w:name="_Toc124421011"/>
      <w:bookmarkEnd w:id="0"/>
      <w:r w:rsidRPr="00737FDD">
        <w:t>Sammanfattning</w:t>
      </w:r>
      <w:bookmarkEnd w:id="1"/>
    </w:p>
    <w:p w14:paraId="0C4D3B57" w14:textId="77777777" w:rsidR="000A481C" w:rsidRDefault="000A481C" w:rsidP="000A481C">
      <w:r w:rsidRPr="00EE4345">
        <w:t xml:space="preserve">För att lära sig punktera leder krävs träning och handledning. </w:t>
      </w:r>
      <w:r>
        <w:t>Denna rutin beskriver tillvägagångssätt och råd vid utförandet.</w:t>
      </w:r>
    </w:p>
    <w:p w14:paraId="60247761" w14:textId="77777777" w:rsidR="0011043C" w:rsidRDefault="0011043C" w:rsidP="0011043C">
      <w:pPr>
        <w:pStyle w:val="FormatmallFre24ptEfter24p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Intraartikulära injektioner </w:t>
      </w:r>
    </w:p>
    <w:p w14:paraId="4285DE09" w14:textId="77777777" w:rsidR="001D37F2" w:rsidRPr="00F44A26" w:rsidRDefault="001D37F2" w:rsidP="001D37F2">
      <w:pPr>
        <w:pStyle w:val="NormalWeb"/>
        <w:rPr>
          <w:color w:val="000000"/>
        </w:rPr>
      </w:pPr>
      <w:r w:rsidRPr="43B4012D">
        <w:rPr>
          <w:color w:val="000000" w:themeColor="text2"/>
        </w:rPr>
        <w:t xml:space="preserve">Vid ledpunktion skall man vara extra noggrann avseende sterilitet! En septisk artrit är en mycket besvärlig komplikation. Det finns flera bra tekniker för att bibehålla sterila förhållanden vid punktionsområdet och </w:t>
      </w:r>
      <w:r>
        <w:rPr>
          <w:color w:val="000000" w:themeColor="text2"/>
        </w:rPr>
        <w:t xml:space="preserve">i punkt 4a respektive 4b </w:t>
      </w:r>
      <w:r w:rsidRPr="43B4012D">
        <w:rPr>
          <w:color w:val="000000" w:themeColor="text2"/>
        </w:rPr>
        <w:t>beskrivs två alternativ.</w:t>
      </w:r>
    </w:p>
    <w:p w14:paraId="24A3CA5A" w14:textId="77777777" w:rsidR="001D37F2" w:rsidRDefault="001D37F2" w:rsidP="001D37F2">
      <w:pPr>
        <w:pStyle w:val="NormalWeb"/>
        <w:rPr>
          <w:color w:val="000000" w:themeColor="text2"/>
        </w:rPr>
      </w:pPr>
    </w:p>
    <w:p w14:paraId="3A969252" w14:textId="77777777" w:rsidR="001D37F2" w:rsidRPr="00F44A26" w:rsidRDefault="001D37F2" w:rsidP="001D37F2">
      <w:pPr>
        <w:pStyle w:val="NormalWeb"/>
        <w:rPr>
          <w:color w:val="000000"/>
        </w:rPr>
      </w:pPr>
      <w:r w:rsidRPr="43B4012D">
        <w:rPr>
          <w:color w:val="000000" w:themeColor="text2"/>
        </w:rPr>
        <w:t>l. Tvätta och spritavtvätta händerna. Låt lufttorka.</w:t>
      </w:r>
    </w:p>
    <w:p w14:paraId="3D783366" w14:textId="77777777" w:rsidR="001D37F2" w:rsidRDefault="001D37F2" w:rsidP="001D37F2">
      <w:pPr>
        <w:pStyle w:val="NormalWeb"/>
        <w:rPr>
          <w:color w:val="000000" w:themeColor="text2"/>
        </w:rPr>
      </w:pPr>
    </w:p>
    <w:p w14:paraId="4758A134" w14:textId="77777777" w:rsidR="001D37F2" w:rsidRPr="00F44A26" w:rsidRDefault="001D37F2" w:rsidP="001D37F2">
      <w:pPr>
        <w:pStyle w:val="NormalWeb"/>
        <w:rPr>
          <w:color w:val="000000"/>
        </w:rPr>
      </w:pPr>
      <w:r w:rsidRPr="43B4012D">
        <w:rPr>
          <w:color w:val="000000" w:themeColor="text2"/>
        </w:rPr>
        <w:t>2. Palpera ut lämpligt punktionsställe och markera, t ex genom att trycka penna eller nagel mot huden.</w:t>
      </w:r>
    </w:p>
    <w:p w14:paraId="2E2D16DE" w14:textId="77777777" w:rsidR="001D37F2" w:rsidRDefault="001D37F2" w:rsidP="001D37F2">
      <w:pPr>
        <w:pStyle w:val="NormalWeb"/>
        <w:rPr>
          <w:color w:val="000000" w:themeColor="text2"/>
        </w:rPr>
      </w:pPr>
    </w:p>
    <w:p w14:paraId="12D3075C" w14:textId="77777777" w:rsidR="001D37F2" w:rsidRPr="00F44A26" w:rsidRDefault="001D37F2" w:rsidP="001D37F2">
      <w:pPr>
        <w:pStyle w:val="NormalWeb"/>
        <w:rPr>
          <w:color w:val="000000"/>
        </w:rPr>
      </w:pPr>
      <w:r w:rsidRPr="43B4012D">
        <w:rPr>
          <w:color w:val="000000" w:themeColor="text2"/>
        </w:rPr>
        <w:t>3. Tvätta området genom att</w:t>
      </w:r>
      <w:r>
        <w:rPr>
          <w:color w:val="000000" w:themeColor="text2"/>
        </w:rPr>
        <w:t xml:space="preserve"> avtorka</w:t>
      </w:r>
      <w:r w:rsidRPr="43B4012D">
        <w:rPr>
          <w:color w:val="000000" w:themeColor="text2"/>
        </w:rPr>
        <w:t xml:space="preserve"> huden, samt en yta runtom, under minst 5 sek, flödigt med Klorhexidinsprit 5 mg/ml. Låt lufttorka.</w:t>
      </w:r>
    </w:p>
    <w:p w14:paraId="44CE1D8D" w14:textId="77777777" w:rsidR="001D37F2" w:rsidRDefault="001D37F2" w:rsidP="001D37F2">
      <w:pPr>
        <w:pStyle w:val="NormalWeb"/>
        <w:rPr>
          <w:color w:val="000000" w:themeColor="text2"/>
        </w:rPr>
      </w:pPr>
    </w:p>
    <w:p w14:paraId="32508EDA" w14:textId="77777777" w:rsidR="001D37F2" w:rsidRPr="00F44A26" w:rsidRDefault="001D37F2" w:rsidP="001D37F2">
      <w:pPr>
        <w:pStyle w:val="NormalWeb"/>
        <w:rPr>
          <w:color w:val="000000"/>
        </w:rPr>
      </w:pPr>
      <w:r w:rsidRPr="43B4012D">
        <w:rPr>
          <w:color w:val="000000" w:themeColor="text2"/>
        </w:rPr>
        <w:t>4a. Var helt utan handskar. Ta ej på tvättad hud! Vid ledtappning används ren pincett för att fixera nålens färgade plastfattning under det att sprutan bytes.</w:t>
      </w:r>
    </w:p>
    <w:p w14:paraId="578518DC" w14:textId="77777777" w:rsidR="001D37F2" w:rsidRDefault="001D37F2" w:rsidP="001D37F2">
      <w:pPr>
        <w:pStyle w:val="NormalWeb"/>
        <w:rPr>
          <w:color w:val="000000" w:themeColor="text2"/>
        </w:rPr>
      </w:pPr>
    </w:p>
    <w:p w14:paraId="6952AD5E" w14:textId="77777777" w:rsidR="0011043C" w:rsidRPr="00F44A26" w:rsidRDefault="0011043C" w:rsidP="0011043C">
      <w:pPr>
        <w:pStyle w:val="NormalWeb"/>
        <w:rPr>
          <w:color w:val="000000"/>
        </w:rPr>
      </w:pPr>
      <w:r w:rsidRPr="00F44A26">
        <w:rPr>
          <w:color w:val="000000"/>
        </w:rPr>
        <w:t>4b. Ta på steril handske på den hand du ej håller sprutan med (vänster om du är högerhänt).</w:t>
      </w:r>
    </w:p>
    <w:p w14:paraId="45388FF6" w14:textId="77777777" w:rsidR="00746058" w:rsidRDefault="00746058" w:rsidP="00746058">
      <w:pPr>
        <w:pStyle w:val="NormalWeb"/>
        <w:rPr>
          <w:color w:val="000000"/>
        </w:rPr>
      </w:pPr>
      <w:r w:rsidRPr="43B4012D">
        <w:rPr>
          <w:color w:val="000000" w:themeColor="text2"/>
        </w:rPr>
        <w:t>Håll den hands</w:t>
      </w:r>
      <w:r>
        <w:rPr>
          <w:color w:val="000000" w:themeColor="text2"/>
        </w:rPr>
        <w:t>k</w:t>
      </w:r>
      <w:r w:rsidRPr="43B4012D">
        <w:rPr>
          <w:color w:val="000000" w:themeColor="text2"/>
        </w:rPr>
        <w:t>beklädda handen fri och undvik helt hudkontakt med denna hand. Vid ledtappning fixeras nålens färgade plastfattning med handskbeklädd hand. Var noggrann att ta inte på något annat.</w:t>
      </w:r>
      <w:r>
        <w:rPr>
          <w:color w:val="000000" w:themeColor="text2"/>
        </w:rPr>
        <w:t xml:space="preserve"> </w:t>
      </w:r>
      <w:r w:rsidRPr="43B4012D">
        <w:rPr>
          <w:color w:val="000000" w:themeColor="text2"/>
        </w:rPr>
        <w:t>Klorhexidinsprittvättad hud är desinfekterad, ej steril. Man skall därför ej palpera, ens med steril handske, precis där man tänker sticka. Handsken är inte heller steril efter palpation på tvättad hud.</w:t>
      </w:r>
    </w:p>
    <w:p w14:paraId="25F7B6DF" w14:textId="77777777" w:rsidR="00746058" w:rsidRDefault="00746058" w:rsidP="00746058">
      <w:pPr>
        <w:pStyle w:val="NormalWeb"/>
        <w:rPr>
          <w:color w:val="000000" w:themeColor="text2"/>
        </w:rPr>
      </w:pPr>
    </w:p>
    <w:p w14:paraId="2B2F4F12" w14:textId="77777777" w:rsidR="00746058" w:rsidRPr="00704FA3" w:rsidRDefault="00746058" w:rsidP="00746058">
      <w:pPr>
        <w:pStyle w:val="NormalWeb"/>
        <w:rPr>
          <w:b/>
          <w:bCs/>
          <w:color w:val="000000"/>
          <w:u w:val="single"/>
        </w:rPr>
      </w:pPr>
      <w:r w:rsidRPr="69762B95">
        <w:rPr>
          <w:b/>
          <w:bCs/>
          <w:color w:val="000000" w:themeColor="text2"/>
          <w:u w:val="single"/>
        </w:rPr>
        <w:t>Övriga råd:</w:t>
      </w:r>
    </w:p>
    <w:p w14:paraId="50F93902" w14:textId="77777777" w:rsidR="00746058" w:rsidRDefault="00746058" w:rsidP="00746058">
      <w:pPr>
        <w:pStyle w:val="NormalWeb"/>
        <w:rPr>
          <w:b/>
          <w:bCs/>
          <w:color w:val="000000" w:themeColor="text2"/>
          <w:u w:val="single"/>
        </w:rPr>
      </w:pPr>
    </w:p>
    <w:p w14:paraId="040CE8E8" w14:textId="77777777" w:rsidR="00746058" w:rsidRPr="00F44A26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>· Stick aldrig igenom hud som är infekterad eller skadad, t. ex vid eksem eller psoriasis.</w:t>
      </w:r>
    </w:p>
    <w:p w14:paraId="25C73A35" w14:textId="4B0FA4D0" w:rsidR="1CE3E72C" w:rsidRDefault="1CE3E72C" w:rsidP="1CE3E72C">
      <w:pPr>
        <w:pStyle w:val="NormalWeb"/>
        <w:rPr>
          <w:color w:val="000000" w:themeColor="text2"/>
        </w:rPr>
      </w:pPr>
    </w:p>
    <w:p w14:paraId="7E4FC453" w14:textId="77777777" w:rsidR="00746058" w:rsidRPr="00F44A26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>· Spruta ej kortison intraartikulärt vid pågående bakteriell infektion.</w:t>
      </w:r>
    </w:p>
    <w:p w14:paraId="012BC05B" w14:textId="2758070A" w:rsidR="1CE3E72C" w:rsidRDefault="1CE3E72C" w:rsidP="1CE3E72C">
      <w:pPr>
        <w:pStyle w:val="NormalWeb"/>
        <w:rPr>
          <w:color w:val="000000" w:themeColor="text2"/>
        </w:rPr>
      </w:pPr>
    </w:p>
    <w:p w14:paraId="552B9F42" w14:textId="77777777" w:rsidR="00746058" w:rsidRPr="00F44A26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>· För att minska risken för infektioner bör "onödiga" sprutbyten undvikas. Ex. Bedövning före kortison, bedövning efter kortison. Välj hellre färdiga blandningar med kortison och bedövning, eller ingen bedövning alls.</w:t>
      </w:r>
    </w:p>
    <w:p w14:paraId="6933C892" w14:textId="6594997A" w:rsidR="1CE3E72C" w:rsidRDefault="1CE3E72C" w:rsidP="1CE3E72C">
      <w:pPr>
        <w:pStyle w:val="NormalWeb"/>
        <w:rPr>
          <w:color w:val="000000" w:themeColor="text2"/>
        </w:rPr>
      </w:pPr>
    </w:p>
    <w:p w14:paraId="0589919A" w14:textId="77777777" w:rsidR="00746058" w:rsidRPr="00F44A26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>· Undvik att spruta kortison i samma led oftare än var 3:e månad. ST-läkare/underläkare skall samråda med specialist före tätare injektionsintervall.</w:t>
      </w:r>
    </w:p>
    <w:p w14:paraId="525EC196" w14:textId="50E10E6C" w:rsidR="1CE3E72C" w:rsidRDefault="1CE3E72C" w:rsidP="1CE3E72C">
      <w:pPr>
        <w:pStyle w:val="NormalWeb"/>
        <w:rPr>
          <w:color w:val="000000" w:themeColor="text2"/>
        </w:rPr>
      </w:pPr>
    </w:p>
    <w:p w14:paraId="09A386A2" w14:textId="77777777" w:rsidR="00746058" w:rsidRPr="00F44A26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>· Om patienten efter tidigare kortisoninjektion utvecklat atrofi subkutant eller i hud, bör teknik med förskjutning av stickkanalen användas. Man kan då också spruta NaCI 0,9% eller bedövning medan nålen dras ut, för att fylla stickkanalen. Tala med reumatologspecialist.</w:t>
      </w:r>
    </w:p>
    <w:p w14:paraId="1AF56FA9" w14:textId="1C191B4A" w:rsidR="1CE3E72C" w:rsidRDefault="1CE3E72C" w:rsidP="1CE3E72C">
      <w:pPr>
        <w:pStyle w:val="NormalWeb"/>
        <w:rPr>
          <w:color w:val="000000" w:themeColor="text2"/>
        </w:rPr>
      </w:pPr>
    </w:p>
    <w:p w14:paraId="6170A57A" w14:textId="7B043420" w:rsidR="00746058" w:rsidRDefault="00746058" w:rsidP="00746058">
      <w:pPr>
        <w:pStyle w:val="NormalWeb"/>
        <w:rPr>
          <w:color w:val="000000"/>
        </w:rPr>
      </w:pPr>
      <w:r w:rsidRPr="1CE3E72C">
        <w:rPr>
          <w:color w:val="000000" w:themeColor="text2"/>
        </w:rPr>
        <w:t xml:space="preserve">· För patienter med antikoagulantiabehandling skall trombos- och blödningsrisk bedömas och värderas. I regel bedöms blödningsrisken vara låg vid ledpunktion. </w:t>
      </w:r>
    </w:p>
    <w:p w14:paraId="7410D7E4" w14:textId="78026125" w:rsidR="1CE3E72C" w:rsidRDefault="1CE3E72C" w:rsidP="1CE3E72C">
      <w:pPr>
        <w:pStyle w:val="NormalWeb"/>
        <w:rPr>
          <w:color w:val="000000" w:themeColor="text2"/>
        </w:rPr>
      </w:pPr>
    </w:p>
    <w:p w14:paraId="3989351A" w14:textId="77777777" w:rsidR="00746058" w:rsidRDefault="00746058" w:rsidP="00746058">
      <w:pPr>
        <w:pStyle w:val="NormalWeb"/>
        <w:rPr>
          <w:color w:val="000000" w:themeColor="text2"/>
        </w:rPr>
      </w:pPr>
      <w:r w:rsidRPr="1CE3E72C">
        <w:rPr>
          <w:color w:val="000000" w:themeColor="text2"/>
        </w:rPr>
        <w:t>· Undvik ledpunktion vid Waran-behandling. Om indikation ändå finns kan artrocentes göras med så atraumatisk teknik som möjligt. Risken för komplikation med blödning och hemartros bedöms som låg vid aktuellt (inom 24 h) INR&lt;3,0 (2, 3). Utbildningsläkare bör rådgöra med reumatologspecialist före sådant ingrepp.</w:t>
      </w:r>
    </w:p>
    <w:p w14:paraId="656F3977" w14:textId="29742378" w:rsidR="1CE3E72C" w:rsidRDefault="1CE3E72C" w:rsidP="1CE3E72C">
      <w:pPr>
        <w:pStyle w:val="NormalWeb"/>
        <w:rPr>
          <w:color w:val="000000" w:themeColor="text2"/>
        </w:rPr>
      </w:pPr>
    </w:p>
    <w:p w14:paraId="5FC702FB" w14:textId="77777777" w:rsidR="00746058" w:rsidRDefault="00746058" w:rsidP="00746058">
      <w:pPr>
        <w:pStyle w:val="NormalWeb"/>
        <w:rPr>
          <w:color w:val="000000" w:themeColor="text2"/>
        </w:rPr>
      </w:pPr>
      <w:r w:rsidRPr="00F44A26">
        <w:rPr>
          <w:color w:val="000000"/>
        </w:rPr>
        <w:t xml:space="preserve">· </w:t>
      </w:r>
      <w:r w:rsidRPr="00B46EA4">
        <w:rPr>
          <w:color w:val="000000"/>
        </w:rPr>
        <w:t xml:space="preserve">Ledpunktion kan göras vid behandling med </w:t>
      </w:r>
      <w:r>
        <w:rPr>
          <w:color w:val="000000"/>
        </w:rPr>
        <w:t>direktverkande</w:t>
      </w:r>
      <w:r w:rsidRPr="00B46EA4">
        <w:rPr>
          <w:color w:val="000000"/>
        </w:rPr>
        <w:t xml:space="preserve"> perorala antikoagulantia (</w:t>
      </w:r>
      <w:r>
        <w:rPr>
          <w:color w:val="000000"/>
        </w:rPr>
        <w:t>D</w:t>
      </w:r>
      <w:r w:rsidRPr="00B46EA4">
        <w:rPr>
          <w:color w:val="000000"/>
        </w:rPr>
        <w:t xml:space="preserve">OAK) om stark indikation för ledpunktion föreligger. I så fall används så </w:t>
      </w:r>
      <w:r>
        <w:rPr>
          <w:color w:val="000000"/>
        </w:rPr>
        <w:t>a</w:t>
      </w:r>
      <w:r w:rsidRPr="00B46EA4">
        <w:rPr>
          <w:color w:val="000000"/>
        </w:rPr>
        <w:t xml:space="preserve">traumatisk teknik som möjligt. </w:t>
      </w:r>
      <w:r w:rsidRPr="69762B95">
        <w:rPr>
          <w:color w:val="000000" w:themeColor="text2"/>
        </w:rPr>
        <w:t xml:space="preserve"> Risken för komplikation med blödning och hemartros bedöms som låg</w:t>
      </w:r>
      <w:r>
        <w:rPr>
          <w:color w:val="000000" w:themeColor="text2"/>
        </w:rPr>
        <w:t xml:space="preserve"> (3, 4)</w:t>
      </w:r>
      <w:r>
        <w:rPr>
          <w:color w:val="000000"/>
        </w:rPr>
        <w:t>.</w:t>
      </w:r>
    </w:p>
    <w:p w14:paraId="4CD70D27" w14:textId="31E3E447" w:rsidR="69762B95" w:rsidRDefault="69762B95" w:rsidP="69762B95">
      <w:pPr>
        <w:pStyle w:val="NormalWeb"/>
        <w:rPr>
          <w:color w:val="000000" w:themeColor="text2"/>
        </w:rPr>
      </w:pPr>
    </w:p>
    <w:p w14:paraId="3D906C17" w14:textId="77777777" w:rsidR="00F80CFA" w:rsidRPr="00F44A26" w:rsidRDefault="00F80CFA" w:rsidP="00F80CFA">
      <w:pPr>
        <w:pStyle w:val="NormalWeb"/>
        <w:rPr>
          <w:color w:val="000000"/>
        </w:rPr>
      </w:pPr>
      <w:r w:rsidRPr="1CE3E72C">
        <w:rPr>
          <w:color w:val="000000" w:themeColor="text2"/>
        </w:rPr>
        <w:t>· Vid Fragminbehandling kan leder punkteras (3).</w:t>
      </w:r>
    </w:p>
    <w:p w14:paraId="3089B1DA" w14:textId="2640167E" w:rsidR="1CE3E72C" w:rsidRDefault="1CE3E72C" w:rsidP="1CE3E72C">
      <w:pPr>
        <w:pStyle w:val="NormalWeb"/>
        <w:rPr>
          <w:color w:val="000000" w:themeColor="text2"/>
        </w:rPr>
      </w:pPr>
    </w:p>
    <w:p w14:paraId="688F85CB" w14:textId="77777777" w:rsidR="00F80CFA" w:rsidRDefault="00F80CFA" w:rsidP="00F80CFA">
      <w:pPr>
        <w:pStyle w:val="NormalWeb"/>
        <w:rPr>
          <w:color w:val="000000" w:themeColor="text2"/>
        </w:rPr>
      </w:pPr>
      <w:r w:rsidRPr="1CE3E72C">
        <w:rPr>
          <w:color w:val="000000" w:themeColor="text2"/>
        </w:rPr>
        <w:t>· Vid behandling med perorala trombocythämmare kan ledinjektion/artrocentes utföras utan utsättning av preparatet (3).</w:t>
      </w:r>
    </w:p>
    <w:p w14:paraId="0C80B4C0" w14:textId="0957E2ED" w:rsidR="1CE3E72C" w:rsidRDefault="1CE3E72C" w:rsidP="1CE3E72C">
      <w:pPr>
        <w:pStyle w:val="NormalWeb"/>
        <w:rPr>
          <w:color w:val="000000" w:themeColor="text2"/>
        </w:rPr>
      </w:pPr>
    </w:p>
    <w:p w14:paraId="650CBBF9" w14:textId="77777777" w:rsidR="00F80CFA" w:rsidRPr="00F44A26" w:rsidRDefault="00F80CFA" w:rsidP="00F80CFA">
      <w:pPr>
        <w:pStyle w:val="NormalWeb"/>
        <w:rPr>
          <w:color w:val="000000"/>
        </w:rPr>
      </w:pPr>
      <w:r w:rsidRPr="00F44A26">
        <w:rPr>
          <w:color w:val="000000"/>
        </w:rPr>
        <w:t>· Kom ihåg att handskar skyddar dig själv mot smittämnen i kroppsvätskor.</w:t>
      </w:r>
    </w:p>
    <w:p w14:paraId="0E9C2908" w14:textId="77777777" w:rsidR="00E651D5" w:rsidRDefault="00E651D5" w:rsidP="00E651D5">
      <w:pPr>
        <w:pStyle w:val="NormalWeb"/>
        <w:rPr>
          <w:color w:val="000000"/>
        </w:rPr>
      </w:pPr>
    </w:p>
    <w:p w14:paraId="17DEE276" w14:textId="77777777" w:rsidR="00E651D5" w:rsidRPr="00704FA3" w:rsidRDefault="00E651D5" w:rsidP="00E651D5">
      <w:pPr>
        <w:pStyle w:val="NormalWeb"/>
        <w:rPr>
          <w:b/>
          <w:bCs/>
          <w:color w:val="000000"/>
        </w:rPr>
      </w:pPr>
      <w:r w:rsidRPr="69762B95">
        <w:rPr>
          <w:b/>
          <w:bCs/>
          <w:color w:val="000000" w:themeColor="text2"/>
        </w:rPr>
        <w:t>Referenser:</w:t>
      </w:r>
      <w:r>
        <w:tab/>
      </w:r>
    </w:p>
    <w:p w14:paraId="019E823D" w14:textId="4BE6207E" w:rsidR="69762B95" w:rsidRDefault="69762B95" w:rsidP="69762B95">
      <w:pPr>
        <w:pStyle w:val="NormalWeb"/>
        <w:rPr>
          <w:b/>
          <w:bCs/>
          <w:color w:val="000000" w:themeColor="text2"/>
        </w:rPr>
      </w:pPr>
    </w:p>
    <w:p w14:paraId="1A7CA362" w14:textId="77777777" w:rsidR="00BA5AE8" w:rsidRDefault="00BA5AE8" w:rsidP="00BA5AE8">
      <w:pPr>
        <w:pStyle w:val="NormalWeb"/>
        <w:rPr>
          <w:rStyle w:val="Hyperlink"/>
          <w:rFonts w:eastAsiaTheme="majorEastAsia"/>
        </w:rPr>
      </w:pPr>
      <w:r>
        <w:rPr>
          <w:b/>
          <w:bCs/>
        </w:rPr>
        <w:t>1</w:t>
      </w:r>
      <w:r w:rsidRPr="69762B95">
        <w:rPr>
          <w:b/>
          <w:bCs/>
        </w:rPr>
        <w:t>.</w:t>
      </w:r>
      <w:r>
        <w:t xml:space="preserve"> </w:t>
      </w:r>
      <w:hyperlink r:id="rId11" w:anchor="svid53Uppehallinforplaneradkirurgi">
        <w:r w:rsidRPr="69762B95">
          <w:rPr>
            <w:rStyle w:val="Hyperlink"/>
            <w:rFonts w:eastAsiaTheme="majorEastAsia"/>
          </w:rPr>
          <w:t>Orala antitrombotiska läkemedel vid blödning och inför kirurgi hos vuxna, Janus Info</w:t>
        </w:r>
      </w:hyperlink>
    </w:p>
    <w:p w14:paraId="3A94B547" w14:textId="77777777" w:rsidR="00BA5AE8" w:rsidRPr="001027B8" w:rsidRDefault="00BA5AE8" w:rsidP="00BA5AE8">
      <w:pPr>
        <w:pStyle w:val="NormalWeb"/>
        <w:rPr>
          <w:color w:val="000000"/>
          <w:lang w:val="en-US"/>
        </w:rPr>
      </w:pPr>
      <w:r w:rsidRPr="001027B8">
        <w:rPr>
          <w:b/>
          <w:bCs/>
          <w:color w:val="000000" w:themeColor="text2"/>
          <w:lang w:val="en-US"/>
        </w:rPr>
        <w:t>2</w:t>
      </w:r>
      <w:r w:rsidRPr="001027B8">
        <w:rPr>
          <w:color w:val="000000" w:themeColor="text2"/>
          <w:lang w:val="en-US"/>
        </w:rPr>
        <w:t>. Saftey of jont and soft tissue injections in patients on wafarin anticoagulation. Conway et al. Clin Rheumatol (2013) 32:1811-1814</w:t>
      </w:r>
    </w:p>
    <w:p w14:paraId="75FB33FD" w14:textId="77777777" w:rsidR="00BA5AE8" w:rsidRPr="001027B8" w:rsidRDefault="00BA5AE8" w:rsidP="00BA5AE8">
      <w:pPr>
        <w:pStyle w:val="NormalWeb"/>
        <w:rPr>
          <w:color w:val="000000" w:themeColor="text2"/>
          <w:lang w:val="en-US"/>
        </w:rPr>
      </w:pPr>
      <w:r w:rsidRPr="001027B8">
        <w:rPr>
          <w:b/>
          <w:bCs/>
          <w:color w:val="000000" w:themeColor="text2"/>
          <w:lang w:val="en-US"/>
        </w:rPr>
        <w:t>3</w:t>
      </w:r>
      <w:r w:rsidRPr="001027B8">
        <w:rPr>
          <w:color w:val="000000" w:themeColor="text2"/>
          <w:lang w:val="en-US"/>
        </w:rPr>
        <w:t>. EULAR recommendations for intra-articular therapies, Uson et al. . Ann Rheum Dis 2021;80:1299–1305</w:t>
      </w:r>
    </w:p>
    <w:p w14:paraId="410670E3" w14:textId="77777777" w:rsidR="00BA5AE8" w:rsidRPr="00002F72" w:rsidRDefault="00BA5AE8" w:rsidP="00BA5AE8">
      <w:pPr>
        <w:pStyle w:val="NormalWeb"/>
      </w:pPr>
      <w:r w:rsidRPr="001027B8">
        <w:rPr>
          <w:b/>
          <w:bCs/>
          <w:color w:val="000000" w:themeColor="text2"/>
          <w:lang w:val="en-US"/>
        </w:rPr>
        <w:t xml:space="preserve">4. </w:t>
      </w:r>
      <w:r w:rsidRPr="001027B8">
        <w:rPr>
          <w:color w:val="000000" w:themeColor="text2"/>
          <w:lang w:val="en-US"/>
        </w:rPr>
        <w:t>Arthrocentesis and Joint Injection in Patients Receiving Direct Oral Anticoagulants</w:t>
      </w:r>
      <w:r w:rsidRPr="001027B8">
        <w:rPr>
          <w:lang w:val="en-US"/>
        </w:rPr>
        <w:t xml:space="preserve">, Yui et al. </w:t>
      </w:r>
      <w:r>
        <w:t>Mayo Clin Proc (2017) 92(8):1223-1226</w:t>
      </w:r>
    </w:p>
    <w:p w14:paraId="337225F0" w14:textId="379BEE22" w:rsidR="69762B95" w:rsidRDefault="69762B95" w:rsidP="69762B95">
      <w:pPr>
        <w:pStyle w:val="NormalWeb"/>
      </w:pPr>
    </w:p>
    <w:p w14:paraId="07CFE55C" w14:textId="77777777" w:rsidR="00E651D5" w:rsidRPr="00704FA3" w:rsidRDefault="00E651D5" w:rsidP="00E651D5">
      <w:pPr>
        <w:pStyle w:val="NormalWeb"/>
        <w:rPr>
          <w:b/>
          <w:bCs/>
          <w:color w:val="000000"/>
        </w:rPr>
      </w:pPr>
      <w:r w:rsidRPr="00704FA3">
        <w:rPr>
          <w:b/>
          <w:bCs/>
          <w:color w:val="000000"/>
        </w:rPr>
        <w:t>Denna rutin gäller för</w:t>
      </w:r>
    </w:p>
    <w:p w14:paraId="4D9EB5EA" w14:textId="77777777" w:rsidR="00E651D5" w:rsidRPr="00F44A26" w:rsidRDefault="00E651D5" w:rsidP="00E651D5">
      <w:pPr>
        <w:pStyle w:val="NormalWeb"/>
        <w:rPr>
          <w:color w:val="000000"/>
        </w:rPr>
      </w:pPr>
      <w:r w:rsidRPr="00F44A26">
        <w:rPr>
          <w:color w:val="000000"/>
        </w:rPr>
        <w:t>Verksamheten Reumatologi/SU.</w:t>
      </w:r>
    </w:p>
    <w:p w14:paraId="5CB5B463" w14:textId="77777777" w:rsidR="00E651D5" w:rsidRPr="00704FA3" w:rsidRDefault="00E651D5" w:rsidP="00E651D5">
      <w:pPr>
        <w:pStyle w:val="NormalWeb"/>
        <w:rPr>
          <w:b/>
          <w:bCs/>
          <w:color w:val="000000"/>
        </w:rPr>
      </w:pPr>
      <w:r w:rsidRPr="00704FA3">
        <w:rPr>
          <w:b/>
          <w:bCs/>
          <w:color w:val="000000"/>
        </w:rPr>
        <w:t>Ansvar</w:t>
      </w:r>
    </w:p>
    <w:p w14:paraId="41D626C3" w14:textId="77777777" w:rsidR="00E651D5" w:rsidRPr="00F44A26" w:rsidRDefault="00E651D5" w:rsidP="00E651D5">
      <w:pPr>
        <w:pStyle w:val="NormalWeb"/>
        <w:rPr>
          <w:color w:val="000000"/>
        </w:rPr>
      </w:pPr>
      <w:r w:rsidRPr="00F44A26">
        <w:rPr>
          <w:color w:val="000000"/>
        </w:rPr>
        <w:t>Läkare inom Reumatologi/SU.</w:t>
      </w:r>
    </w:p>
    <w:p w14:paraId="4F99D6CA" w14:textId="77777777" w:rsidR="00E651D5" w:rsidRPr="00704FA3" w:rsidRDefault="00E651D5" w:rsidP="00E651D5">
      <w:pPr>
        <w:pStyle w:val="NormalWeb"/>
        <w:rPr>
          <w:b/>
          <w:bCs/>
          <w:color w:val="000000"/>
        </w:rPr>
      </w:pPr>
      <w:r w:rsidRPr="00704FA3">
        <w:rPr>
          <w:b/>
          <w:bCs/>
          <w:color w:val="000000"/>
        </w:rPr>
        <w:t>Uppföljning och utvärdering</w:t>
      </w:r>
    </w:p>
    <w:p w14:paraId="5BD1D5F4" w14:textId="77777777" w:rsidR="00E651D5" w:rsidRPr="00704FA3" w:rsidRDefault="00E651D5" w:rsidP="00E651D5">
      <w:pPr>
        <w:pStyle w:val="NormalWeb"/>
        <w:rPr>
          <w:color w:val="000000"/>
        </w:rPr>
      </w:pPr>
      <w:r w:rsidRPr="00F44A26">
        <w:rPr>
          <w:color w:val="000000"/>
        </w:rPr>
        <w:t>Rutinen gäller om inga särskilda skäl till avsteg förekommer, medvetet avsteg från rutinen dokumenteras i Melior om rutinen är kopplad till patient.</w:t>
      </w:r>
    </w:p>
    <w:p w14:paraId="2C1B2971" w14:textId="6D7E5A00" w:rsidR="00455F1E" w:rsidRPr="0048245D" w:rsidRDefault="00455F1E" w:rsidP="00E651D5"/>
    <w:sectPr w:rsidR="00455F1E" w:rsidRPr="0048245D" w:rsidSect="007F4C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59377" w14:textId="77777777" w:rsidR="00291F1D" w:rsidRDefault="00291F1D">
      <w:r>
        <w:separator/>
      </w:r>
    </w:p>
  </w:endnote>
  <w:endnote w:type="continuationSeparator" w:id="0">
    <w:p w14:paraId="0A973041" w14:textId="77777777" w:rsidR="00291F1D" w:rsidRDefault="00291F1D">
      <w:r>
        <w:continuationSeparator/>
      </w:r>
    </w:p>
  </w:endnote>
  <w:endnote w:type="continuationNotice" w:id="1">
    <w:p w14:paraId="077531C5" w14:textId="77777777" w:rsidR="00291F1D" w:rsidRDefault="00291F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9957F6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DE67D" w14:textId="77777777" w:rsidR="00291F1D" w:rsidRDefault="00291F1D"/>
  </w:footnote>
  <w:footnote w:type="continuationSeparator" w:id="0">
    <w:p w14:paraId="30A591E6" w14:textId="77777777" w:rsidR="00291F1D" w:rsidRDefault="00291F1D">
      <w:r>
        <w:continuationSeparator/>
      </w:r>
    </w:p>
  </w:footnote>
  <w:footnote w:type="continuationNotice" w:id="1">
    <w:p w14:paraId="1DEB3F8A" w14:textId="77777777" w:rsidR="00291F1D" w:rsidRDefault="00291F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D4670F"/>
    <w:multiLevelType w:val="hybridMultilevel"/>
    <w:tmpl w:val="F45E85C8"/>
    <w:lvl w:ilvl="0" w:tplc="041D000B">
      <w:start w:val="5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574921"/>
    <w:multiLevelType w:val="hybridMultilevel"/>
    <w:tmpl w:val="950A30A2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912542">
    <w:abstractNumId w:val="20"/>
  </w:num>
  <w:num w:numId="2" w16cid:durableId="919482433">
    <w:abstractNumId w:val="17"/>
  </w:num>
  <w:num w:numId="3" w16cid:durableId="490872748">
    <w:abstractNumId w:val="0"/>
  </w:num>
  <w:num w:numId="4" w16cid:durableId="1178882876">
    <w:abstractNumId w:val="8"/>
  </w:num>
  <w:num w:numId="5" w16cid:durableId="1484543913">
    <w:abstractNumId w:val="18"/>
  </w:num>
  <w:num w:numId="6" w16cid:durableId="1159150871">
    <w:abstractNumId w:val="3"/>
  </w:num>
  <w:num w:numId="7" w16cid:durableId="869998881">
    <w:abstractNumId w:val="14"/>
  </w:num>
  <w:num w:numId="8" w16cid:durableId="1911304530">
    <w:abstractNumId w:val="10"/>
  </w:num>
  <w:num w:numId="9" w16cid:durableId="803502161">
    <w:abstractNumId w:val="1"/>
  </w:num>
  <w:num w:numId="10" w16cid:durableId="1795902697">
    <w:abstractNumId w:val="1"/>
  </w:num>
  <w:num w:numId="11" w16cid:durableId="1725908308">
    <w:abstractNumId w:val="4"/>
  </w:num>
  <w:num w:numId="12" w16cid:durableId="1653212131">
    <w:abstractNumId w:val="6"/>
  </w:num>
  <w:num w:numId="13" w16cid:durableId="1793134933">
    <w:abstractNumId w:val="16"/>
  </w:num>
  <w:num w:numId="14" w16cid:durableId="592588523">
    <w:abstractNumId w:val="11"/>
  </w:num>
  <w:num w:numId="15" w16cid:durableId="25453047">
    <w:abstractNumId w:val="9"/>
  </w:num>
  <w:num w:numId="16" w16cid:durableId="2137791740">
    <w:abstractNumId w:val="15"/>
  </w:num>
  <w:num w:numId="17" w16cid:durableId="593512920">
    <w:abstractNumId w:val="7"/>
  </w:num>
  <w:num w:numId="18" w16cid:durableId="1567377684">
    <w:abstractNumId w:val="13"/>
  </w:num>
  <w:num w:numId="19" w16cid:durableId="1858691490">
    <w:abstractNumId w:val="19"/>
  </w:num>
  <w:num w:numId="20" w16cid:durableId="258488340">
    <w:abstractNumId w:val="2"/>
  </w:num>
  <w:num w:numId="21" w16cid:durableId="77093823">
    <w:abstractNumId w:val="5"/>
  </w:num>
  <w:num w:numId="22" w16cid:durableId="18818932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1BA7"/>
    <w:rsid w:val="00023788"/>
    <w:rsid w:val="00023FF4"/>
    <w:rsid w:val="00030DDD"/>
    <w:rsid w:val="000313BB"/>
    <w:rsid w:val="00033ED5"/>
    <w:rsid w:val="00034E28"/>
    <w:rsid w:val="000357D8"/>
    <w:rsid w:val="00036E53"/>
    <w:rsid w:val="0004356B"/>
    <w:rsid w:val="00050500"/>
    <w:rsid w:val="0005691C"/>
    <w:rsid w:val="00056ECB"/>
    <w:rsid w:val="00056ED5"/>
    <w:rsid w:val="000573DB"/>
    <w:rsid w:val="00061969"/>
    <w:rsid w:val="0006292B"/>
    <w:rsid w:val="000636D0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481C"/>
    <w:rsid w:val="000A611A"/>
    <w:rsid w:val="000B12D9"/>
    <w:rsid w:val="000B4536"/>
    <w:rsid w:val="000B7715"/>
    <w:rsid w:val="000C6828"/>
    <w:rsid w:val="000D36F6"/>
    <w:rsid w:val="000D46A4"/>
    <w:rsid w:val="000E1915"/>
    <w:rsid w:val="000E463B"/>
    <w:rsid w:val="000E5A7E"/>
    <w:rsid w:val="000E761E"/>
    <w:rsid w:val="000E7B7C"/>
    <w:rsid w:val="000F1E96"/>
    <w:rsid w:val="000F43A3"/>
    <w:rsid w:val="000F7681"/>
    <w:rsid w:val="00101D9D"/>
    <w:rsid w:val="00102777"/>
    <w:rsid w:val="00103031"/>
    <w:rsid w:val="001044FE"/>
    <w:rsid w:val="00106C05"/>
    <w:rsid w:val="0011043C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5FA5"/>
    <w:rsid w:val="00157D5B"/>
    <w:rsid w:val="00161FE6"/>
    <w:rsid w:val="00164C3D"/>
    <w:rsid w:val="00166D3A"/>
    <w:rsid w:val="001746AC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37F2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1F1D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3E12"/>
    <w:rsid w:val="003B6CB5"/>
    <w:rsid w:val="003C174F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1828"/>
    <w:rsid w:val="003E2FF7"/>
    <w:rsid w:val="003E5B77"/>
    <w:rsid w:val="003F1013"/>
    <w:rsid w:val="003F1ACF"/>
    <w:rsid w:val="003F5401"/>
    <w:rsid w:val="003F6B35"/>
    <w:rsid w:val="00404948"/>
    <w:rsid w:val="00406BEA"/>
    <w:rsid w:val="00407D4F"/>
    <w:rsid w:val="004110BA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57ACC"/>
    <w:rsid w:val="00460ED0"/>
    <w:rsid w:val="00462BC7"/>
    <w:rsid w:val="00465651"/>
    <w:rsid w:val="00470CE7"/>
    <w:rsid w:val="00470F4F"/>
    <w:rsid w:val="00472482"/>
    <w:rsid w:val="00476567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E1245"/>
    <w:rsid w:val="004F4518"/>
    <w:rsid w:val="004F4C62"/>
    <w:rsid w:val="004F6DBB"/>
    <w:rsid w:val="00500749"/>
    <w:rsid w:val="00501433"/>
    <w:rsid w:val="005021CB"/>
    <w:rsid w:val="00511CC4"/>
    <w:rsid w:val="00520506"/>
    <w:rsid w:val="00520B39"/>
    <w:rsid w:val="005218AA"/>
    <w:rsid w:val="005238B2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599F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12CB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618A"/>
    <w:rsid w:val="005E7616"/>
    <w:rsid w:val="005F37B8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5F89"/>
    <w:rsid w:val="00673633"/>
    <w:rsid w:val="00673C92"/>
    <w:rsid w:val="006753EC"/>
    <w:rsid w:val="006826C1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6F1ECD"/>
    <w:rsid w:val="006F6701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46058"/>
    <w:rsid w:val="00750097"/>
    <w:rsid w:val="00753526"/>
    <w:rsid w:val="00753529"/>
    <w:rsid w:val="00753A0D"/>
    <w:rsid w:val="00754905"/>
    <w:rsid w:val="00757880"/>
    <w:rsid w:val="00760038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E0D14"/>
    <w:rsid w:val="007E62EC"/>
    <w:rsid w:val="007F0446"/>
    <w:rsid w:val="007F1CFF"/>
    <w:rsid w:val="007F4CC7"/>
    <w:rsid w:val="007F5DD5"/>
    <w:rsid w:val="00821A1B"/>
    <w:rsid w:val="00821E28"/>
    <w:rsid w:val="008262E9"/>
    <w:rsid w:val="00827E69"/>
    <w:rsid w:val="0083141A"/>
    <w:rsid w:val="00835C4D"/>
    <w:rsid w:val="00842102"/>
    <w:rsid w:val="00843F48"/>
    <w:rsid w:val="008459AD"/>
    <w:rsid w:val="00851423"/>
    <w:rsid w:val="008569C6"/>
    <w:rsid w:val="00857848"/>
    <w:rsid w:val="008654B6"/>
    <w:rsid w:val="00865645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150"/>
    <w:rsid w:val="008A1245"/>
    <w:rsid w:val="008A2196"/>
    <w:rsid w:val="008A3DEA"/>
    <w:rsid w:val="008A4EB9"/>
    <w:rsid w:val="008A7256"/>
    <w:rsid w:val="008A74C0"/>
    <w:rsid w:val="008B1694"/>
    <w:rsid w:val="008B75AE"/>
    <w:rsid w:val="008C137D"/>
    <w:rsid w:val="008C26FF"/>
    <w:rsid w:val="008C4B27"/>
    <w:rsid w:val="008C5FE2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E7F0A"/>
    <w:rsid w:val="008F4567"/>
    <w:rsid w:val="008F4F97"/>
    <w:rsid w:val="008F589F"/>
    <w:rsid w:val="00901ED8"/>
    <w:rsid w:val="009033A1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960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2E76"/>
    <w:rsid w:val="00A33051"/>
    <w:rsid w:val="00A35F4C"/>
    <w:rsid w:val="00A37870"/>
    <w:rsid w:val="00A407AD"/>
    <w:rsid w:val="00A40923"/>
    <w:rsid w:val="00A41C05"/>
    <w:rsid w:val="00A42426"/>
    <w:rsid w:val="00A437B0"/>
    <w:rsid w:val="00A514B7"/>
    <w:rsid w:val="00A54A0B"/>
    <w:rsid w:val="00A65823"/>
    <w:rsid w:val="00A65FD4"/>
    <w:rsid w:val="00A70915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11FD"/>
    <w:rsid w:val="00AA4986"/>
    <w:rsid w:val="00AA6EB4"/>
    <w:rsid w:val="00AA767D"/>
    <w:rsid w:val="00AB0CC9"/>
    <w:rsid w:val="00AB4793"/>
    <w:rsid w:val="00AC3FF6"/>
    <w:rsid w:val="00AD2E51"/>
    <w:rsid w:val="00AD49B5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1D77"/>
    <w:rsid w:val="00B33FDD"/>
    <w:rsid w:val="00B359CC"/>
    <w:rsid w:val="00B36107"/>
    <w:rsid w:val="00B41789"/>
    <w:rsid w:val="00B417DB"/>
    <w:rsid w:val="00B46C03"/>
    <w:rsid w:val="00B474EC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5FDD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5AE8"/>
    <w:rsid w:val="00BA622C"/>
    <w:rsid w:val="00BB2658"/>
    <w:rsid w:val="00BB38E7"/>
    <w:rsid w:val="00BB69DB"/>
    <w:rsid w:val="00BC322E"/>
    <w:rsid w:val="00BC44CD"/>
    <w:rsid w:val="00BC48A6"/>
    <w:rsid w:val="00BE3270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4E92"/>
    <w:rsid w:val="00C47778"/>
    <w:rsid w:val="00C5011E"/>
    <w:rsid w:val="00C50EE5"/>
    <w:rsid w:val="00C5240A"/>
    <w:rsid w:val="00C527F6"/>
    <w:rsid w:val="00C5398F"/>
    <w:rsid w:val="00C53B3D"/>
    <w:rsid w:val="00C54890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18AB"/>
    <w:rsid w:val="00CD6647"/>
    <w:rsid w:val="00CE099B"/>
    <w:rsid w:val="00CE4B73"/>
    <w:rsid w:val="00CE4FC6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513E"/>
    <w:rsid w:val="00D7644D"/>
    <w:rsid w:val="00D76BFC"/>
    <w:rsid w:val="00D85218"/>
    <w:rsid w:val="00D915B1"/>
    <w:rsid w:val="00D93C43"/>
    <w:rsid w:val="00D940B2"/>
    <w:rsid w:val="00DA1865"/>
    <w:rsid w:val="00DA1BC4"/>
    <w:rsid w:val="00DA299D"/>
    <w:rsid w:val="00DA65C4"/>
    <w:rsid w:val="00DA6F5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3315"/>
    <w:rsid w:val="00E04EE4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1D5"/>
    <w:rsid w:val="00E65E49"/>
    <w:rsid w:val="00E7237C"/>
    <w:rsid w:val="00E732D4"/>
    <w:rsid w:val="00E77C46"/>
    <w:rsid w:val="00E80137"/>
    <w:rsid w:val="00E8237C"/>
    <w:rsid w:val="00E86CE8"/>
    <w:rsid w:val="00E90E82"/>
    <w:rsid w:val="00E94841"/>
    <w:rsid w:val="00E9794D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0221"/>
    <w:rsid w:val="00ED49C3"/>
    <w:rsid w:val="00ED4A6B"/>
    <w:rsid w:val="00ED6CE8"/>
    <w:rsid w:val="00ED7AA6"/>
    <w:rsid w:val="00EE2A56"/>
    <w:rsid w:val="00EE3818"/>
    <w:rsid w:val="00EE4345"/>
    <w:rsid w:val="00EE4EAF"/>
    <w:rsid w:val="00EE57D4"/>
    <w:rsid w:val="00EF701C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75BDB"/>
    <w:rsid w:val="00F80CFA"/>
    <w:rsid w:val="00F82974"/>
    <w:rsid w:val="00F86412"/>
    <w:rsid w:val="00F86F47"/>
    <w:rsid w:val="00F90B64"/>
    <w:rsid w:val="00F91156"/>
    <w:rsid w:val="00F930E7"/>
    <w:rsid w:val="00FA07B3"/>
    <w:rsid w:val="00FA0FC4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E6E5C"/>
    <w:rsid w:val="00FF7C02"/>
    <w:rsid w:val="024801E3"/>
    <w:rsid w:val="1CE3E72C"/>
    <w:rsid w:val="43B4012D"/>
    <w:rsid w:val="498A652A"/>
    <w:rsid w:val="55B98A16"/>
    <w:rsid w:val="647B2B65"/>
    <w:rsid w:val="69762B9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B80F13"/>
    <w:rPr>
      <w:sz w:val="24"/>
      <w:szCs w:val="24"/>
    </w:rPr>
  </w:style>
  <w:style w:type="paragraph" w:customStyle="1" w:styleId="FormatmallFre24ptEfter24pt">
    <w:name w:val="Formatmall Före:  24 pt Efter:  24 pt"/>
    <w:basedOn w:val="Normal"/>
    <w:rsid w:val="0011043C"/>
    <w:pPr>
      <w:spacing w:before="840" w:after="480"/>
      <w:ind w:right="868"/>
    </w:pPr>
    <w:rPr>
      <w:szCs w:val="20"/>
    </w:rPr>
  </w:style>
  <w:style w:type="paragraph" w:styleId="NormalWeb">
    <w:name w:val="Normal (Web)"/>
    <w:basedOn w:val="Normal"/>
    <w:uiPriority w:val="99"/>
    <w:unhideWhenUsed/>
    <w:rsid w:val="0011043C"/>
    <w:pPr>
      <w:spacing w:before="100" w:beforeAutospacing="1" w:after="100" w:afterAutospacing="1" w:line="240" w:lineRule="auto"/>
    </w:pPr>
  </w:style>
  <w:style w:type="table" w:customStyle="1" w:styleId="TableNormal1">
    <w:name w:val="Table Normal1"/>
    <w:uiPriority w:val="2"/>
    <w:semiHidden/>
    <w:unhideWhenUsed/>
    <w:qFormat/>
    <w:rsid w:val="00101D9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01D9D"/>
    <w:pPr>
      <w:widowControl w:val="0"/>
      <w:autoSpaceDE w:val="0"/>
      <w:autoSpaceDN w:val="0"/>
      <w:spacing w:after="0" w:line="268" w:lineRule="exact"/>
      <w:ind w:left="107"/>
    </w:pPr>
    <w:rPr>
      <w:rFonts w:ascii="Arial" w:eastAsia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628</Words>
  <Characters>3583</Characters>
  <Application>Microsoft Office Word</Application>
  <DocSecurity>4</DocSecurity>
  <Lines>29</Lines>
  <Paragraphs>8</Paragraphs>
  <ScaleCrop>false</ScaleCrop>
  <Manager/>
  <Company/>
  <LinksUpToDate>false</LinksUpToDate>
  <CharactersWithSpaces>4203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Intraartikulära injektioner</dc:title>
  <dc:subject/>
  <dc:creator/>
  <keywords/>
  <lastModifiedBy>Mats Dehlin</lastModifiedBy>
  <revision>5</revision>
  <dcterms:created xsi:type="dcterms:W3CDTF">2023-01-03T15:17:00.0000000Z</dcterms:created>
  <dcterms:modified xsi:type="dcterms:W3CDTF">2025-06-04T08:59:00.0000000Z</dcterms:modified>
</coreProperties>
</file>