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36291B" w14:textId="77777777" w:rsidR="00F92208" w:rsidRDefault="00F92208" w:rsidP="009A32ED">
      <w:pPr>
        <w:pStyle w:val="Rubrik2"/>
        <w:ind w:right="-143"/>
        <w:rPr>
          <w:rStyle w:val="eop"/>
          <w:rFonts w:ascii="Calibri Light" w:hAnsi="Calibri Light" w:cs="Calibri Light"/>
          <w:color w:val="2F5496"/>
          <w:sz w:val="26"/>
          <w:shd w:val="clear" w:color="auto" w:fill="FFFFFF"/>
        </w:rPr>
      </w:pPr>
      <w:bookmarkStart w:id="0" w:name="_Toc100327184"/>
      <w:bookmarkStart w:id="1" w:name="_Toc106874287"/>
      <w:r w:rsidRPr="00F92208">
        <w:rPr>
          <w:rStyle w:val="Rubrik1Char"/>
        </w:rPr>
        <w:t>Centrum för Huntingtons sjukdom - Gränssnitt mot primärvård och specialistpsykiatri avseende uppföljning av psykiatriska symtom</w:t>
      </w:r>
    </w:p>
    <w:p w14:paraId="11BC1DCA" w14:textId="6734087A" w:rsidR="009A32ED" w:rsidRDefault="009A32ED" w:rsidP="009A32ED">
      <w:pPr>
        <w:pStyle w:val="Rubrik2"/>
        <w:ind w:right="-143"/>
      </w:pPr>
      <w:r>
        <w:t>Förändringar sedan föregående version</w:t>
      </w:r>
      <w:bookmarkEnd w:id="0"/>
      <w:bookmarkEnd w:id="1"/>
    </w:p>
    <w:p w14:paraId="1FC6584C" w14:textId="5B396BAA" w:rsidR="00B405A1" w:rsidRDefault="00F92208" w:rsidP="0066244D">
      <w:pPr>
        <w:ind w:right="-143"/>
      </w:pPr>
      <w:r>
        <w:t>Nytt dokument.</w:t>
      </w:r>
      <w:bookmarkStart w:id="2" w:name="_Toc72840807"/>
    </w:p>
    <w:p w14:paraId="29B03EF5" w14:textId="77777777" w:rsidR="009A32ED" w:rsidRDefault="009A32ED" w:rsidP="009A32ED">
      <w:pPr>
        <w:pStyle w:val="Rubrik2"/>
        <w:ind w:right="-143"/>
      </w:pPr>
      <w:bookmarkStart w:id="3" w:name="_Toc100327186"/>
      <w:bookmarkStart w:id="4" w:name="_Toc106874289"/>
      <w:bookmarkEnd w:id="2"/>
      <w:r>
        <w:t>Bakgrund och syfte</w:t>
      </w:r>
      <w:bookmarkEnd w:id="3"/>
      <w:bookmarkEnd w:id="4"/>
      <w:r>
        <w:t xml:space="preserve"> </w:t>
      </w:r>
    </w:p>
    <w:p w14:paraId="6E8D64D0" w14:textId="77777777" w:rsidR="0066244D" w:rsidRDefault="0066244D" w:rsidP="0066244D">
      <w:pPr>
        <w:rPr>
          <w:rFonts w:ascii="Segoe UI" w:hAnsi="Segoe UI" w:cs="Segoe UI"/>
          <w:sz w:val="18"/>
          <w:szCs w:val="18"/>
        </w:rPr>
      </w:pPr>
      <w:bookmarkStart w:id="5" w:name="_Toc100327187"/>
      <w:bookmarkStart w:id="6" w:name="_Toc106874290"/>
      <w:r>
        <w:rPr>
          <w:rStyle w:val="normaltextrun"/>
          <w:rFonts w:ascii="Calibri" w:hAnsi="Calibri" w:cs="Calibri"/>
          <w:sz w:val="22"/>
          <w:szCs w:val="22"/>
        </w:rPr>
        <w:t>Vid Huntingtons sjukdom är psykiatriska symtom vanliga, framför allt gäller det ångest, depression och exekutiva symtom. Differentialdiagnostik av psykiatriska symtom kan vara svår, och samtidiga psykiatriska tillstånd blir ofta komplexa. Huntingtons sjukdom är förknippad med en högre risk för suicid än jämfört med den generella befolkningen. </w:t>
      </w:r>
      <w:r>
        <w:rPr>
          <w:rStyle w:val="eop"/>
          <w:rFonts w:ascii="Calibri" w:hAnsi="Calibri" w:cs="Calibri"/>
          <w:sz w:val="22"/>
          <w:szCs w:val="22"/>
        </w:rPr>
        <w:t> </w:t>
      </w:r>
    </w:p>
    <w:p w14:paraId="4161786C" w14:textId="77777777" w:rsidR="0066244D" w:rsidRDefault="0066244D" w:rsidP="0066244D">
      <w:pPr>
        <w:rPr>
          <w:rFonts w:ascii="Segoe UI" w:hAnsi="Segoe UI" w:cs="Segoe UI"/>
          <w:sz w:val="18"/>
          <w:szCs w:val="18"/>
        </w:rPr>
      </w:pPr>
      <w:r>
        <w:rPr>
          <w:rStyle w:val="normaltextrun"/>
          <w:rFonts w:ascii="Calibri" w:hAnsi="Calibri" w:cs="Calibri"/>
          <w:sz w:val="22"/>
          <w:szCs w:val="22"/>
        </w:rPr>
        <w:t>Centrum för Huntington har patienter inom ett stort spridningsområde både inom Västra Götalandsregionen och närliggande regioner. För att säkerställa en patientsäker handläggning av patienter med psykiatrisk samsjuklighet är samverkan med vårdgivare i patientens närområde avgörande. </w:t>
      </w:r>
      <w:r>
        <w:rPr>
          <w:rStyle w:val="eop"/>
          <w:rFonts w:ascii="Calibri" w:hAnsi="Calibri" w:cs="Calibri"/>
          <w:sz w:val="22"/>
          <w:szCs w:val="22"/>
        </w:rPr>
        <w:t> </w:t>
      </w:r>
    </w:p>
    <w:p w14:paraId="37C7076C" w14:textId="77777777" w:rsidR="009A32ED" w:rsidRDefault="009A32ED" w:rsidP="009A32ED">
      <w:pPr>
        <w:pStyle w:val="Rubrik2"/>
        <w:ind w:right="-143"/>
        <w:rPr>
          <w:color w:val="auto"/>
        </w:rPr>
      </w:pPr>
      <w:bookmarkStart w:id="7" w:name="_Toc100327192"/>
      <w:bookmarkStart w:id="8" w:name="_Toc106874291"/>
      <w:bookmarkEnd w:id="5"/>
      <w:bookmarkEnd w:id="6"/>
      <w:r w:rsidRPr="00065A6B">
        <w:rPr>
          <w:color w:val="auto"/>
        </w:rPr>
        <w:t>Utförande</w:t>
      </w:r>
      <w:bookmarkEnd w:id="7"/>
      <w:bookmarkEnd w:id="8"/>
    </w:p>
    <w:p w14:paraId="485E7942" w14:textId="798F5F31" w:rsidR="00B92BAA" w:rsidRDefault="00B92BAA" w:rsidP="00B92BAA">
      <w:pPr>
        <w:pStyle w:val="Rubrik3"/>
        <w:rPr>
          <w:rStyle w:val="eop"/>
          <w:rFonts w:ascii="Calibri" w:hAnsi="Calibri" w:cs="Calibri"/>
          <w:color w:val="000000"/>
          <w:sz w:val="22"/>
          <w:szCs w:val="22"/>
          <w:shd w:val="clear" w:color="auto" w:fill="FFFFFF"/>
        </w:rPr>
      </w:pPr>
      <w:r>
        <w:rPr>
          <w:rStyle w:val="normaltextrun"/>
          <w:rFonts w:ascii="Calibri" w:hAnsi="Calibri" w:cs="Calibri"/>
          <w:b/>
          <w:bCs w:val="0"/>
          <w:color w:val="000000"/>
          <w:sz w:val="22"/>
          <w:szCs w:val="22"/>
          <w:shd w:val="clear" w:color="auto" w:fill="FFFFFF"/>
        </w:rPr>
        <w:t>Ansvarsfördelning mellan Centrum för Huntington sjukdom, primärvård och specialistpsykiatri</w:t>
      </w:r>
      <w:r>
        <w:rPr>
          <w:rStyle w:val="eop"/>
          <w:rFonts w:ascii="Calibri" w:hAnsi="Calibri" w:cs="Calibri"/>
          <w:color w:val="000000"/>
          <w:sz w:val="22"/>
          <w:szCs w:val="22"/>
          <w:shd w:val="clear" w:color="auto" w:fill="FFFFFF"/>
        </w:rPr>
        <w:t> </w:t>
      </w:r>
    </w:p>
    <w:p w14:paraId="43C48953" w14:textId="77777777" w:rsidR="00AF6B81" w:rsidRDefault="00AF6B81" w:rsidP="00315277">
      <w:pPr>
        <w:rPr>
          <w:rFonts w:ascii="Segoe UI" w:hAnsi="Segoe UI" w:cs="Segoe UI"/>
          <w:sz w:val="18"/>
          <w:szCs w:val="18"/>
        </w:rPr>
      </w:pPr>
      <w:r>
        <w:rPr>
          <w:rStyle w:val="normaltextrun"/>
          <w:rFonts w:ascii="Calibri" w:hAnsi="Calibri" w:cs="Calibri"/>
          <w:sz w:val="22"/>
          <w:szCs w:val="22"/>
        </w:rPr>
        <w:t xml:space="preserve">Centrum för Huntingtons sjukdom ansvarar för att kartlägga och bedöma psykiatrisk samsjuklighet hos patientgruppen, och lämna rekommendationer om anpassningar och behandling utifrån den expertis om Huntingtons sjukdom som finns hos teamet. Centrum för Huntingtons sjukdom har också som uppdrag att samordna vården kring patienterna för att säkerställa personcentrerad vård. Suicidrisk beaktas vid alla kontakter med patienter hos teamet. Centrum för </w:t>
      </w:r>
      <w:r>
        <w:rPr>
          <w:rStyle w:val="normaltextrun"/>
          <w:rFonts w:ascii="Calibri" w:hAnsi="Calibri" w:cs="Calibri"/>
          <w:sz w:val="22"/>
          <w:szCs w:val="22"/>
        </w:rPr>
        <w:lastRenderedPageBreak/>
        <w:t>Huntingtons sjukdom ska ha tydliga arbetssätt för bedömning och handläggning av patienter med akut suicidalitet.</w:t>
      </w:r>
      <w:r>
        <w:rPr>
          <w:rStyle w:val="eop"/>
          <w:rFonts w:ascii="Calibri" w:hAnsi="Calibri" w:cs="Calibri"/>
          <w:sz w:val="22"/>
          <w:szCs w:val="22"/>
        </w:rPr>
        <w:t> </w:t>
      </w:r>
    </w:p>
    <w:p w14:paraId="65D51908" w14:textId="77777777" w:rsidR="00AF6B81" w:rsidRDefault="00AF6B81" w:rsidP="00315277">
      <w:pPr>
        <w:rPr>
          <w:rFonts w:ascii="Segoe UI" w:hAnsi="Segoe UI" w:cs="Segoe UI"/>
          <w:sz w:val="18"/>
          <w:szCs w:val="18"/>
        </w:rPr>
      </w:pPr>
      <w:r>
        <w:rPr>
          <w:rStyle w:val="normaltextrun"/>
          <w:rFonts w:ascii="Calibri" w:hAnsi="Calibri" w:cs="Calibri"/>
          <w:sz w:val="22"/>
          <w:szCs w:val="22"/>
        </w:rPr>
        <w:t xml:space="preserve">Vid lindriga psykiatriska symtom bör vård av psykiatrisk samsjuklighet hos patienter med Huntingtons sjukdom ske i primärvård. Vid svårare psykiatrisk samsjuklighet sker vården inom psykiatrisk specialistvård. Fördelningen sker då i linje med den ansvarsfördelning som finns mellan primärvård och psykiatrisk specialistvård </w:t>
      </w:r>
      <w:hyperlink r:id="rId12" w:tgtFrame="_blank" w:history="1">
        <w:r>
          <w:rPr>
            <w:rStyle w:val="normaltextrun"/>
            <w:rFonts w:ascii="Calibri" w:hAnsi="Calibri" w:cs="Calibri"/>
            <w:color w:val="0563C1"/>
            <w:sz w:val="22"/>
            <w:szCs w:val="22"/>
            <w:u w:val="single"/>
          </w:rPr>
          <w:t>RMR Ansvarsfördelning och konsultationer mellan Västra Götalandsregionens primärvård och specialistpsykiatri</w:t>
        </w:r>
      </w:hyperlink>
      <w:r>
        <w:rPr>
          <w:rStyle w:val="normaltextrun"/>
          <w:rFonts w:ascii="Calibri" w:hAnsi="Calibri" w:cs="Calibri"/>
          <w:sz w:val="22"/>
          <w:szCs w:val="22"/>
        </w:rPr>
        <w:t>. Vid psykiatriska symtom hos patienter med uttalade kognitiva- och eller/motoriska symtom på Huntingtons sjukdom där de psykiatriska symtomen är på primärvårdsnivå, kan Centrum för Huntingtons sjukdom stå för den psykiatriska uppföljningen. </w:t>
      </w:r>
      <w:r>
        <w:rPr>
          <w:rStyle w:val="eop"/>
          <w:rFonts w:ascii="Calibri" w:hAnsi="Calibri" w:cs="Calibri"/>
          <w:sz w:val="22"/>
          <w:szCs w:val="22"/>
        </w:rPr>
        <w:t> </w:t>
      </w:r>
    </w:p>
    <w:p w14:paraId="37087E18" w14:textId="23779502" w:rsidR="009A32ED" w:rsidRPr="00315277" w:rsidRDefault="00AF6B81" w:rsidP="00315277">
      <w:pPr>
        <w:rPr>
          <w:rFonts w:asciiTheme="majorHAnsi" w:hAnsiTheme="majorHAnsi" w:cstheme="majorHAnsi"/>
          <w:sz w:val="18"/>
          <w:szCs w:val="18"/>
        </w:rPr>
      </w:pPr>
      <w:r>
        <w:rPr>
          <w:rStyle w:val="normaltextrun"/>
          <w:rFonts w:ascii="Calibri" w:hAnsi="Calibri" w:cs="Calibri"/>
          <w:sz w:val="22"/>
          <w:szCs w:val="22"/>
        </w:rPr>
        <w:t xml:space="preserve">Vid medelhög eller hög suicidrisk skickas remiss till psykiatrisk specialistmottagning i patientens närområde för uppföljning av suicidrisken över tid enligt </w:t>
      </w:r>
      <w:r w:rsidRPr="00315277">
        <w:rPr>
          <w:rStyle w:val="normaltextrun"/>
          <w:rFonts w:asciiTheme="majorHAnsi" w:hAnsiTheme="majorHAnsi" w:cstheme="majorHAnsi"/>
          <w:sz w:val="22"/>
          <w:szCs w:val="22"/>
        </w:rPr>
        <w:t>överenskommelse i samordningsråd för psykiatri i Västra Götalandsregionen.</w:t>
      </w:r>
      <w:r w:rsidRPr="00315277">
        <w:rPr>
          <w:rStyle w:val="eop"/>
          <w:rFonts w:asciiTheme="majorHAnsi" w:hAnsiTheme="majorHAnsi" w:cstheme="majorHAnsi"/>
          <w:sz w:val="22"/>
          <w:szCs w:val="22"/>
        </w:rPr>
        <w:t> </w:t>
      </w:r>
    </w:p>
    <w:p w14:paraId="2D8C8D35" w14:textId="53EB785D" w:rsidR="00315277" w:rsidRPr="00315277" w:rsidRDefault="00315277" w:rsidP="00315277">
      <w:pPr>
        <w:rPr>
          <w:rFonts w:asciiTheme="majorHAnsi" w:hAnsiTheme="majorHAnsi" w:cstheme="majorHAnsi"/>
          <w:sz w:val="22"/>
          <w:szCs w:val="22"/>
        </w:rPr>
      </w:pPr>
      <w:r w:rsidRPr="00315277">
        <w:rPr>
          <w:rFonts w:asciiTheme="majorHAnsi" w:hAnsiTheme="majorHAnsi" w:cstheme="majorHAnsi"/>
          <w:sz w:val="22"/>
          <w:szCs w:val="22"/>
        </w:rPr>
        <w:t>Medvetna medicinska avsteg från rutin dokumenteras tydligt i journal, andra avsteg från rutin rapporteras i MedControl PRO.</w:t>
      </w:r>
    </w:p>
    <w:sectPr w:rsidR="00315277" w:rsidRPr="00315277"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E9B921" w14:textId="77777777" w:rsidR="00897AB9" w:rsidRDefault="00897AB9">
      <w:r>
        <w:separator/>
      </w:r>
    </w:p>
  </w:endnote>
  <w:endnote w:type="continuationSeparator" w:id="0">
    <w:p w14:paraId="327141F4" w14:textId="77777777" w:rsidR="00897AB9" w:rsidRDefault="00897AB9">
      <w:r>
        <w:continuationSeparator/>
      </w:r>
    </w:p>
  </w:endnote>
  <w:endnote w:type="continuationNotice" w:id="1">
    <w:p w14:paraId="064247AF" w14:textId="77777777" w:rsidR="00897AB9" w:rsidRDefault="00897AB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283242" w14:textId="77777777" w:rsidR="00897AB9" w:rsidRDefault="00897AB9"/>
  </w:footnote>
  <w:footnote w:type="continuationSeparator" w:id="0">
    <w:p w14:paraId="2CFB7752" w14:textId="77777777" w:rsidR="00897AB9" w:rsidRDefault="00897AB9">
      <w:r>
        <w:continuationSeparator/>
      </w:r>
    </w:p>
  </w:footnote>
  <w:footnote w:type="continuationNotice" w:id="1">
    <w:p w14:paraId="6DCA2EEB" w14:textId="77777777" w:rsidR="00897AB9" w:rsidRDefault="00897AB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73410774">
    <w:abstractNumId w:val="17"/>
  </w:num>
  <w:num w:numId="2" w16cid:durableId="1565798768">
    <w:abstractNumId w:val="14"/>
  </w:num>
  <w:num w:numId="3" w16cid:durableId="1175917011">
    <w:abstractNumId w:val="0"/>
  </w:num>
  <w:num w:numId="4" w16cid:durableId="670067001">
    <w:abstractNumId w:val="6"/>
  </w:num>
  <w:num w:numId="5" w16cid:durableId="1753820706">
    <w:abstractNumId w:val="15"/>
  </w:num>
  <w:num w:numId="6" w16cid:durableId="477722169">
    <w:abstractNumId w:val="2"/>
  </w:num>
  <w:num w:numId="7" w16cid:durableId="595945074">
    <w:abstractNumId w:val="11"/>
  </w:num>
  <w:num w:numId="8" w16cid:durableId="1590963103">
    <w:abstractNumId w:val="8"/>
  </w:num>
  <w:num w:numId="9" w16cid:durableId="808939694">
    <w:abstractNumId w:val="1"/>
  </w:num>
  <w:num w:numId="10" w16cid:durableId="1398820697">
    <w:abstractNumId w:val="1"/>
  </w:num>
  <w:num w:numId="11" w16cid:durableId="921185388">
    <w:abstractNumId w:val="3"/>
  </w:num>
  <w:num w:numId="12" w16cid:durableId="2101638824">
    <w:abstractNumId w:val="4"/>
  </w:num>
  <w:num w:numId="13" w16cid:durableId="866910757">
    <w:abstractNumId w:val="13"/>
  </w:num>
  <w:num w:numId="14" w16cid:durableId="1710376553">
    <w:abstractNumId w:val="9"/>
  </w:num>
  <w:num w:numId="15" w16cid:durableId="1472164966">
    <w:abstractNumId w:val="7"/>
  </w:num>
  <w:num w:numId="16" w16cid:durableId="1761099383">
    <w:abstractNumId w:val="12"/>
  </w:num>
  <w:num w:numId="17" w16cid:durableId="2063869655">
    <w:abstractNumId w:val="5"/>
  </w:num>
  <w:num w:numId="18" w16cid:durableId="1944141855">
    <w:abstractNumId w:val="10"/>
  </w:num>
  <w:num w:numId="19" w16cid:durableId="15796036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5277"/>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244D"/>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97AB9"/>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6B81"/>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BAA"/>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2208"/>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customStyle="1" w:styleId="normaltextrun">
    <w:name w:val="normaltextrun"/>
    <w:basedOn w:val="Standardstycketeckensnitt"/>
    <w:rsid w:val="00F92208"/>
  </w:style>
  <w:style w:type="character" w:customStyle="1" w:styleId="eop">
    <w:name w:val="eop"/>
    <w:basedOn w:val="Standardstycketeckensnitt"/>
    <w:rsid w:val="00F92208"/>
  </w:style>
  <w:style w:type="paragraph" w:customStyle="1" w:styleId="paragraph">
    <w:name w:val="paragraph"/>
    <w:basedOn w:val="Normal"/>
    <w:rsid w:val="0066244D"/>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77580089">
      <w:bodyDiv w:val="1"/>
      <w:marLeft w:val="0"/>
      <w:marRight w:val="0"/>
      <w:marTop w:val="0"/>
      <w:marBottom w:val="0"/>
      <w:divBdr>
        <w:top w:val="none" w:sz="0" w:space="0" w:color="auto"/>
        <w:left w:val="none" w:sz="0" w:space="0" w:color="auto"/>
        <w:bottom w:val="none" w:sz="0" w:space="0" w:color="auto"/>
        <w:right w:val="none" w:sz="0" w:space="0" w:color="auto"/>
      </w:divBdr>
      <w:divsChild>
        <w:div w:id="104934004">
          <w:marLeft w:val="0"/>
          <w:marRight w:val="0"/>
          <w:marTop w:val="0"/>
          <w:marBottom w:val="0"/>
          <w:divBdr>
            <w:top w:val="none" w:sz="0" w:space="0" w:color="auto"/>
            <w:left w:val="none" w:sz="0" w:space="0" w:color="auto"/>
            <w:bottom w:val="none" w:sz="0" w:space="0" w:color="auto"/>
            <w:right w:val="none" w:sz="0" w:space="0" w:color="auto"/>
          </w:divBdr>
        </w:div>
        <w:div w:id="81056201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66231305">
      <w:bodyDiv w:val="1"/>
      <w:marLeft w:val="0"/>
      <w:marRight w:val="0"/>
      <w:marTop w:val="0"/>
      <w:marBottom w:val="0"/>
      <w:divBdr>
        <w:top w:val="none" w:sz="0" w:space="0" w:color="auto"/>
        <w:left w:val="none" w:sz="0" w:space="0" w:color="auto"/>
        <w:bottom w:val="none" w:sz="0" w:space="0" w:color="auto"/>
        <w:right w:val="none" w:sz="0" w:space="0" w:color="auto"/>
      </w:divBdr>
      <w:divsChild>
        <w:div w:id="1093628457">
          <w:marLeft w:val="0"/>
          <w:marRight w:val="0"/>
          <w:marTop w:val="0"/>
          <w:marBottom w:val="0"/>
          <w:divBdr>
            <w:top w:val="none" w:sz="0" w:space="0" w:color="auto"/>
            <w:left w:val="none" w:sz="0" w:space="0" w:color="auto"/>
            <w:bottom w:val="none" w:sz="0" w:space="0" w:color="auto"/>
            <w:right w:val="none" w:sz="0" w:space="0" w:color="auto"/>
          </w:divBdr>
        </w:div>
        <w:div w:id="1165586712">
          <w:marLeft w:val="0"/>
          <w:marRight w:val="0"/>
          <w:marTop w:val="0"/>
          <w:marBottom w:val="0"/>
          <w:divBdr>
            <w:top w:val="none" w:sz="0" w:space="0" w:color="auto"/>
            <w:left w:val="none" w:sz="0" w:space="0" w:color="auto"/>
            <w:bottom w:val="none" w:sz="0" w:space="0" w:color="auto"/>
            <w:right w:val="none" w:sz="0" w:space="0" w:color="auto"/>
          </w:divBdr>
        </w:div>
        <w:div w:id="1614480547">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hs9766-305841775-387/surrogate/Ansvarsf%c3%b6rdelning%20och%20konsultationer%20mellan%20prim%c3%a4rv%c3%a5rd%20och%20specialistpsykiatri%20(vuxna).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36</TotalTime>
  <Pages>2</Pages>
  <Words>317</Words>
  <Characters>2497</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2809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Centrum för Huntington – gränssnitt mot primärvård och specialistpsykiatri</dc:title>
  <dc:subject/>
  <dc:creator/>
  <keywords/>
  <lastModifiedBy>Emelie Ekoff Andersson</lastModifiedBy>
  <revision>20</revision>
  <lastPrinted>2016-03-31T10:56:00.0000000Z</lastPrinted>
  <dcterms:created xsi:type="dcterms:W3CDTF">2021-05-27T09:47:00.0000000Z</dcterms:created>
  <dcterms:modified xsi:type="dcterms:W3CDTF">2024-03-06T09:03:00.0000000Z</dcterms:modified>
</coreProperties>
</file>