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6A20B2C0" w:rsidP="6A20B2C0" w:rsidRDefault="6A20B2C0" w14:paraId="26CD1001" w14:textId="19132FEE">
      <w:pPr>
        <w:pStyle w:val="Rubrik1"/>
        <w:ind w:left="567" w:right="-143"/>
        <w:rPr>
          <w:szCs w:val="48"/>
        </w:rPr>
      </w:pPr>
      <w:r>
        <w:t>Personlighetsutredning</w:t>
      </w:r>
      <w:bookmarkStart w:name="_Toc321146591" w:id="0"/>
      <w:r w:rsidR="007F236E">
        <w:t xml:space="preserve"> och -diagnostik</w:t>
      </w:r>
    </w:p>
    <w:p w:rsidR="005218AA" w:rsidP="6A20B2C0" w:rsidRDefault="005218AA" w14:paraId="28FDE783" w14:textId="1C94CCDA">
      <w:pPr>
        <w:pStyle w:val="Rubrik2"/>
        <w:rPr>
          <w:rFonts w:ascii="Calibri" w:hAnsi="Calibri" w:eastAsia="MS Gothic" w:cs="Times New Roman"/>
          <w:color w:val="000000" w:themeColor="text2"/>
          <w:szCs w:val="40"/>
        </w:rPr>
      </w:pPr>
      <w:bookmarkStart w:name="_Toc107998749" w:id="1"/>
      <w:bookmarkStart w:name="_Toc108453018" w:id="2"/>
      <w:bookmarkEnd w:id="0"/>
      <w:r>
        <w:t>Förändringar sedan föregående version</w:t>
      </w:r>
      <w:bookmarkEnd w:id="1"/>
      <w:bookmarkEnd w:id="2"/>
    </w:p>
    <w:p w:rsidR="00FB3D9E" w:rsidP="6A20B2C0" w:rsidRDefault="6A20B2C0" w14:paraId="629625AE" w14:textId="7C6B1A40">
      <w:r>
        <w:t>Detta är ett nytt dokument</w:t>
      </w:r>
      <w:r w:rsidR="003F6DE9">
        <w:t>.</w:t>
      </w:r>
    </w:p>
    <w:p w:rsidR="00FB3D9E" w:rsidP="6A20B2C0" w:rsidRDefault="6A20B2C0" w14:paraId="0CDA608A" w14:textId="2926554A">
      <w:pPr>
        <w:pStyle w:val="Rubrik2"/>
        <w:rPr>
          <w:rFonts w:ascii="Calibri" w:hAnsi="Calibri" w:eastAsia="MS Gothic" w:cs="Times New Roman"/>
          <w:color w:val="000000" w:themeColor="text2"/>
          <w:szCs w:val="40"/>
        </w:rPr>
      </w:pPr>
      <w:bookmarkStart w:name="_Toc108453019" w:id="3"/>
      <w:r w:rsidRPr="6A20B2C0">
        <w:t>Denna rutin gäller för</w:t>
      </w:r>
      <w:bookmarkEnd w:id="3"/>
    </w:p>
    <w:p w:rsidR="00FB3D9E" w:rsidP="6A20B2C0" w:rsidRDefault="6A20B2C0" w14:paraId="1BB5285F" w14:textId="415D7171">
      <w:r w:rsidRPr="6A20B2C0">
        <w:t xml:space="preserve">Mottagning för Personlighetssyndrom (MPS), psykiatri Affektiva, Sahlgrenska universitetssjukhuset.  </w:t>
      </w:r>
    </w:p>
    <w:p w:rsidR="00FB3D9E" w:rsidP="6A20B2C0" w:rsidRDefault="6A20B2C0" w14:paraId="6C5B4B71" w14:textId="6C5F91CC">
      <w:pPr>
        <w:pStyle w:val="Rubrik2"/>
        <w:rPr>
          <w:rFonts w:ascii="Calibri" w:hAnsi="Calibri" w:eastAsia="MS Gothic" w:cs="Times New Roman"/>
          <w:color w:val="000000" w:themeColor="text2"/>
          <w:szCs w:val="40"/>
        </w:rPr>
      </w:pPr>
      <w:bookmarkStart w:name="_Toc108453020" w:id="4"/>
      <w:r w:rsidRPr="6A20B2C0">
        <w:t>Syfte</w:t>
      </w:r>
      <w:bookmarkEnd w:id="4"/>
    </w:p>
    <w:p w:rsidR="00FB3D9E" w:rsidP="6A20B2C0" w:rsidRDefault="6A20B2C0" w14:paraId="53AB0131" w14:textId="0D181B88">
      <w:r w:rsidRPr="6A20B2C0">
        <w:t xml:space="preserve">Att tydliggöra förfarandet avseende diagnostik och utredning för patienter där det finns misstanke om personlighetssyndrom. </w:t>
      </w:r>
    </w:p>
    <w:p w:rsidR="00FB3D9E" w:rsidP="6A20B2C0" w:rsidRDefault="6A20B2C0" w14:paraId="068287F7" w14:textId="64BB46FE">
      <w:pPr>
        <w:pStyle w:val="Rubrik2"/>
        <w:rPr>
          <w:rFonts w:ascii="Calibri" w:hAnsi="Calibri" w:eastAsia="MS Gothic" w:cs="Times New Roman"/>
          <w:color w:val="000000" w:themeColor="text2"/>
          <w:szCs w:val="40"/>
        </w:rPr>
      </w:pPr>
      <w:bookmarkStart w:name="_Toc108453021" w:id="5"/>
      <w:r w:rsidRPr="6A20B2C0">
        <w:t>Bakgrund</w:t>
      </w:r>
      <w:bookmarkEnd w:id="5"/>
    </w:p>
    <w:p w:rsidR="00FB3D9E" w:rsidP="6A20B2C0" w:rsidRDefault="6A20B2C0" w14:paraId="69EE6ED6" w14:textId="119CF400">
      <w:r w:rsidRPr="6A20B2C0">
        <w:t xml:space="preserve">En modern personlighetsdiagnostik ska vara standardiserad, personcentrerad och evidensbaserad. Det pågår ett skifte inom diagnostiken av personlighetssyndrom, där man gradvis frångår ett kategoriskt synsätt (ICD-10) och rör sig mot ett dimensionellt sådant (ICD-11, och den alternativa modellen i DSM-V). På MPS kommer dessa två system att användas parallellt under en övergångsperiod. En fördel med det dimensionella synsättet är ett utökat fokus på bedömning av svårighetsgrad samt ett mer nyanserat sätt att bedöma personlighetsdysfunktion. Svårighetsgraden är en viktig faktor i differentialdiagnostiska överväganden samt vid behandlingsplanering och uppföljning.  </w:t>
      </w:r>
    </w:p>
    <w:p w:rsidR="00FB3D9E" w:rsidP="6A20B2C0" w:rsidRDefault="6A20B2C0" w14:paraId="59DD286B" w14:textId="503DBBBA">
      <w:pPr>
        <w:pStyle w:val="Rubrik2"/>
        <w:rPr>
          <w:rFonts w:ascii="Calibri" w:hAnsi="Calibri" w:eastAsia="MS Gothic" w:cs="Times New Roman"/>
          <w:color w:val="000000" w:themeColor="text2"/>
          <w:szCs w:val="40"/>
        </w:rPr>
      </w:pPr>
      <w:bookmarkStart w:name="_Toc108453022" w:id="6"/>
      <w:r w:rsidRPr="6A20B2C0">
        <w:t>Arbetsbeskrivning - Stegvis diagnostisk process</w:t>
      </w:r>
      <w:bookmarkEnd w:id="6"/>
      <w:r w:rsidRPr="6A20B2C0">
        <w:t xml:space="preserve"> </w:t>
      </w:r>
    </w:p>
    <w:p w:rsidR="00FB3D9E" w:rsidP="00681056" w:rsidRDefault="6A20B2C0" w14:paraId="03CB1922" w14:textId="35BABCF4">
      <w:pPr>
        <w:pStyle w:val="Rubrik3"/>
      </w:pPr>
      <w:bookmarkStart w:name="_Toc108453023" w:id="7"/>
      <w:r w:rsidRPr="6A20B2C0">
        <w:t>Utredningsprocessen kan indelas i fyra steg</w:t>
      </w:r>
      <w:bookmarkEnd w:id="7"/>
    </w:p>
    <w:p w:rsidR="00FB3D9E" w:rsidP="6A20B2C0" w:rsidRDefault="6A20B2C0" w14:paraId="231A15DE" w14:textId="269D15BE">
      <w:pPr>
        <w:pStyle w:val="Punktlista"/>
      </w:pPr>
      <w:r w:rsidRPr="6A20B2C0">
        <w:t>Preliminär bedömning som görs vid remissgenomgång (bedömning om välgrundad misstanke)</w:t>
      </w:r>
    </w:p>
    <w:p w:rsidR="00FB3D9E" w:rsidP="6A20B2C0" w:rsidRDefault="6A20B2C0" w14:paraId="7DDE0A38" w14:textId="5995CA91">
      <w:pPr>
        <w:pStyle w:val="Punktlista"/>
      </w:pPr>
      <w:r w:rsidRPr="6A20B2C0">
        <w:t xml:space="preserve">Personlighetsbedömning (bedömning av generella kriterier, A-kriterier) </w:t>
      </w:r>
    </w:p>
    <w:p w:rsidR="00FB3D9E" w:rsidP="6A20B2C0" w:rsidRDefault="6A20B2C0" w14:paraId="77D3C2B5" w14:textId="05DCA288">
      <w:pPr>
        <w:pStyle w:val="Punktlista"/>
      </w:pPr>
      <w:r w:rsidRPr="6A20B2C0">
        <w:lastRenderedPageBreak/>
        <w:t>Personlighetsutredning (bedömning av specifika kriterier, personlighetsdrag)</w:t>
      </w:r>
    </w:p>
    <w:p w:rsidR="00FB3D9E" w:rsidP="6A20B2C0" w:rsidRDefault="6A20B2C0" w14:paraId="098222E7" w14:textId="5F764B01">
      <w:pPr>
        <w:pStyle w:val="Punktlista"/>
      </w:pPr>
      <w:r w:rsidRPr="6A20B2C0">
        <w:t>Återkoppling till patient samt eventuellt närstående</w:t>
      </w:r>
    </w:p>
    <w:p w:rsidR="00FB3D9E" w:rsidP="6A20B2C0" w:rsidRDefault="6A20B2C0" w14:paraId="75A3E51F" w14:textId="563CA07C">
      <w:r w:rsidRPr="6A20B2C0">
        <w:t>Utredningsprocessen förankras kontinuerligt i teamet där beslut fattas om fortsatta insatser. En sammanställning av aktuella bedömningsinstrument finns i Sharepoint.</w:t>
      </w:r>
    </w:p>
    <w:p w:rsidR="00FB3D9E" w:rsidP="6A20B2C0" w:rsidRDefault="6A20B2C0" w14:paraId="04907BF0" w14:textId="690D016F">
      <w:pPr>
        <w:pStyle w:val="Rubrik2"/>
        <w:rPr>
          <w:rFonts w:ascii="Calibri" w:hAnsi="Calibri" w:eastAsia="MS Gothic" w:cs="Times New Roman"/>
          <w:b/>
          <w:color w:val="000000" w:themeColor="text2"/>
          <w:szCs w:val="40"/>
        </w:rPr>
      </w:pPr>
      <w:bookmarkStart w:name="_Toc108453024" w:id="8"/>
      <w:r w:rsidRPr="6A20B2C0">
        <w:t>Preliminär bedömning</w:t>
      </w:r>
      <w:bookmarkEnd w:id="8"/>
    </w:p>
    <w:p w:rsidR="00FB3D9E" w:rsidP="6A20B2C0" w:rsidRDefault="6A20B2C0" w14:paraId="0B4245E3" w14:textId="3A139AFF">
      <w:r w:rsidRPr="6A20B2C0">
        <w:t>För att personlighetsbedömning/-utredning ska bli aktuell krävs att det finns en välgrundad misstanke om personlighetssyndrom. Underlag för den preliminära bedömningen bör utgå från bilaga A (stöd vid bedömning). Det är viktigt att förankra bedömningen med patienten och informera om den fortsatta processen.</w:t>
      </w:r>
    </w:p>
    <w:p w:rsidR="00FB3D9E" w:rsidP="6A20B2C0" w:rsidRDefault="6A20B2C0" w14:paraId="03624521" w14:textId="5FF16FDF">
      <w:pPr>
        <w:pStyle w:val="Rubrik2"/>
        <w:rPr>
          <w:rFonts w:ascii="Calibri" w:hAnsi="Calibri" w:eastAsia="MS Gothic" w:cs="Times New Roman"/>
          <w:b/>
          <w:color w:val="000000" w:themeColor="text2"/>
          <w:szCs w:val="40"/>
        </w:rPr>
      </w:pPr>
      <w:bookmarkStart w:name="_Toc108453025" w:id="9"/>
      <w:r w:rsidRPr="6A20B2C0">
        <w:t>Personlighetsbedömning</w:t>
      </w:r>
      <w:bookmarkEnd w:id="9"/>
      <w:r w:rsidRPr="6A20B2C0">
        <w:t xml:space="preserve"> </w:t>
      </w:r>
    </w:p>
    <w:p w:rsidR="00FB3D9E" w:rsidP="6A20B2C0" w:rsidRDefault="6A20B2C0" w14:paraId="25F6C64E" w14:textId="3C574450">
      <w:r w:rsidRPr="6A20B2C0">
        <w:t>När välgrundad misstanke om personlighetssyndrom finns görs bedömning av de generella kriterierna för personlighetssyndrom och dess svårighetsgrad (var god se bilaga A). Sambedömning görs av psykolog och läkare. Underlaget utgörs av klinisk bedömning, strukturerad intervju och differentialdiagnostiska överväganden.</w:t>
      </w:r>
    </w:p>
    <w:p w:rsidR="00FB3D9E" w:rsidP="6A20B2C0" w:rsidRDefault="6A20B2C0" w14:paraId="45EE27A8" w14:textId="39AFD0E8">
      <w:pPr>
        <w:pStyle w:val="Rubrik3"/>
        <w:rPr>
          <w:rFonts w:ascii="Calibri" w:hAnsi="Calibri" w:eastAsia="MS Gothic" w:cs="Times New Roman"/>
          <w:color w:val="000000" w:themeColor="text2"/>
          <w:szCs w:val="36"/>
        </w:rPr>
      </w:pPr>
      <w:bookmarkStart w:name="_Toc108453026" w:id="10"/>
      <w:r w:rsidRPr="6A20B2C0">
        <w:t>Kodning</w:t>
      </w:r>
      <w:bookmarkEnd w:id="10"/>
    </w:p>
    <w:p w:rsidR="00FB3D9E" w:rsidP="6A20B2C0" w:rsidRDefault="6A20B2C0" w14:paraId="02D1ACBB" w14:textId="7DD8510B">
      <w:r w:rsidRPr="6A20B2C0">
        <w:t xml:space="preserve">I denna fas registreras diagnoskod F69.9 Ospecificerad störning av personlighet och beteende hos vuxna, och allvarlighetsgraden specificeras (”av lindrig/måttlig/svår grad”). Om svårigheterna inte når tröskeln för personlighetssyndrom utan hamnar inom ramen för personlighetsproblematik enligt ICD-11 används diagnoskod Z73.1 Accentuering av personlighetsdrag. </w:t>
      </w:r>
    </w:p>
    <w:p w:rsidR="00FB3D9E" w:rsidP="6A20B2C0" w:rsidRDefault="6A20B2C0" w14:paraId="347EDE8A" w14:textId="206FBC87">
      <w:pPr>
        <w:pStyle w:val="Rubrik2"/>
        <w:rPr>
          <w:rFonts w:ascii="Calibri" w:hAnsi="Calibri" w:eastAsia="MS Gothic" w:cs="Times New Roman"/>
          <w:b/>
          <w:color w:val="000000" w:themeColor="text2"/>
          <w:szCs w:val="40"/>
        </w:rPr>
      </w:pPr>
      <w:bookmarkStart w:name="_Toc108453027" w:id="11"/>
      <w:r w:rsidRPr="6A20B2C0">
        <w:t>Personlighetsutredning</w:t>
      </w:r>
      <w:bookmarkEnd w:id="11"/>
      <w:r w:rsidRPr="6A20B2C0">
        <w:t xml:space="preserve"> </w:t>
      </w:r>
    </w:p>
    <w:p w:rsidR="00FB3D9E" w:rsidP="6A20B2C0" w:rsidRDefault="6A20B2C0" w14:paraId="4321ED11" w14:textId="1D6B15ED">
      <w:r w:rsidRPr="6A20B2C0">
        <w:t xml:space="preserve">I denna fas fördjupas bedömningen med utredning av de specifika kriterierna/personlighetsdrag vid konstaterat personlighetssyndrom. Denna del görs av psykolog med hjälp av skattningsskalor, klinisk intervju, psykologiska test och/eller information från tidigare klinisk bedömning. Givet patientens samtycke är det en fördel att närstående involveras i processen, dels för att få en kompletterande bild av mående och funktionsnivå, dels som stöd för patienten. Personlighetsutredningen mynnar ut i en diagnostisk bedömning och behandlingsrekommendationer. </w:t>
      </w:r>
    </w:p>
    <w:p w:rsidR="00FB3D9E" w:rsidP="6A20B2C0" w:rsidRDefault="6A20B2C0" w14:paraId="27149D1D" w14:textId="643F500F">
      <w:pPr>
        <w:pStyle w:val="Rubrik3"/>
        <w:rPr>
          <w:rFonts w:ascii="Calibri" w:hAnsi="Calibri" w:eastAsia="MS Gothic" w:cs="Times New Roman"/>
          <w:color w:val="000000" w:themeColor="text2"/>
          <w:szCs w:val="36"/>
        </w:rPr>
      </w:pPr>
      <w:bookmarkStart w:name="_Toc108453028" w:id="12"/>
      <w:r w:rsidRPr="6A20B2C0">
        <w:t>Kodning</w:t>
      </w:r>
      <w:bookmarkEnd w:id="12"/>
    </w:p>
    <w:p w:rsidR="00FB3D9E" w:rsidP="6A20B2C0" w:rsidRDefault="6A20B2C0" w14:paraId="21BFB54E" w14:textId="1B88A70D">
      <w:r w:rsidRPr="6A20B2C0">
        <w:t xml:space="preserve">Personlighetsdiagnos kan registreras enligt det kategoriska systemet i ICD-10 (F60*-diagnoser). </w:t>
      </w:r>
    </w:p>
    <w:p w:rsidR="00FB3D9E" w:rsidP="6A20B2C0" w:rsidRDefault="6A20B2C0" w14:paraId="54FE97C9" w14:textId="22143FFC">
      <w:r w:rsidRPr="6A20B2C0">
        <w:lastRenderedPageBreak/>
        <w:t xml:space="preserve">Om personlighetsdiagnostik görs utifrån det dimensionella systemet används diagnoskod F68.8 Andra specificerade störningar av personlighet och beteende hos vuxna. Svårighetsgrad specificeras (lindrig/måttlig/svår) och beskrivning av dysfunktionella personlighetsdrag görs. </w:t>
      </w:r>
    </w:p>
    <w:p w:rsidR="00FB3D9E" w:rsidP="6A20B2C0" w:rsidRDefault="6A20B2C0" w14:paraId="7B58A3B7" w14:textId="6619A9EA">
      <w:pPr>
        <w:pStyle w:val="Rubrik2"/>
        <w:rPr>
          <w:rFonts w:ascii="Calibri" w:hAnsi="Calibri" w:eastAsia="MS Gothic" w:cs="Times New Roman"/>
          <w:b/>
          <w:color w:val="000000" w:themeColor="text2"/>
          <w:szCs w:val="40"/>
        </w:rPr>
      </w:pPr>
      <w:bookmarkStart w:name="_Toc108453029" w:id="13"/>
      <w:r w:rsidRPr="6A20B2C0">
        <w:t>Återkoppling till patient samt eventuellt närstående</w:t>
      </w:r>
      <w:bookmarkEnd w:id="13"/>
    </w:p>
    <w:p w:rsidR="00FB3D9E" w:rsidP="6A20B2C0" w:rsidRDefault="6A20B2C0" w14:paraId="142CFDC4" w14:textId="7E5B50DE">
      <w:r w:rsidRPr="6A20B2C0">
        <w:t xml:space="preserve">Det är viktigt att förankra utredningens resultat med patient och eventuellt närstående för att tillvarata patientens reflektioner och möjliggöra fortsatt delaktighet i planering av insatser. Om möjligt deltar både utredande psykolog och läkare vid återkoppling. </w:t>
      </w:r>
    </w:p>
    <w:p w:rsidR="00FB3D9E" w:rsidP="00681056" w:rsidRDefault="6A20B2C0" w14:paraId="5F746DD4" w14:textId="3CAC6A5B">
      <w:pPr>
        <w:pStyle w:val="Rubrik2"/>
        <w:rPr>
          <w:rFonts w:ascii="Calibri" w:hAnsi="Calibri" w:eastAsia="MS Gothic" w:cs="Times New Roman"/>
          <w:color w:val="000000" w:themeColor="text2"/>
          <w:szCs w:val="40"/>
        </w:rPr>
      </w:pPr>
      <w:bookmarkStart w:name="_Toc108453030" w:id="14"/>
      <w:r w:rsidRPr="6A20B2C0">
        <w:t>Övriga punkter att beakta vid personlighetsutredning</w:t>
      </w:r>
      <w:bookmarkEnd w:id="14"/>
      <w:r w:rsidRPr="6A20B2C0">
        <w:t xml:space="preserve"> </w:t>
      </w:r>
    </w:p>
    <w:p w:rsidR="00FB3D9E" w:rsidP="6A20B2C0" w:rsidRDefault="6A20B2C0" w14:paraId="05FC5526" w14:textId="759A3734">
      <w:pPr>
        <w:pStyle w:val="Punktlista"/>
      </w:pPr>
      <w:r w:rsidRPr="6A20B2C0">
        <w:t xml:space="preserve">Självskadebeteende. Personlighetsutredning bör alltid inkludera en kartläggning av självskadebeteende/självdestruktivt beteende. Vid självskadebeteende ska följande diagnoskoder användas: Z91.8 Självskadebeteende eller Z91.5 Självdestruktivitet i den egna sjukhistorien. Om självskadebeteende föreligger så ska det registreras oavsett huvuddiagnos. </w:t>
      </w:r>
    </w:p>
    <w:p w:rsidR="00FB3D9E" w:rsidP="6A20B2C0" w:rsidRDefault="6A20B2C0" w14:paraId="07C931BD" w14:textId="21908873">
      <w:pPr>
        <w:pStyle w:val="Punktlista"/>
      </w:pPr>
      <w:r w:rsidRPr="6A20B2C0">
        <w:t xml:space="preserve">Differentialdiagnostiska överväganden bör göras kontinuerligt under utredningsprocessen. Faktorer som kan påverka utredningsresultatet bör uppmärksammas, så som påtaglig undervikt, pågående läkemedelsbehandling, missbruk, intellektuell funktionsnedsättning. </w:t>
      </w:r>
    </w:p>
    <w:p w:rsidR="00FB3D9E" w:rsidP="6A20B2C0" w:rsidRDefault="6A20B2C0" w14:paraId="10019396" w14:textId="70AFFA59">
      <w:pPr>
        <w:pStyle w:val="Punktlista"/>
      </w:pPr>
      <w:r w:rsidRPr="6A20B2C0">
        <w:t>Registrering i patientadministrativa system. För information om detta, var god se ”</w:t>
      </w:r>
      <w:hyperlink r:id="rId12">
        <w:r w:rsidRPr="6A20B2C0">
          <w:rPr>
            <w:rStyle w:val="Hyperlnk"/>
          </w:rPr>
          <w:t>Handbok för uppföljning öppenvård 2022</w:t>
        </w:r>
      </w:hyperlink>
      <w:r w:rsidRPr="6A20B2C0">
        <w:t>”.</w:t>
      </w:r>
    </w:p>
    <w:p w:rsidR="00FB3D9E" w:rsidP="6A20B2C0" w:rsidRDefault="6A20B2C0" w14:paraId="498EFB53" w14:textId="73A4159A">
      <w:pPr>
        <w:pStyle w:val="Punktlista"/>
      </w:pPr>
      <w:r w:rsidRPr="6A20B2C0">
        <w:t xml:space="preserve">DSM-5 kulturintervju.  Ett grundkriterium för personlighetssyndrom är att symtombilden inte kan förklaras av sociala och/eller kulturella faktorer. Vid bedömning av patient med annan etnisk/kulturell bakgrund rekommenderas </w:t>
      </w:r>
      <w:hyperlink r:id="rId13">
        <w:r w:rsidRPr="6A20B2C0">
          <w:rPr>
            <w:rStyle w:val="Hyperlnk"/>
          </w:rPr>
          <w:t>DSM-5 kulturintervju</w:t>
        </w:r>
      </w:hyperlink>
      <w:r w:rsidRPr="6A20B2C0">
        <w:t xml:space="preserve"> som stöd. </w:t>
      </w:r>
    </w:p>
    <w:p w:rsidR="00FB3D9E" w:rsidP="6A20B2C0" w:rsidRDefault="6A20B2C0" w14:paraId="40E2A8C6" w14:textId="471A924A">
      <w:pPr>
        <w:pStyle w:val="Rubrik2"/>
        <w:rPr>
          <w:rFonts w:ascii="Calibri" w:hAnsi="Calibri" w:eastAsia="MS Gothic" w:cs="Times New Roman"/>
          <w:color w:val="000000" w:themeColor="text2"/>
          <w:szCs w:val="40"/>
        </w:rPr>
      </w:pPr>
      <w:bookmarkStart w:name="_Toc108453031" w:id="15"/>
      <w:r w:rsidRPr="6A20B2C0">
        <w:t>Ansvar</w:t>
      </w:r>
      <w:bookmarkEnd w:id="15"/>
    </w:p>
    <w:p w:rsidR="00FB3D9E" w:rsidP="6A20B2C0" w:rsidRDefault="6A20B2C0" w14:paraId="7E5B3493" w14:textId="1A1721F9">
      <w:r w:rsidRPr="6A20B2C0">
        <w:t xml:space="preserve">Enhetsledning på MPS ansvarar för att rutinen är känd och implementerad. Medarbetare ansvarar för att arbeta utifrån rutinen. </w:t>
      </w:r>
    </w:p>
    <w:p w:rsidR="00FB3D9E" w:rsidP="6A20B2C0" w:rsidRDefault="6A20B2C0" w14:paraId="0D7E4E31" w14:textId="63E40893">
      <w:pPr>
        <w:pStyle w:val="Rubrik2"/>
        <w:rPr>
          <w:rFonts w:ascii="Calibri" w:hAnsi="Calibri" w:eastAsia="MS Gothic" w:cs="Times New Roman"/>
          <w:color w:val="000000" w:themeColor="text2"/>
          <w:szCs w:val="40"/>
        </w:rPr>
      </w:pPr>
      <w:bookmarkStart w:name="_Toc108453032" w:id="16"/>
      <w:r w:rsidRPr="6A20B2C0">
        <w:t>Arbetsgrupp</w:t>
      </w:r>
      <w:bookmarkEnd w:id="16"/>
    </w:p>
    <w:p w:rsidR="00FB3D9E" w:rsidP="6A20B2C0" w:rsidRDefault="6A20B2C0" w14:paraId="6F0C70EA" w14:textId="20185BF8">
      <w:r w:rsidRPr="6A20B2C0">
        <w:t>Lina Nordström, psykolog</w:t>
      </w:r>
    </w:p>
    <w:p w:rsidR="00FB3D9E" w:rsidP="6A20B2C0" w:rsidRDefault="6A20B2C0" w14:paraId="4DA08B8D" w14:textId="2FC717C6">
      <w:r w:rsidRPr="6A20B2C0">
        <w:lastRenderedPageBreak/>
        <w:t>Linda Lange, yrkesutvecklare psykolog</w:t>
      </w:r>
    </w:p>
    <w:p w:rsidR="00FB3D9E" w:rsidP="6A20B2C0" w:rsidRDefault="6A20B2C0" w14:paraId="700DB356" w14:textId="10A9B215">
      <w:r w:rsidRPr="6A20B2C0">
        <w:t>Christina Felix, psykolog</w:t>
      </w:r>
    </w:p>
    <w:p w:rsidR="00FB3D9E" w:rsidP="6A20B2C0" w:rsidRDefault="6A20B2C0" w14:paraId="5D34884E" w14:textId="2FC39826">
      <w:r w:rsidRPr="6A20B2C0">
        <w:t>Sara Börjesson, specialistpsykolog</w:t>
      </w:r>
    </w:p>
    <w:p w:rsidR="00FB3D9E" w:rsidP="6A20B2C0" w:rsidRDefault="6A20B2C0" w14:paraId="68DC6C54" w14:textId="064A0F3F">
      <w:r w:rsidRPr="6A20B2C0">
        <w:t xml:space="preserve">Therese Nilsen Lindén, verksamhetsutvecklare </w:t>
      </w:r>
    </w:p>
    <w:p w:rsidR="00FB3D9E" w:rsidP="6A20B2C0" w:rsidRDefault="6A20B2C0" w14:paraId="0A849479" w14:textId="46414ECE">
      <w:r w:rsidRPr="6A20B2C0">
        <w:t>Flavio Di Leone, överläkare</w:t>
      </w:r>
    </w:p>
    <w:p w:rsidR="00FB3D9E" w:rsidP="6A20B2C0" w:rsidRDefault="6A20B2C0" w14:paraId="3BB84BD9" w14:textId="1000ECDB">
      <w:pPr>
        <w:pStyle w:val="Rubrik2"/>
        <w:rPr>
          <w:rFonts w:ascii="Calibri" w:hAnsi="Calibri" w:eastAsia="MS Gothic" w:cs="Times New Roman"/>
          <w:color w:val="000000" w:themeColor="text2"/>
          <w:szCs w:val="40"/>
        </w:rPr>
      </w:pPr>
      <w:bookmarkStart w:name="_Toc108453033" w:id="17"/>
      <w:r w:rsidRPr="6A20B2C0">
        <w:t>Granskare</w:t>
      </w:r>
      <w:bookmarkEnd w:id="17"/>
    </w:p>
    <w:p w:rsidR="00FB3D9E" w:rsidP="6A20B2C0" w:rsidRDefault="6A20B2C0" w14:paraId="13881C27" w14:textId="7E0B2D8A">
      <w:r w:rsidRPr="6A20B2C0">
        <w:t xml:space="preserve">Lokalt processteam för Personlighetssyndrom: </w:t>
      </w:r>
    </w:p>
    <w:p w:rsidR="00FB3D9E" w:rsidP="6A20B2C0" w:rsidRDefault="6A20B2C0" w14:paraId="498DBF8F" w14:textId="598D2964">
      <w:r w:rsidRPr="6A20B2C0">
        <w:t>Flavio Di Leone, överläkare, ordförande</w:t>
      </w:r>
    </w:p>
    <w:p w:rsidR="00FB3D9E" w:rsidP="6A20B2C0" w:rsidRDefault="6A20B2C0" w14:paraId="370156DE" w14:textId="2D9A21E8">
      <w:r w:rsidRPr="6A20B2C0">
        <w:t>Evalena Von Hausswolff, verksamhetsutvecklare</w:t>
      </w:r>
    </w:p>
    <w:p w:rsidR="00FB3D9E" w:rsidP="6A20B2C0" w:rsidRDefault="6A20B2C0" w14:paraId="14D6C2F6" w14:textId="120CA3CE">
      <w:r w:rsidRPr="6A20B2C0">
        <w:t>Therese Nilsen Lindén, verksamhetsutvecklare</w:t>
      </w:r>
    </w:p>
    <w:p w:rsidR="00FB3D9E" w:rsidP="6A20B2C0" w:rsidRDefault="6A20B2C0" w14:paraId="409139AD" w14:textId="711923F1">
      <w:r w:rsidRPr="6A20B2C0">
        <w:t>Giuseppe Guerriero, överläkare</w:t>
      </w:r>
    </w:p>
    <w:p w:rsidR="00FB3D9E" w:rsidP="6A20B2C0" w:rsidRDefault="6A20B2C0" w14:paraId="10E876B5" w14:textId="2B07A272">
      <w:r w:rsidRPr="6A20B2C0">
        <w:t>Charlotta Hallgren, specialistsjuksköterska</w:t>
      </w:r>
    </w:p>
    <w:p w:rsidR="00FB3D9E" w:rsidP="6A20B2C0" w:rsidRDefault="6A20B2C0" w14:paraId="1A114455" w14:textId="690D5038">
      <w:r w:rsidRPr="6A20B2C0">
        <w:t>Sara Börjesson, specialistpsykolog</w:t>
      </w:r>
    </w:p>
    <w:p w:rsidR="00FB3D9E" w:rsidP="6A20B2C0" w:rsidRDefault="6A20B2C0" w14:paraId="7798E8E7" w14:textId="2BBEB230">
      <w:r w:rsidRPr="6A20B2C0">
        <w:t>Patricia Roffel, överläkare</w:t>
      </w:r>
    </w:p>
    <w:p w:rsidR="00FB3D9E" w:rsidP="6A20B2C0" w:rsidRDefault="6A20B2C0" w14:paraId="4A65053D" w14:textId="1D397673">
      <w:r w:rsidRPr="6A20B2C0">
        <w:t>Antonio Gonzales, sektionschef</w:t>
      </w:r>
    </w:p>
    <w:p w:rsidR="00FB3D9E" w:rsidP="6A20B2C0" w:rsidRDefault="6A20B2C0" w14:paraId="60B84D68" w14:textId="2552BADF">
      <w:r w:rsidRPr="6A20B2C0">
        <w:t xml:space="preserve"> </w:t>
      </w:r>
    </w:p>
    <w:p w:rsidR="00FB3D9E" w:rsidP="6A20B2C0" w:rsidRDefault="00F1347E" w14:paraId="3A2F6900" w14:textId="48FEC5E4">
      <w:r>
        <w:br w:type="page"/>
      </w:r>
    </w:p>
    <w:p w:rsidRPr="0074498D" w:rsidR="00FB3D9E" w:rsidP="0074498D" w:rsidRDefault="6A20B2C0" w14:paraId="077C88DF" w14:textId="3D042CCA">
      <w:pPr>
        <w:pStyle w:val="Rubrik2"/>
        <w:rPr>
          <w:rFonts w:ascii="Calibri" w:hAnsi="Calibri" w:eastAsia="MS Gothic" w:cs="Times New Roman"/>
          <w:color w:val="000000" w:themeColor="text2"/>
          <w:szCs w:val="40"/>
        </w:rPr>
      </w:pPr>
      <w:bookmarkStart w:name="_Toc108453034" w:id="18"/>
      <w:r w:rsidRPr="6A20B2C0">
        <w:lastRenderedPageBreak/>
        <w:t>Bilaga A.</w:t>
      </w:r>
      <w:bookmarkEnd w:id="18"/>
      <w:r w:rsidRPr="6A20B2C0">
        <w:t xml:space="preserve">  </w:t>
      </w:r>
    </w:p>
    <w:p w:rsidR="00FB3D9E" w:rsidP="0074498D" w:rsidRDefault="6A20B2C0" w14:paraId="1838F851" w14:textId="543CCE88">
      <w:pPr>
        <w:pStyle w:val="Rubrik3"/>
      </w:pPr>
      <w:bookmarkStart w:name="_Toc108453035" w:id="19"/>
      <w:r w:rsidRPr="6A20B2C0">
        <w:t>Redovisning av välgrundad misstanke bör baseras på:</w:t>
      </w:r>
      <w:bookmarkEnd w:id="19"/>
      <w:r w:rsidRPr="6A20B2C0">
        <w:t xml:space="preserve"> </w:t>
      </w:r>
    </w:p>
    <w:p w:rsidR="00FB3D9E" w:rsidP="6A20B2C0" w:rsidRDefault="6A20B2C0" w14:paraId="0544C295" w14:textId="79EABEBA">
      <w:pPr>
        <w:pStyle w:val="Punktlista"/>
      </w:pPr>
      <w:r w:rsidRPr="6A20B2C0">
        <w:t xml:space="preserve">Anamnestiska data enligt </w:t>
      </w:r>
      <w:hyperlink r:id="rId14">
        <w:r w:rsidRPr="6A20B2C0">
          <w:rPr>
            <w:rStyle w:val="Hyperlnk"/>
          </w:rPr>
          <w:t>Regionala medicinska riktlinjer (RMR) för basutredning inom vuxenpsykiatri</w:t>
        </w:r>
      </w:hyperlink>
      <w:r w:rsidRPr="6A20B2C0">
        <w:t>.</w:t>
      </w:r>
    </w:p>
    <w:p w:rsidR="00FB3D9E" w:rsidP="6A20B2C0" w:rsidRDefault="6A20B2C0" w14:paraId="7D1C61E9" w14:textId="4EA80142">
      <w:pPr>
        <w:pStyle w:val="Punktlista"/>
      </w:pPr>
      <w:r w:rsidRPr="6A20B2C0">
        <w:t>Aktuell funktionsnivå (beskrivning samt skattning med WHODAS).</w:t>
      </w:r>
    </w:p>
    <w:p w:rsidR="00FB3D9E" w:rsidP="6A20B2C0" w:rsidRDefault="6A20B2C0" w14:paraId="243DF6CE" w14:textId="0AE73D71">
      <w:pPr>
        <w:pStyle w:val="Punktlista"/>
      </w:pPr>
      <w:r w:rsidRPr="6A20B2C0">
        <w:t>Kartläggning av eventuellt självskadebeteende (debut, typ, frekvens, intensitet, mm).</w:t>
      </w:r>
    </w:p>
    <w:p w:rsidR="00FB3D9E" w:rsidP="6A20B2C0" w:rsidRDefault="00424B46" w14:paraId="040E2B1B" w14:textId="2ACC3EC9">
      <w:pPr>
        <w:pStyle w:val="Punktlista"/>
      </w:pPr>
      <w:hyperlink r:id="rId15">
        <w:r w:rsidRPr="6A20B2C0" w:rsidR="6A20B2C0">
          <w:rPr>
            <w:rStyle w:val="Hyperlnk"/>
          </w:rPr>
          <w:t>Suicidriskbedömning</w:t>
        </w:r>
      </w:hyperlink>
      <w:r w:rsidRPr="6A20B2C0" w:rsidR="6A20B2C0">
        <w:t>.</w:t>
      </w:r>
    </w:p>
    <w:p w:rsidR="00FB3D9E" w:rsidP="6A20B2C0" w:rsidRDefault="6A20B2C0" w14:paraId="4C7F2656" w14:textId="416371D6">
      <w:pPr>
        <w:pStyle w:val="Punktlista"/>
      </w:pPr>
      <w:r w:rsidRPr="6A20B2C0">
        <w:t>Substansbruksanamnes inklusive AUDIT/DUDIT och provtagningsresultat.</w:t>
      </w:r>
    </w:p>
    <w:p w:rsidR="00FB3D9E" w:rsidP="6A20B2C0" w:rsidRDefault="6A20B2C0" w14:paraId="13FDF141" w14:textId="778358CB">
      <w:pPr>
        <w:pStyle w:val="Punktlista"/>
      </w:pPr>
      <w:r w:rsidRPr="6A20B2C0">
        <w:t>Resultat av eventuella tidigare utredningar (ev. inhämtade journalkopior).</w:t>
      </w:r>
    </w:p>
    <w:p w:rsidR="00FB3D9E" w:rsidP="6A20B2C0" w:rsidRDefault="6A20B2C0" w14:paraId="4B0A5599" w14:textId="495AAF27">
      <w:pPr>
        <w:pStyle w:val="Punktlista"/>
      </w:pPr>
      <w:r w:rsidRPr="6A20B2C0">
        <w:t>Beskrivning av relationell problematik, identitetsuppfattning, förmåga till affektreglering, varaktighet i symtombild.</w:t>
      </w:r>
    </w:p>
    <w:p w:rsidR="00FB3D9E" w:rsidP="6A20B2C0" w:rsidRDefault="6A20B2C0" w14:paraId="67749EA4" w14:textId="139251B5">
      <w:pPr>
        <w:pStyle w:val="Punktlista"/>
      </w:pPr>
      <w:r w:rsidRPr="6A20B2C0">
        <w:t>Sammanfattande bedömning av läkare.</w:t>
      </w:r>
    </w:p>
    <w:p w:rsidR="00681056" w:rsidP="0074498D" w:rsidRDefault="6A20B2C0" w14:paraId="4C98E0C5" w14:textId="77777777">
      <w:pPr>
        <w:pStyle w:val="Rubrik2"/>
      </w:pPr>
      <w:bookmarkStart w:name="_Toc108453036" w:id="20"/>
      <w:r w:rsidR="6A20B2C0">
        <w:rPr/>
        <w:t>Bedömningsstöd</w:t>
      </w:r>
      <w:bookmarkEnd w:id="20"/>
    </w:p>
    <w:p w:rsidR="6136D2B7" w:rsidP="716552B2" w:rsidRDefault="6136D2B7" w14:paraId="2878298A" w14:textId="519A5119">
      <w:pPr>
        <w:pStyle w:val="Rubrik3"/>
        <w:rPr>
          <w:rFonts w:ascii="Calibri Light" w:hAnsi="Calibri Light" w:eastAsia="Calibri Light" w:cs="Calibri Light"/>
          <w:b w:val="1"/>
          <w:bCs w:val="1"/>
          <w:noProof w:val="0"/>
          <w:sz w:val="22"/>
          <w:szCs w:val="22"/>
          <w:lang w:val="sv-SE"/>
        </w:rPr>
      </w:pPr>
      <w:r w:rsidRPr="716552B2" w:rsidR="6136D2B7">
        <w:rPr>
          <w:noProof w:val="0"/>
          <w:lang w:val="sv-SE"/>
        </w:rPr>
        <w:t>Sammanfattning av grunddefinition för Personlighetssyndrom enligt ICD-11 (anpassad och översatt av författarna)</w:t>
      </w:r>
    </w:p>
    <w:p w:rsidR="6136D2B7" w:rsidP="716552B2" w:rsidRDefault="6136D2B7" w14:paraId="31D634A5" w14:textId="4F2C447A">
      <w:pPr>
        <w:pStyle w:val="Punktlista"/>
        <w:numPr>
          <w:ilvl w:val="1"/>
          <w:numId w:val="30"/>
        </w:numPr>
        <w:rPr>
          <w:rFonts w:ascii="Calibri Light" w:hAnsi="Calibri Light" w:eastAsia="Calibri Light" w:cs="Calibri Light"/>
          <w:noProof w:val="0"/>
          <w:sz w:val="22"/>
          <w:szCs w:val="22"/>
          <w:lang w:val="sv-SE"/>
        </w:rPr>
      </w:pPr>
      <w:r w:rsidRPr="716552B2" w:rsidR="6136D2B7">
        <w:rPr>
          <w:noProof w:val="0"/>
          <w:lang w:val="sv-SE"/>
        </w:rPr>
        <w:t>En varaktig störning som kännetecknas av problem i fråga om hur självet fungerar och/eller i fråga om samspelet med andra.</w:t>
      </w:r>
    </w:p>
    <w:p w:rsidR="6136D2B7" w:rsidP="716552B2" w:rsidRDefault="6136D2B7" w14:paraId="0B266EE7" w14:textId="1F60BD64">
      <w:pPr>
        <w:pStyle w:val="Punktlista"/>
        <w:numPr>
          <w:ilvl w:val="1"/>
          <w:numId w:val="30"/>
        </w:numPr>
        <w:rPr>
          <w:rFonts w:ascii="Calibri Light" w:hAnsi="Calibri Light" w:eastAsia="Calibri Light" w:cs="Calibri Light"/>
          <w:noProof w:val="0"/>
          <w:sz w:val="22"/>
          <w:szCs w:val="22"/>
          <w:lang w:val="sv-SE"/>
        </w:rPr>
      </w:pPr>
      <w:r w:rsidRPr="716552B2" w:rsidR="6136D2B7">
        <w:rPr>
          <w:noProof w:val="0"/>
          <w:lang w:val="sv-SE"/>
        </w:rPr>
        <w:t xml:space="preserve">Problemen har funnits över längre tid (två år eller mer). </w:t>
      </w:r>
    </w:p>
    <w:p w:rsidR="6136D2B7" w:rsidP="716552B2" w:rsidRDefault="6136D2B7" w14:paraId="357950D9" w14:textId="134D6577">
      <w:pPr>
        <w:pStyle w:val="Punktlista"/>
        <w:numPr>
          <w:ilvl w:val="1"/>
          <w:numId w:val="30"/>
        </w:numPr>
        <w:rPr>
          <w:rFonts w:ascii="Calibri Light" w:hAnsi="Calibri Light" w:eastAsia="Calibri Light" w:cs="Calibri Light"/>
          <w:noProof w:val="0"/>
          <w:sz w:val="22"/>
          <w:szCs w:val="22"/>
          <w:lang w:val="sv-SE"/>
        </w:rPr>
      </w:pPr>
      <w:r w:rsidRPr="716552B2" w:rsidR="6136D2B7">
        <w:rPr>
          <w:noProof w:val="0"/>
          <w:lang w:val="sv-SE"/>
        </w:rPr>
        <w:t xml:space="preserve">Störningen tar sig uttryck i tankemönster, känsloreaktioner, känslouttryck och beteenden som försvårar anpassningen i sociala sammanhang. </w:t>
      </w:r>
    </w:p>
    <w:p w:rsidR="6136D2B7" w:rsidP="716552B2" w:rsidRDefault="6136D2B7" w14:paraId="40644DF1" w14:textId="626E7973">
      <w:pPr>
        <w:pStyle w:val="Punktlista"/>
        <w:numPr>
          <w:ilvl w:val="1"/>
          <w:numId w:val="30"/>
        </w:numPr>
        <w:rPr>
          <w:rFonts w:ascii="Calibri Light" w:hAnsi="Calibri Light" w:eastAsia="Calibri Light" w:cs="Calibri Light"/>
          <w:noProof w:val="0"/>
          <w:sz w:val="22"/>
          <w:szCs w:val="22"/>
          <w:lang w:val="sv-SE"/>
        </w:rPr>
      </w:pPr>
      <w:r w:rsidRPr="716552B2" w:rsidR="6136D2B7">
        <w:rPr>
          <w:noProof w:val="0"/>
          <w:lang w:val="sv-SE"/>
        </w:rPr>
        <w:t>Störningen är inte begränsad till vissa bestämda relationer eller sociala roller, men den kan genomgående framkallas av vissa typer av omständigheter men inte andra.</w:t>
      </w:r>
    </w:p>
    <w:p w:rsidR="6136D2B7" w:rsidP="716552B2" w:rsidRDefault="6136D2B7" w14:paraId="299F4A25" w14:textId="1BE7F2F1">
      <w:pPr>
        <w:pStyle w:val="Punktlista"/>
        <w:numPr>
          <w:ilvl w:val="1"/>
          <w:numId w:val="30"/>
        </w:numPr>
        <w:rPr>
          <w:rFonts w:ascii="Calibri Light" w:hAnsi="Calibri Light" w:eastAsia="Calibri Light" w:cs="Calibri Light"/>
          <w:noProof w:val="0"/>
          <w:sz w:val="22"/>
          <w:szCs w:val="22"/>
          <w:lang w:val="sv-SE"/>
        </w:rPr>
      </w:pPr>
      <w:r w:rsidRPr="716552B2" w:rsidR="6136D2B7">
        <w:rPr>
          <w:noProof w:val="0"/>
          <w:lang w:val="sv-SE"/>
        </w:rPr>
        <w:t>De för störningen karakteristiska beteendemönstren står inte i överensstämmelse med uppnådd ålder och kan inte i första hand förklaras av sociala och kulturella faktorer eller ett konfliktfyllt socialt och politiskt läge i omvärlden.</w:t>
      </w:r>
    </w:p>
    <w:p w:rsidR="6136D2B7" w:rsidP="716552B2" w:rsidRDefault="6136D2B7" w14:paraId="52F84CE9" w14:textId="23051BC3">
      <w:pPr>
        <w:pStyle w:val="Punktlista"/>
        <w:numPr>
          <w:ilvl w:val="1"/>
          <w:numId w:val="30"/>
        </w:numPr>
        <w:rPr>
          <w:rFonts w:ascii="Calibri Light" w:hAnsi="Calibri Light" w:eastAsia="Calibri Light" w:cs="Calibri Light"/>
          <w:noProof w:val="0"/>
          <w:sz w:val="22"/>
          <w:szCs w:val="22"/>
          <w:lang w:val="sv-SE"/>
        </w:rPr>
      </w:pPr>
      <w:r w:rsidRPr="716552B2" w:rsidR="6136D2B7">
        <w:rPr>
          <w:noProof w:val="0"/>
          <w:lang w:val="sv-SE"/>
        </w:rPr>
        <w:t xml:space="preserve">Symptomen beror inte på direkta effekter av en medicinering eller en substans och de kan inte förklaras bättre av ett annat medicinskt tillstånd. </w:t>
      </w:r>
    </w:p>
    <w:p w:rsidR="6136D2B7" w:rsidP="716552B2" w:rsidRDefault="6136D2B7" w14:paraId="45BE6739" w14:textId="19C03771">
      <w:pPr>
        <w:pStyle w:val="Punktlista"/>
        <w:numPr>
          <w:ilvl w:val="1"/>
          <w:numId w:val="30"/>
        </w:numPr>
        <w:rPr>
          <w:rFonts w:ascii="Calibri Light" w:hAnsi="Calibri Light" w:eastAsia="Calibri Light" w:cs="Calibri Light"/>
          <w:noProof w:val="0"/>
          <w:sz w:val="22"/>
          <w:szCs w:val="22"/>
          <w:lang w:val="sv-SE"/>
        </w:rPr>
      </w:pPr>
      <w:r w:rsidRPr="716552B2" w:rsidR="6136D2B7">
        <w:rPr>
          <w:noProof w:val="0"/>
          <w:lang w:val="sv-SE"/>
        </w:rPr>
        <w:t>Störningen medför väsentlig påfrestning och markant funktionsstörning hos personen själv, i familjen, i sociala kontakter, i skola och utbildning, i arbetslivet och i andra sammanhang av betydelse i individens liv.</w:t>
      </w:r>
    </w:p>
    <w:p w:rsidR="00FB3D9E" w:rsidP="00734CE9" w:rsidRDefault="6A20B2C0" w14:paraId="7A872837" w14:textId="3876346D">
      <w:pPr>
        <w:pStyle w:val="Rubrik2"/>
      </w:pPr>
      <w:r w:rsidRPr="6A20B2C0">
        <w:t xml:space="preserve"> Bilaga </w:t>
      </w:r>
      <w:r w:rsidR="00734CE9">
        <w:t>B</w:t>
      </w:r>
      <w:r w:rsidRPr="6A20B2C0">
        <w:t>.</w:t>
      </w:r>
    </w:p>
    <w:p w:rsidR="00FB3D9E" w:rsidP="6A20B2C0" w:rsidRDefault="6A20B2C0" w14:paraId="1B23E038" w14:textId="13823045">
      <w:r w:rsidRPr="6A20B2C0">
        <w:t>Beskrivning av personlighetsproblematik enligt ICD-11</w:t>
      </w:r>
    </w:p>
    <w:p w:rsidR="00FB3D9E" w:rsidP="6A20B2C0" w:rsidRDefault="6A20B2C0" w14:paraId="0C5693BF" w14:textId="44CB77DC">
      <w:r w:rsidRPr="6A20B2C0">
        <w:t xml:space="preserve">Tabellen beskriver svårighetsgrad av personlighetssyndrom samt icke-diagnostisk kod personlighetsproblematik. </w:t>
      </w:r>
    </w:p>
    <w:tbl>
      <w:tblPr>
        <w:tblW w:w="9062"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fixed"/>
        <w:tblLook w:val="04A0" w:firstRow="1" w:lastRow="0" w:firstColumn="1" w:lastColumn="0" w:noHBand="0" w:noVBand="1"/>
      </w:tblPr>
      <w:tblGrid>
        <w:gridCol w:w="2621"/>
        <w:gridCol w:w="1611"/>
        <w:gridCol w:w="1610"/>
        <w:gridCol w:w="1610"/>
        <w:gridCol w:w="1610"/>
      </w:tblGrid>
      <w:tr w:rsidRPr="00B43FBA" w:rsidR="00B43FBA" w:rsidTr="00556184" w14:paraId="22FDF3FA" w14:textId="77777777">
        <w:trPr>
          <w:trHeight w:val="304"/>
        </w:trPr>
        <w:tc>
          <w:tcPr>
            <w:tcW w:w="2621" w:type="dxa"/>
            <w:shd w:val="clear" w:color="auto" w:fill="auto"/>
            <w:vAlign w:val="center"/>
          </w:tcPr>
          <w:p w:rsidRPr="00B43FBA" w:rsidR="00B43FBA" w:rsidP="00B43FBA" w:rsidRDefault="00B43FBA" w14:paraId="667A566E" w14:textId="77777777">
            <w:pPr>
              <w:spacing w:line="240" w:lineRule="auto"/>
              <w:ind w:right="0"/>
              <w:jc w:val="center"/>
              <w:rPr>
                <w:rFonts w:ascii="Calibri Light" w:hAnsi="Calibri Light" w:cs="Calibri Light"/>
                <w:b/>
                <w:bCs/>
                <w:sz w:val="22"/>
                <w:szCs w:val="22"/>
              </w:rPr>
            </w:pPr>
            <w:r w:rsidRPr="00B43FBA">
              <w:rPr>
                <w:rFonts w:ascii="Calibri Light" w:hAnsi="Calibri Light" w:cs="Calibri Light"/>
                <w:b/>
                <w:bCs/>
                <w:sz w:val="22"/>
                <w:szCs w:val="22"/>
              </w:rPr>
              <w:t>Beskrivning</w:t>
            </w:r>
          </w:p>
        </w:tc>
        <w:tc>
          <w:tcPr>
            <w:tcW w:w="1611" w:type="dxa"/>
            <w:shd w:val="clear" w:color="auto" w:fill="auto"/>
            <w:vAlign w:val="center"/>
          </w:tcPr>
          <w:p w:rsidRPr="00B43FBA" w:rsidR="00B43FBA" w:rsidP="00B43FBA" w:rsidRDefault="00B43FBA" w14:paraId="7E52ACF9" w14:textId="77777777">
            <w:pPr>
              <w:spacing w:line="240" w:lineRule="auto"/>
              <w:ind w:right="0"/>
              <w:jc w:val="center"/>
              <w:rPr>
                <w:rFonts w:ascii="Calibri Light" w:hAnsi="Calibri Light" w:cs="Calibri Light"/>
                <w:b/>
                <w:bCs/>
                <w:sz w:val="22"/>
                <w:szCs w:val="22"/>
              </w:rPr>
            </w:pPr>
            <w:r w:rsidRPr="00B43FBA">
              <w:rPr>
                <w:rFonts w:ascii="Calibri Light" w:hAnsi="Calibri Light" w:cs="Calibri Light"/>
                <w:b/>
                <w:bCs/>
                <w:sz w:val="22"/>
                <w:szCs w:val="22"/>
              </w:rPr>
              <w:t>Lindrig</w:t>
            </w:r>
          </w:p>
        </w:tc>
        <w:tc>
          <w:tcPr>
            <w:tcW w:w="1610" w:type="dxa"/>
            <w:shd w:val="clear" w:color="auto" w:fill="auto"/>
            <w:vAlign w:val="center"/>
          </w:tcPr>
          <w:p w:rsidRPr="00B43FBA" w:rsidR="00B43FBA" w:rsidP="00B43FBA" w:rsidRDefault="00B43FBA" w14:paraId="44C2C5B1" w14:textId="77777777">
            <w:pPr>
              <w:spacing w:line="240" w:lineRule="auto"/>
              <w:ind w:right="0"/>
              <w:jc w:val="center"/>
              <w:rPr>
                <w:rFonts w:ascii="Calibri Light" w:hAnsi="Calibri Light" w:cs="Calibri Light"/>
                <w:b/>
                <w:bCs/>
                <w:sz w:val="22"/>
                <w:szCs w:val="22"/>
              </w:rPr>
            </w:pPr>
            <w:r w:rsidRPr="00B43FBA">
              <w:rPr>
                <w:rFonts w:ascii="Calibri Light" w:hAnsi="Calibri Light" w:cs="Calibri Light"/>
                <w:b/>
                <w:bCs/>
                <w:sz w:val="22"/>
                <w:szCs w:val="22"/>
              </w:rPr>
              <w:t>Måttlig</w:t>
            </w:r>
          </w:p>
        </w:tc>
        <w:tc>
          <w:tcPr>
            <w:tcW w:w="1610" w:type="dxa"/>
            <w:shd w:val="clear" w:color="auto" w:fill="auto"/>
            <w:vAlign w:val="center"/>
          </w:tcPr>
          <w:p w:rsidRPr="00B43FBA" w:rsidR="00B43FBA" w:rsidP="00B43FBA" w:rsidRDefault="00B43FBA" w14:paraId="7F26ED3D" w14:textId="77777777">
            <w:pPr>
              <w:spacing w:line="240" w:lineRule="auto"/>
              <w:ind w:right="0"/>
              <w:jc w:val="center"/>
              <w:rPr>
                <w:rFonts w:ascii="Calibri Light" w:hAnsi="Calibri Light" w:cs="Calibri Light"/>
                <w:b/>
                <w:bCs/>
                <w:sz w:val="22"/>
                <w:szCs w:val="22"/>
              </w:rPr>
            </w:pPr>
            <w:r w:rsidRPr="00B43FBA">
              <w:rPr>
                <w:rFonts w:ascii="Calibri Light" w:hAnsi="Calibri Light" w:cs="Calibri Light"/>
                <w:b/>
                <w:bCs/>
                <w:sz w:val="22"/>
                <w:szCs w:val="22"/>
              </w:rPr>
              <w:t>Svår</w:t>
            </w:r>
          </w:p>
        </w:tc>
        <w:tc>
          <w:tcPr>
            <w:tcW w:w="1610" w:type="dxa"/>
            <w:shd w:val="clear" w:color="auto" w:fill="auto"/>
            <w:vAlign w:val="center"/>
          </w:tcPr>
          <w:p w:rsidRPr="00B43FBA" w:rsidR="00B43FBA" w:rsidP="00B43FBA" w:rsidRDefault="00B43FBA" w14:paraId="13684A7A" w14:textId="77777777">
            <w:pPr>
              <w:spacing w:line="240" w:lineRule="auto"/>
              <w:ind w:right="0"/>
              <w:jc w:val="center"/>
              <w:rPr>
                <w:rFonts w:ascii="Calibri Light" w:hAnsi="Calibri Light" w:cs="Calibri Light"/>
                <w:b/>
                <w:bCs/>
                <w:sz w:val="22"/>
                <w:szCs w:val="22"/>
              </w:rPr>
            </w:pPr>
            <w:r w:rsidRPr="00B43FBA">
              <w:rPr>
                <w:rFonts w:ascii="Calibri Light" w:hAnsi="Calibri Light" w:cs="Calibri Light"/>
                <w:b/>
                <w:bCs/>
                <w:sz w:val="22"/>
                <w:szCs w:val="22"/>
              </w:rPr>
              <w:t>Personlighets-problematik</w:t>
            </w:r>
          </w:p>
        </w:tc>
      </w:tr>
      <w:tr w:rsidRPr="00B43FBA" w:rsidR="00B43FBA" w:rsidTr="00556184" w14:paraId="75CD9EE2" w14:textId="77777777">
        <w:trPr>
          <w:trHeight w:val="770"/>
        </w:trPr>
        <w:tc>
          <w:tcPr>
            <w:tcW w:w="2621" w:type="dxa"/>
            <w:shd w:val="clear" w:color="auto" w:fill="auto"/>
            <w:vAlign w:val="center"/>
          </w:tcPr>
          <w:p w:rsidRPr="00B43FBA" w:rsidR="00B43FBA" w:rsidP="00B43FBA" w:rsidRDefault="00B43FBA" w14:paraId="03858681" w14:textId="77777777">
            <w:pPr>
              <w:spacing w:line="240" w:lineRule="auto"/>
              <w:ind w:right="0"/>
              <w:jc w:val="center"/>
              <w:rPr>
                <w:rFonts w:ascii="Calibri Light" w:hAnsi="Calibri Light" w:cs="Calibri Light"/>
                <w:b/>
                <w:bCs/>
                <w:sz w:val="22"/>
                <w:szCs w:val="22"/>
              </w:rPr>
            </w:pPr>
            <w:r w:rsidRPr="00B43FBA">
              <w:rPr>
                <w:rFonts w:ascii="Calibri Light" w:hAnsi="Calibri Light" w:cs="Calibri Light"/>
                <w:b/>
                <w:bCs/>
                <w:sz w:val="22"/>
                <w:szCs w:val="22"/>
              </w:rPr>
              <w:t>Personlighetsfunktion (identitet, självuppfattning, målstyrning, intimitet)</w:t>
            </w:r>
          </w:p>
        </w:tc>
        <w:tc>
          <w:tcPr>
            <w:tcW w:w="1611" w:type="dxa"/>
            <w:shd w:val="clear" w:color="auto" w:fill="auto"/>
            <w:vAlign w:val="center"/>
          </w:tcPr>
          <w:p w:rsidRPr="00B43FBA" w:rsidR="00B43FBA" w:rsidP="00B43FBA" w:rsidRDefault="00B43FBA" w14:paraId="3485BDAF"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Begränsade till några områden</w:t>
            </w:r>
          </w:p>
        </w:tc>
        <w:tc>
          <w:tcPr>
            <w:tcW w:w="1610" w:type="dxa"/>
            <w:shd w:val="clear" w:color="auto" w:fill="auto"/>
            <w:vAlign w:val="center"/>
          </w:tcPr>
          <w:p w:rsidRPr="00B43FBA" w:rsidR="00B43FBA" w:rsidP="00B43FBA" w:rsidRDefault="00B43FBA" w14:paraId="09CAAC9B"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Flera områden</w:t>
            </w:r>
          </w:p>
        </w:tc>
        <w:tc>
          <w:tcPr>
            <w:tcW w:w="1610" w:type="dxa"/>
            <w:shd w:val="clear" w:color="auto" w:fill="auto"/>
            <w:vAlign w:val="center"/>
          </w:tcPr>
          <w:p w:rsidRPr="00B43FBA" w:rsidR="00B43FBA" w:rsidP="00B43FBA" w:rsidRDefault="00B43FBA" w14:paraId="3F4C7B78"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Allvarlig störning</w:t>
            </w:r>
          </w:p>
        </w:tc>
        <w:tc>
          <w:tcPr>
            <w:tcW w:w="1610" w:type="dxa"/>
            <w:shd w:val="clear" w:color="auto" w:fill="auto"/>
            <w:vAlign w:val="center"/>
          </w:tcPr>
          <w:p w:rsidRPr="00B43FBA" w:rsidR="00B43FBA" w:rsidP="00B43FBA" w:rsidRDefault="00B43FBA" w14:paraId="7429772B"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Inte tillräckligt allvarliga för att ge upphov till dysfunktion men kliniskt relevanta</w:t>
            </w:r>
          </w:p>
        </w:tc>
      </w:tr>
      <w:tr w:rsidRPr="00B43FBA" w:rsidR="00B43FBA" w:rsidTr="00556184" w14:paraId="1C3326AD" w14:textId="77777777">
        <w:trPr>
          <w:trHeight w:val="770"/>
        </w:trPr>
        <w:tc>
          <w:tcPr>
            <w:tcW w:w="2621" w:type="dxa"/>
            <w:shd w:val="clear" w:color="auto" w:fill="auto"/>
            <w:vAlign w:val="center"/>
          </w:tcPr>
          <w:p w:rsidRPr="00B43FBA" w:rsidR="00B43FBA" w:rsidP="00B43FBA" w:rsidRDefault="00B43FBA" w14:paraId="6C554474" w14:textId="77777777">
            <w:pPr>
              <w:spacing w:line="240" w:lineRule="auto"/>
              <w:ind w:right="0"/>
              <w:jc w:val="center"/>
              <w:rPr>
                <w:rFonts w:ascii="Calibri Light" w:hAnsi="Calibri Light" w:cs="Calibri Light"/>
                <w:b/>
                <w:bCs/>
                <w:sz w:val="22"/>
                <w:szCs w:val="22"/>
              </w:rPr>
            </w:pPr>
            <w:r w:rsidRPr="00B43FBA">
              <w:rPr>
                <w:rFonts w:ascii="Calibri Light" w:hAnsi="Calibri Light" w:cs="Calibri Light"/>
                <w:b/>
                <w:bCs/>
                <w:sz w:val="22"/>
                <w:szCs w:val="22"/>
              </w:rPr>
              <w:t>Symptomatologi</w:t>
            </w:r>
          </w:p>
        </w:tc>
        <w:tc>
          <w:tcPr>
            <w:tcW w:w="1611" w:type="dxa"/>
            <w:shd w:val="clear" w:color="auto" w:fill="auto"/>
            <w:vAlign w:val="center"/>
          </w:tcPr>
          <w:p w:rsidRPr="00B43FBA" w:rsidR="00B43FBA" w:rsidP="00B43FBA" w:rsidRDefault="00B43FBA" w14:paraId="1E2FF5D4"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Symptomen är inte märkbara i vissa sammanhang</w:t>
            </w:r>
          </w:p>
        </w:tc>
        <w:tc>
          <w:tcPr>
            <w:tcW w:w="1610" w:type="dxa"/>
            <w:shd w:val="clear" w:color="auto" w:fill="auto"/>
            <w:vAlign w:val="center"/>
          </w:tcPr>
          <w:p w:rsidRPr="00B43FBA" w:rsidR="00B43FBA" w:rsidP="00B43FBA" w:rsidRDefault="00B43FBA" w14:paraId="30F677D8"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Vissa områden är relativt sett mindre påverkade</w:t>
            </w:r>
          </w:p>
        </w:tc>
        <w:tc>
          <w:tcPr>
            <w:tcW w:w="1610" w:type="dxa"/>
            <w:shd w:val="clear" w:color="auto" w:fill="auto"/>
            <w:vAlign w:val="center"/>
          </w:tcPr>
          <w:p w:rsidRPr="00B43FBA" w:rsidR="00B43FBA" w:rsidP="00B43FBA" w:rsidRDefault="00B43FBA" w14:paraId="7A606B4A"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Mycket uttalad störning inom de flesta områden, men inte alla</w:t>
            </w:r>
          </w:p>
        </w:tc>
        <w:tc>
          <w:tcPr>
            <w:tcW w:w="1610" w:type="dxa"/>
            <w:shd w:val="clear" w:color="auto" w:fill="auto"/>
            <w:vAlign w:val="center"/>
          </w:tcPr>
          <w:p w:rsidRPr="00B43FBA" w:rsidR="00B43FBA" w:rsidP="00B43FBA" w:rsidRDefault="00B43FBA" w14:paraId="6000DD35"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Intermittenta (</w:t>
            </w:r>
            <w:proofErr w:type="gramStart"/>
            <w:r w:rsidRPr="00B43FBA">
              <w:rPr>
                <w:rFonts w:ascii="Calibri Light" w:hAnsi="Calibri Light" w:cs="Calibri Light"/>
                <w:sz w:val="22"/>
                <w:szCs w:val="22"/>
              </w:rPr>
              <w:t>t.ex.</w:t>
            </w:r>
            <w:proofErr w:type="gramEnd"/>
            <w:r w:rsidRPr="00B43FBA">
              <w:rPr>
                <w:rFonts w:ascii="Calibri Light" w:hAnsi="Calibri Light" w:cs="Calibri Light"/>
                <w:sz w:val="22"/>
                <w:szCs w:val="22"/>
              </w:rPr>
              <w:t xml:space="preserve"> vid stress) eller lågintensiva symptom</w:t>
            </w:r>
          </w:p>
        </w:tc>
      </w:tr>
      <w:tr w:rsidRPr="00B43FBA" w:rsidR="00B43FBA" w:rsidTr="00556184" w14:paraId="2B485EFD" w14:textId="77777777">
        <w:trPr>
          <w:trHeight w:val="1450"/>
        </w:trPr>
        <w:tc>
          <w:tcPr>
            <w:tcW w:w="2621" w:type="dxa"/>
            <w:shd w:val="clear" w:color="auto" w:fill="auto"/>
            <w:vAlign w:val="center"/>
          </w:tcPr>
          <w:p w:rsidRPr="00B43FBA" w:rsidR="00B43FBA" w:rsidP="00B43FBA" w:rsidRDefault="00B43FBA" w14:paraId="715F8E51" w14:textId="77777777">
            <w:pPr>
              <w:spacing w:line="240" w:lineRule="auto"/>
              <w:ind w:right="0"/>
              <w:jc w:val="center"/>
              <w:rPr>
                <w:rFonts w:ascii="Calibri Light" w:hAnsi="Calibri Light" w:cs="Calibri Light"/>
                <w:b/>
                <w:bCs/>
                <w:sz w:val="22"/>
                <w:szCs w:val="22"/>
              </w:rPr>
            </w:pPr>
            <w:r w:rsidRPr="00B43FBA">
              <w:rPr>
                <w:rFonts w:ascii="Calibri Light" w:hAnsi="Calibri Light" w:cs="Calibri Light"/>
                <w:b/>
                <w:bCs/>
                <w:sz w:val="22"/>
                <w:szCs w:val="22"/>
              </w:rPr>
              <w:t>Störning i personliga och sociala situationer</w:t>
            </w:r>
          </w:p>
        </w:tc>
        <w:tc>
          <w:tcPr>
            <w:tcW w:w="1611" w:type="dxa"/>
            <w:shd w:val="clear" w:color="auto" w:fill="auto"/>
            <w:vAlign w:val="center"/>
          </w:tcPr>
          <w:p w:rsidRPr="00B43FBA" w:rsidR="00B43FBA" w:rsidP="00B43FBA" w:rsidRDefault="00B43FBA" w14:paraId="79E3A099"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Vissa relationer upprätthålls och/eller vissa uppgifter utförs</w:t>
            </w:r>
          </w:p>
        </w:tc>
        <w:tc>
          <w:tcPr>
            <w:tcW w:w="1610" w:type="dxa"/>
            <w:shd w:val="clear" w:color="auto" w:fill="auto"/>
            <w:vAlign w:val="center"/>
          </w:tcPr>
          <w:p w:rsidRPr="00B43FBA" w:rsidR="00B43FBA" w:rsidP="00B43FBA" w:rsidRDefault="00B43FBA" w14:paraId="2C95126E"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Uttalade problem vid de flesta relationer med andra, utförandet av de viktigaste uppgifterna i det sociala livet och arbetslivet är påverkade</w:t>
            </w:r>
          </w:p>
        </w:tc>
        <w:tc>
          <w:tcPr>
            <w:tcW w:w="1610" w:type="dxa"/>
            <w:shd w:val="clear" w:color="auto" w:fill="auto"/>
            <w:vAlign w:val="center"/>
          </w:tcPr>
          <w:p w:rsidRPr="00B43FBA" w:rsidR="00B43FBA" w:rsidP="00B43FBA" w:rsidRDefault="00B43FBA" w14:paraId="6DF0E1BF"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Påverkar praktiskt taget alla relationer och förmågan och viljan att utföra förväntade uppgifter i det sociala livet och i arbetslivet saknas eller är starkt påverkade</w:t>
            </w:r>
          </w:p>
        </w:tc>
        <w:tc>
          <w:tcPr>
            <w:tcW w:w="1610" w:type="dxa"/>
            <w:shd w:val="clear" w:color="auto" w:fill="auto"/>
            <w:vAlign w:val="center"/>
          </w:tcPr>
          <w:p w:rsidRPr="00B43FBA" w:rsidR="00B43FBA" w:rsidP="00B43FBA" w:rsidRDefault="00B43FBA" w14:paraId="4D1149C8"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Begränsad till vissa relationer eller situationer</w:t>
            </w:r>
          </w:p>
        </w:tc>
      </w:tr>
      <w:tr w:rsidRPr="00B43FBA" w:rsidR="00B43FBA" w:rsidTr="00556184" w14:paraId="6A10D317" w14:textId="77777777">
        <w:trPr>
          <w:trHeight w:val="216"/>
        </w:trPr>
        <w:tc>
          <w:tcPr>
            <w:tcW w:w="2621" w:type="dxa"/>
            <w:shd w:val="clear" w:color="auto" w:fill="auto"/>
            <w:vAlign w:val="center"/>
          </w:tcPr>
          <w:p w:rsidRPr="00B43FBA" w:rsidR="00B43FBA" w:rsidP="00B43FBA" w:rsidRDefault="00B43FBA" w14:paraId="1270E7E1" w14:textId="77777777">
            <w:pPr>
              <w:spacing w:line="240" w:lineRule="auto"/>
              <w:ind w:right="0"/>
              <w:jc w:val="center"/>
              <w:rPr>
                <w:rFonts w:ascii="Calibri Light" w:hAnsi="Calibri Light" w:cs="Calibri Light"/>
                <w:b/>
                <w:bCs/>
                <w:sz w:val="22"/>
                <w:szCs w:val="22"/>
              </w:rPr>
            </w:pPr>
            <w:r w:rsidRPr="00B43FBA">
              <w:rPr>
                <w:rFonts w:ascii="Calibri Light" w:hAnsi="Calibri Light" w:cs="Calibri Light"/>
                <w:b/>
                <w:bCs/>
                <w:sz w:val="22"/>
                <w:szCs w:val="22"/>
              </w:rPr>
              <w:t>Påtagligt lidande och betydande funktionsnedsättning</w:t>
            </w:r>
          </w:p>
        </w:tc>
        <w:tc>
          <w:tcPr>
            <w:tcW w:w="1611" w:type="dxa"/>
            <w:shd w:val="clear" w:color="auto" w:fill="auto"/>
            <w:vAlign w:val="center"/>
          </w:tcPr>
          <w:p w:rsidRPr="00B43FBA" w:rsidR="00B43FBA" w:rsidP="00B43FBA" w:rsidRDefault="00B43FBA" w14:paraId="107C5FA9"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Begränsat till vissa områden eller förekommande inom fler områden men lindrigare</w:t>
            </w:r>
          </w:p>
        </w:tc>
        <w:tc>
          <w:tcPr>
            <w:tcW w:w="1610" w:type="dxa"/>
            <w:shd w:val="clear" w:color="auto" w:fill="auto"/>
            <w:vAlign w:val="center"/>
          </w:tcPr>
          <w:p w:rsidRPr="00B43FBA" w:rsidR="00B43FBA" w:rsidP="00B43FBA" w:rsidRDefault="00B43FBA" w14:paraId="0E6E7D5C"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Uttalad funktions-nedsättning men funktions-förmågan inom vissa områden kan vara intakt</w:t>
            </w:r>
          </w:p>
        </w:tc>
        <w:tc>
          <w:tcPr>
            <w:tcW w:w="1610" w:type="dxa"/>
            <w:shd w:val="clear" w:color="auto" w:fill="auto"/>
            <w:vAlign w:val="center"/>
          </w:tcPr>
          <w:p w:rsidRPr="00B43FBA" w:rsidR="00B43FBA" w:rsidP="00B43FBA" w:rsidRDefault="00B43FBA" w14:paraId="3FCBF748"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Mycket uttalad funktions-nedsättning inom alla eller nästan alla områden i livet</w:t>
            </w:r>
          </w:p>
        </w:tc>
        <w:tc>
          <w:tcPr>
            <w:tcW w:w="1610" w:type="dxa"/>
            <w:shd w:val="clear" w:color="auto" w:fill="auto"/>
            <w:vAlign w:val="center"/>
          </w:tcPr>
          <w:p w:rsidRPr="00B43FBA" w:rsidR="00B43FBA" w:rsidP="00B43FBA" w:rsidRDefault="00B43FBA" w14:paraId="0EDA5C3A"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Ingen rubbning inom något område</w:t>
            </w:r>
          </w:p>
        </w:tc>
      </w:tr>
      <w:tr w:rsidRPr="00B43FBA" w:rsidR="00B43FBA" w:rsidTr="00556184" w14:paraId="7424371F" w14:textId="77777777">
        <w:trPr>
          <w:trHeight w:val="20"/>
        </w:trPr>
        <w:tc>
          <w:tcPr>
            <w:tcW w:w="2621" w:type="dxa"/>
            <w:shd w:val="clear" w:color="auto" w:fill="auto"/>
            <w:vAlign w:val="center"/>
          </w:tcPr>
          <w:p w:rsidRPr="00B43FBA" w:rsidR="00B43FBA" w:rsidP="00B43FBA" w:rsidRDefault="00B43FBA" w14:paraId="227F1823" w14:textId="77777777">
            <w:pPr>
              <w:spacing w:line="240" w:lineRule="auto"/>
              <w:ind w:right="0"/>
              <w:jc w:val="center"/>
              <w:rPr>
                <w:rFonts w:ascii="Calibri Light" w:hAnsi="Calibri Light" w:cs="Calibri Light"/>
                <w:b/>
                <w:bCs/>
                <w:sz w:val="22"/>
                <w:szCs w:val="22"/>
              </w:rPr>
            </w:pPr>
            <w:r w:rsidRPr="00B43FBA">
              <w:rPr>
                <w:rFonts w:ascii="Calibri Light" w:hAnsi="Calibri Light" w:cs="Calibri Light"/>
                <w:b/>
                <w:bCs/>
                <w:sz w:val="22"/>
                <w:szCs w:val="22"/>
              </w:rPr>
              <w:t>Självskada/självdestruktivt beteende</w:t>
            </w:r>
          </w:p>
        </w:tc>
        <w:tc>
          <w:tcPr>
            <w:tcW w:w="1611" w:type="dxa"/>
            <w:shd w:val="clear" w:color="auto" w:fill="auto"/>
            <w:vAlign w:val="center"/>
          </w:tcPr>
          <w:p w:rsidRPr="00B43FBA" w:rsidR="00B43FBA" w:rsidP="00B43FBA" w:rsidRDefault="00B43FBA" w14:paraId="00CDB715"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Ovanligt</w:t>
            </w:r>
          </w:p>
        </w:tc>
        <w:tc>
          <w:tcPr>
            <w:tcW w:w="1610" w:type="dxa"/>
            <w:shd w:val="clear" w:color="auto" w:fill="auto"/>
            <w:vAlign w:val="center"/>
          </w:tcPr>
          <w:p w:rsidRPr="00B43FBA" w:rsidR="00B43FBA" w:rsidP="00B43FBA" w:rsidRDefault="00B43FBA" w14:paraId="6EF5553A"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Intermittent</w:t>
            </w:r>
          </w:p>
        </w:tc>
        <w:tc>
          <w:tcPr>
            <w:tcW w:w="1610" w:type="dxa"/>
            <w:shd w:val="clear" w:color="auto" w:fill="auto"/>
            <w:vAlign w:val="center"/>
          </w:tcPr>
          <w:p w:rsidRPr="00B43FBA" w:rsidR="00B43FBA" w:rsidP="00B43FBA" w:rsidRDefault="00B43FBA" w14:paraId="54D37F8A"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Mycket uttalat</w:t>
            </w:r>
          </w:p>
        </w:tc>
        <w:tc>
          <w:tcPr>
            <w:tcW w:w="1610" w:type="dxa"/>
            <w:shd w:val="clear" w:color="auto" w:fill="auto"/>
            <w:vAlign w:val="center"/>
          </w:tcPr>
          <w:p w:rsidRPr="00B43FBA" w:rsidR="00B43FBA" w:rsidP="00B43FBA" w:rsidRDefault="00B43FBA" w14:paraId="50D0C50C" w14:textId="77777777">
            <w:pPr>
              <w:spacing w:line="240" w:lineRule="auto"/>
              <w:ind w:right="0"/>
              <w:jc w:val="center"/>
              <w:rPr>
                <w:rFonts w:ascii="Calibri Light" w:hAnsi="Calibri Light" w:cs="Calibri Light"/>
                <w:sz w:val="22"/>
                <w:szCs w:val="22"/>
              </w:rPr>
            </w:pPr>
            <w:r w:rsidRPr="00B43FBA">
              <w:rPr>
                <w:rFonts w:ascii="Calibri Light" w:hAnsi="Calibri Light" w:cs="Calibri Light"/>
                <w:sz w:val="22"/>
                <w:szCs w:val="22"/>
              </w:rPr>
              <w:t>Förekommer inte</w:t>
            </w:r>
          </w:p>
        </w:tc>
      </w:tr>
    </w:tbl>
    <w:p w:rsidR="00B43FBA" w:rsidP="6A20B2C0" w:rsidRDefault="00B43FBA" w14:paraId="59881B2D" w14:textId="77777777"/>
    <w:p w:rsidR="00FB3D9E" w:rsidP="00734CE9" w:rsidRDefault="00FB3D9E" w14:paraId="7FAC72EC" w14:textId="58B403AB">
      <w:pPr>
        <w:ind w:left="1661" w:hanging="357"/>
      </w:pPr>
      <w:r>
        <w:lastRenderedPageBreak/>
        <w:t xml:space="preserve"> </w:t>
      </w:r>
    </w:p>
    <w:sectPr w:rsidR="00FB3D9E" w:rsidSect="00B96AFF">
      <w:headerReference w:type="default" r:id="rId16"/>
      <w:footerReference w:type="even" r:id="rId17"/>
      <w:footerReference w:type="default" r:id="rId18"/>
      <w:headerReference w:type="first" r:id="rId19"/>
      <w:footerReference w:type="first" r:id="rId20"/>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24B46" w:rsidRDefault="00424B46" w14:paraId="486E9DC9" w14:textId="77777777">
      <w:r>
        <w:separator/>
      </w:r>
    </w:p>
  </w:endnote>
  <w:endnote w:type="continuationSeparator" w:id="0">
    <w:p w:rsidR="00424B46" w:rsidRDefault="00424B46" w14:paraId="04BE3938" w14:textId="77777777">
      <w:r>
        <w:continuationSeparator/>
      </w:r>
    </w:p>
  </w:endnote>
  <w:endnote w:type="continuationNotice" w:id="1">
    <w:p w:rsidR="00424B46" w:rsidRDefault="00424B46" w14:paraId="465007B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30FD5B03"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029957F6"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95B64" w:rsidRDefault="00095B64" w14:paraId="4265D843" w14:textId="2FF82F5D">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rsidRPr="00EC0A68" w:rsidR="00C50EE5" w:rsidP="00EC0A68" w:rsidRDefault="00C50EE5" w14:paraId="011A848B" w14:textId="08D73055">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6D1A5481" w14:textId="77777777">
    <w:pPr>
      <w:pStyle w:val="Sidfot"/>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24B46" w:rsidRDefault="00424B46" w14:paraId="015D7BFF" w14:textId="77777777"/>
  </w:footnote>
  <w:footnote w:type="continuationSeparator" w:id="0">
    <w:p w:rsidR="00424B46" w:rsidRDefault="00424B46" w14:paraId="63E5DD36" w14:textId="77777777">
      <w:r>
        <w:continuationSeparator/>
      </w:r>
    </w:p>
  </w:footnote>
  <w:footnote w:type="continuationNotice" w:id="1">
    <w:p w:rsidR="00424B46" w:rsidRDefault="00424B46" w14:paraId="1559DE3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108A0FA8" w14:textId="77777777">
    <w:pPr>
      <w:pStyle w:val="Sidhuvud"/>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089D3947">
            <v:shapetype id="_x0000_t202" coordsize="21600,21600" o:spt="202" path="m,l,21600r21600,l21600,xe" w14:anchorId="1615E82D">
              <v:stroke joinstyle="miter"/>
              <v:path gradientshapeok="t" o:connecttype="rect"/>
            </v:shapetype>
            <v:shape id="Textruta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85B7E76"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5C6AFFBE" w14:textId="353B9B9A">
    <w:pPr>
      <w:pStyle w:val="Sidhuvud"/>
      <w:ind w:right="567"/>
    </w:pPr>
    <w:r w:rsidRPr="00762EE0">
      <w:rPr>
        <w:noProof/>
        <w:sz w:val="20"/>
        <w:szCs w:val="20"/>
      </w:rPr>
      <w:drawing>
        <wp:anchor distT="0" distB="0" distL="114300" distR="114300" simplePos="0" relativeHeight="251658241" behindDoc="0" locked="0" layoutInCell="1" allowOverlap="1" wp14:anchorId="719A0D02" wp14:editId="3DF1FDFD">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10A8F234">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w14:anchorId="1ACDC8F2">
            <v:shapetype id="_x0000_t202" coordsize="21600,21600" o:spt="202" path="m,l,21600r21600,l21600,xe" w14:anchorId="07A99AEC">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">
              <v:textbox>
                <w:txbxContent>
                  <w:p w:rsidR="00413A60" w:rsidRDefault="00413A60" w14:paraId="6D41DF98" w14:textId="77777777">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8">
    <w:nsid w:val="252fd428"/>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upp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7">
    <w:nsid w:val="376a97b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A914E0E"/>
    <w:multiLevelType w:val="hybridMultilevel"/>
    <w:tmpl w:val="48BEF0B6"/>
    <w:lvl w:ilvl="0" w:tplc="11DEC99E">
      <w:start w:val="1"/>
      <w:numFmt w:val="bullet"/>
      <w:lvlText w:val="·"/>
      <w:lvlJc w:val="left"/>
      <w:pPr>
        <w:ind w:left="720" w:hanging="360"/>
      </w:pPr>
      <w:rPr>
        <w:rFonts w:hint="default" w:ascii="Symbol" w:hAnsi="Symbol"/>
      </w:rPr>
    </w:lvl>
    <w:lvl w:ilvl="1" w:tplc="4C4C69BC">
      <w:start w:val="1"/>
      <w:numFmt w:val="bullet"/>
      <w:lvlText w:val="o"/>
      <w:lvlJc w:val="left"/>
      <w:pPr>
        <w:ind w:left="1440" w:hanging="360"/>
      </w:pPr>
      <w:rPr>
        <w:rFonts w:hint="default" w:ascii="Courier New" w:hAnsi="Courier New"/>
      </w:rPr>
    </w:lvl>
    <w:lvl w:ilvl="2" w:tplc="BD5ABB66">
      <w:start w:val="1"/>
      <w:numFmt w:val="bullet"/>
      <w:lvlText w:val=""/>
      <w:lvlJc w:val="left"/>
      <w:pPr>
        <w:ind w:left="2160" w:hanging="360"/>
      </w:pPr>
      <w:rPr>
        <w:rFonts w:hint="default" w:ascii="Wingdings" w:hAnsi="Wingdings"/>
      </w:rPr>
    </w:lvl>
    <w:lvl w:ilvl="3" w:tplc="E9EE117A">
      <w:start w:val="1"/>
      <w:numFmt w:val="bullet"/>
      <w:lvlText w:val=""/>
      <w:lvlJc w:val="left"/>
      <w:pPr>
        <w:ind w:left="2880" w:hanging="360"/>
      </w:pPr>
      <w:rPr>
        <w:rFonts w:hint="default" w:ascii="Symbol" w:hAnsi="Symbol"/>
      </w:rPr>
    </w:lvl>
    <w:lvl w:ilvl="4" w:tplc="B6AA2E86">
      <w:start w:val="1"/>
      <w:numFmt w:val="bullet"/>
      <w:lvlText w:val="o"/>
      <w:lvlJc w:val="left"/>
      <w:pPr>
        <w:ind w:left="3600" w:hanging="360"/>
      </w:pPr>
      <w:rPr>
        <w:rFonts w:hint="default" w:ascii="Courier New" w:hAnsi="Courier New"/>
      </w:rPr>
    </w:lvl>
    <w:lvl w:ilvl="5" w:tplc="4C0AA2A6">
      <w:start w:val="1"/>
      <w:numFmt w:val="bullet"/>
      <w:lvlText w:val=""/>
      <w:lvlJc w:val="left"/>
      <w:pPr>
        <w:ind w:left="4320" w:hanging="360"/>
      </w:pPr>
      <w:rPr>
        <w:rFonts w:hint="default" w:ascii="Wingdings" w:hAnsi="Wingdings"/>
      </w:rPr>
    </w:lvl>
    <w:lvl w:ilvl="6" w:tplc="52947298">
      <w:start w:val="1"/>
      <w:numFmt w:val="bullet"/>
      <w:lvlText w:val=""/>
      <w:lvlJc w:val="left"/>
      <w:pPr>
        <w:ind w:left="5040" w:hanging="360"/>
      </w:pPr>
      <w:rPr>
        <w:rFonts w:hint="default" w:ascii="Symbol" w:hAnsi="Symbol"/>
      </w:rPr>
    </w:lvl>
    <w:lvl w:ilvl="7" w:tplc="B0F056E6">
      <w:start w:val="1"/>
      <w:numFmt w:val="bullet"/>
      <w:lvlText w:val="o"/>
      <w:lvlJc w:val="left"/>
      <w:pPr>
        <w:ind w:left="5760" w:hanging="360"/>
      </w:pPr>
      <w:rPr>
        <w:rFonts w:hint="default" w:ascii="Courier New" w:hAnsi="Courier New"/>
      </w:rPr>
    </w:lvl>
    <w:lvl w:ilvl="8" w:tplc="26307D02">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F906027"/>
    <w:multiLevelType w:val="hybridMultilevel"/>
    <w:tmpl w:val="031239F6"/>
    <w:lvl w:ilvl="0" w:tplc="1B54ED9A">
      <w:start w:val="1"/>
      <w:numFmt w:val="upperLetter"/>
      <w:lvlText w:val="%1."/>
      <w:lvlJc w:val="left"/>
      <w:pPr>
        <w:ind w:left="720" w:hanging="360"/>
      </w:pPr>
    </w:lvl>
    <w:lvl w:ilvl="1" w:tplc="F558E6C0">
      <w:start w:val="1"/>
      <w:numFmt w:val="lowerLetter"/>
      <w:lvlText w:val="%2."/>
      <w:lvlJc w:val="left"/>
      <w:pPr>
        <w:ind w:left="1440" w:hanging="360"/>
      </w:pPr>
    </w:lvl>
    <w:lvl w:ilvl="2" w:tplc="01EE61A6">
      <w:start w:val="1"/>
      <w:numFmt w:val="lowerRoman"/>
      <w:lvlText w:val="%3."/>
      <w:lvlJc w:val="right"/>
      <w:pPr>
        <w:ind w:left="2160" w:hanging="180"/>
      </w:pPr>
    </w:lvl>
    <w:lvl w:ilvl="3" w:tplc="B38CB0FE">
      <w:start w:val="1"/>
      <w:numFmt w:val="decimal"/>
      <w:lvlText w:val="%4."/>
      <w:lvlJc w:val="left"/>
      <w:pPr>
        <w:ind w:left="2880" w:hanging="360"/>
      </w:pPr>
    </w:lvl>
    <w:lvl w:ilvl="4" w:tplc="8026D308">
      <w:start w:val="1"/>
      <w:numFmt w:val="lowerLetter"/>
      <w:lvlText w:val="%5."/>
      <w:lvlJc w:val="left"/>
      <w:pPr>
        <w:ind w:left="3600" w:hanging="360"/>
      </w:pPr>
    </w:lvl>
    <w:lvl w:ilvl="5" w:tplc="5D0CF444">
      <w:start w:val="1"/>
      <w:numFmt w:val="lowerRoman"/>
      <w:lvlText w:val="%6."/>
      <w:lvlJc w:val="right"/>
      <w:pPr>
        <w:ind w:left="4320" w:hanging="180"/>
      </w:pPr>
    </w:lvl>
    <w:lvl w:ilvl="6" w:tplc="935CACE6">
      <w:start w:val="1"/>
      <w:numFmt w:val="decimal"/>
      <w:lvlText w:val="%7."/>
      <w:lvlJc w:val="left"/>
      <w:pPr>
        <w:ind w:left="5040" w:hanging="360"/>
      </w:pPr>
    </w:lvl>
    <w:lvl w:ilvl="7" w:tplc="8836ECF2">
      <w:start w:val="1"/>
      <w:numFmt w:val="lowerLetter"/>
      <w:lvlText w:val="%8."/>
      <w:lvlJc w:val="left"/>
      <w:pPr>
        <w:ind w:left="5760" w:hanging="360"/>
      </w:pPr>
    </w:lvl>
    <w:lvl w:ilvl="8" w:tplc="97C27834">
      <w:start w:val="1"/>
      <w:numFmt w:val="lowerRoman"/>
      <w:lvlText w:val="%9."/>
      <w:lvlJc w:val="right"/>
      <w:pPr>
        <w:ind w:left="6480" w:hanging="180"/>
      </w:pPr>
    </w:lvl>
  </w:abstractNum>
  <w:abstractNum w:abstractNumId="10" w15:restartNumberingAfterBreak="0">
    <w:nsid w:val="2D97B178"/>
    <w:multiLevelType w:val="hybridMultilevel"/>
    <w:tmpl w:val="5622D49C"/>
    <w:lvl w:ilvl="0">
      <w:start w:val="1"/>
      <w:numFmt w:val="upperLetter"/>
      <w:lvlText w:val="%1."/>
      <w:lvlJc w:val="left"/>
      <w:pPr>
        <w:ind w:left="720" w:hanging="360"/>
      </w:pPr>
    </w:lvl>
    <w:lvl w:ilvl="1" w:tplc="3D905074">
      <w:start w:val="1"/>
      <w:numFmt w:val="lowerLetter"/>
      <w:lvlText w:val="%2."/>
      <w:lvlJc w:val="left"/>
      <w:pPr>
        <w:ind w:left="1440" w:hanging="360"/>
      </w:pPr>
    </w:lvl>
    <w:lvl w:ilvl="2" w:tplc="C48E05E6">
      <w:start w:val="1"/>
      <w:numFmt w:val="lowerRoman"/>
      <w:lvlText w:val="%3."/>
      <w:lvlJc w:val="right"/>
      <w:pPr>
        <w:ind w:left="2160" w:hanging="180"/>
      </w:pPr>
    </w:lvl>
    <w:lvl w:ilvl="3" w:tplc="98767F12">
      <w:start w:val="1"/>
      <w:numFmt w:val="decimal"/>
      <w:lvlText w:val="%4."/>
      <w:lvlJc w:val="left"/>
      <w:pPr>
        <w:ind w:left="2880" w:hanging="360"/>
      </w:pPr>
    </w:lvl>
    <w:lvl w:ilvl="4" w:tplc="4A6EB7E4">
      <w:start w:val="1"/>
      <w:numFmt w:val="lowerLetter"/>
      <w:lvlText w:val="%5."/>
      <w:lvlJc w:val="left"/>
      <w:pPr>
        <w:ind w:left="3600" w:hanging="360"/>
      </w:pPr>
    </w:lvl>
    <w:lvl w:ilvl="5" w:tplc="14205D72">
      <w:start w:val="1"/>
      <w:numFmt w:val="lowerRoman"/>
      <w:lvlText w:val="%6."/>
      <w:lvlJc w:val="right"/>
      <w:pPr>
        <w:ind w:left="4320" w:hanging="180"/>
      </w:pPr>
    </w:lvl>
    <w:lvl w:ilvl="6" w:tplc="3A7C179A">
      <w:start w:val="1"/>
      <w:numFmt w:val="decimal"/>
      <w:lvlText w:val="%7."/>
      <w:lvlJc w:val="left"/>
      <w:pPr>
        <w:ind w:left="5040" w:hanging="360"/>
      </w:pPr>
    </w:lvl>
    <w:lvl w:ilvl="7" w:tplc="B5342028">
      <w:start w:val="1"/>
      <w:numFmt w:val="lowerLetter"/>
      <w:lvlText w:val="%8."/>
      <w:lvlJc w:val="left"/>
      <w:pPr>
        <w:ind w:left="5760" w:hanging="360"/>
      </w:pPr>
    </w:lvl>
    <w:lvl w:ilvl="8" w:tplc="DF14B1AC">
      <w:start w:val="1"/>
      <w:numFmt w:val="lowerRoman"/>
      <w:lvlText w:val="%9."/>
      <w:lvlJc w:val="right"/>
      <w:pPr>
        <w:ind w:left="6480"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7666E8D"/>
    <w:multiLevelType w:val="hybridMultilevel"/>
    <w:tmpl w:val="E8BE524A"/>
    <w:lvl w:ilvl="0" w:tplc="49664492">
      <w:start w:val="1"/>
      <w:numFmt w:val="decimal"/>
      <w:lvlText w:val="%1."/>
      <w:lvlJc w:val="left"/>
      <w:pPr>
        <w:ind w:left="720" w:hanging="360"/>
      </w:pPr>
    </w:lvl>
    <w:lvl w:ilvl="1" w:tplc="09BE1A58">
      <w:start w:val="1"/>
      <w:numFmt w:val="lowerLetter"/>
      <w:lvlText w:val="%2."/>
      <w:lvlJc w:val="left"/>
      <w:pPr>
        <w:ind w:left="1440" w:hanging="360"/>
      </w:pPr>
    </w:lvl>
    <w:lvl w:ilvl="2" w:tplc="064C0B22">
      <w:start w:val="1"/>
      <w:numFmt w:val="lowerRoman"/>
      <w:lvlText w:val="%3."/>
      <w:lvlJc w:val="right"/>
      <w:pPr>
        <w:ind w:left="2160" w:hanging="180"/>
      </w:pPr>
    </w:lvl>
    <w:lvl w:ilvl="3" w:tplc="6ABE9032">
      <w:start w:val="1"/>
      <w:numFmt w:val="decimal"/>
      <w:lvlText w:val="%4."/>
      <w:lvlJc w:val="left"/>
      <w:pPr>
        <w:ind w:left="2880" w:hanging="360"/>
      </w:pPr>
    </w:lvl>
    <w:lvl w:ilvl="4" w:tplc="7BC0F216">
      <w:start w:val="1"/>
      <w:numFmt w:val="lowerLetter"/>
      <w:lvlText w:val="%5."/>
      <w:lvlJc w:val="left"/>
      <w:pPr>
        <w:ind w:left="3600" w:hanging="360"/>
      </w:pPr>
    </w:lvl>
    <w:lvl w:ilvl="5" w:tplc="C832BF46">
      <w:start w:val="1"/>
      <w:numFmt w:val="lowerRoman"/>
      <w:lvlText w:val="%6."/>
      <w:lvlJc w:val="right"/>
      <w:pPr>
        <w:ind w:left="4320" w:hanging="180"/>
      </w:pPr>
    </w:lvl>
    <w:lvl w:ilvl="6" w:tplc="6CFED8FE">
      <w:start w:val="1"/>
      <w:numFmt w:val="decimal"/>
      <w:lvlText w:val="%7."/>
      <w:lvlJc w:val="left"/>
      <w:pPr>
        <w:ind w:left="5040" w:hanging="360"/>
      </w:pPr>
    </w:lvl>
    <w:lvl w:ilvl="7" w:tplc="40BA6E40">
      <w:start w:val="1"/>
      <w:numFmt w:val="lowerLetter"/>
      <w:lvlText w:val="%8."/>
      <w:lvlJc w:val="left"/>
      <w:pPr>
        <w:ind w:left="5760" w:hanging="360"/>
      </w:pPr>
    </w:lvl>
    <w:lvl w:ilvl="8" w:tplc="1FA45DA6">
      <w:start w:val="1"/>
      <w:numFmt w:val="lowerRoman"/>
      <w:lvlText w:val="%9."/>
      <w:lvlJc w:val="right"/>
      <w:pPr>
        <w:ind w:left="6480" w:hanging="180"/>
      </w:pPr>
    </w:lvl>
  </w:abstractNum>
  <w:abstractNum w:abstractNumId="16" w15:restartNumberingAfterBreak="0">
    <w:nsid w:val="4B19C56E"/>
    <w:multiLevelType w:val="hybridMultilevel"/>
    <w:tmpl w:val="94A27C0C"/>
    <w:lvl w:ilvl="0" w:tplc="5164DD14">
      <w:start w:val="1"/>
      <w:numFmt w:val="bullet"/>
      <w:lvlText w:val=""/>
      <w:lvlJc w:val="left"/>
      <w:pPr>
        <w:ind w:left="720" w:hanging="360"/>
      </w:pPr>
      <w:rPr>
        <w:rFonts w:hint="default" w:ascii="Symbol" w:hAnsi="Symbol"/>
      </w:rPr>
    </w:lvl>
    <w:lvl w:ilvl="1" w:tplc="C16CDA94">
      <w:start w:val="1"/>
      <w:numFmt w:val="bullet"/>
      <w:lvlText w:val="o"/>
      <w:lvlJc w:val="left"/>
      <w:pPr>
        <w:ind w:left="1440" w:hanging="360"/>
      </w:pPr>
      <w:rPr>
        <w:rFonts w:hint="default" w:ascii="Courier New" w:hAnsi="Courier New"/>
      </w:rPr>
    </w:lvl>
    <w:lvl w:ilvl="2" w:tplc="020E344C">
      <w:start w:val="1"/>
      <w:numFmt w:val="bullet"/>
      <w:lvlText w:val=""/>
      <w:lvlJc w:val="left"/>
      <w:pPr>
        <w:ind w:left="2160" w:hanging="360"/>
      </w:pPr>
      <w:rPr>
        <w:rFonts w:hint="default" w:ascii="Wingdings" w:hAnsi="Wingdings"/>
      </w:rPr>
    </w:lvl>
    <w:lvl w:ilvl="3" w:tplc="D8A60366">
      <w:start w:val="1"/>
      <w:numFmt w:val="bullet"/>
      <w:lvlText w:val=""/>
      <w:lvlJc w:val="left"/>
      <w:pPr>
        <w:ind w:left="2880" w:hanging="360"/>
      </w:pPr>
      <w:rPr>
        <w:rFonts w:hint="default" w:ascii="Symbol" w:hAnsi="Symbol"/>
      </w:rPr>
    </w:lvl>
    <w:lvl w:ilvl="4" w:tplc="9B2EA5DE">
      <w:start w:val="1"/>
      <w:numFmt w:val="bullet"/>
      <w:lvlText w:val="o"/>
      <w:lvlJc w:val="left"/>
      <w:pPr>
        <w:ind w:left="3600" w:hanging="360"/>
      </w:pPr>
      <w:rPr>
        <w:rFonts w:hint="default" w:ascii="Courier New" w:hAnsi="Courier New"/>
      </w:rPr>
    </w:lvl>
    <w:lvl w:ilvl="5" w:tplc="C7907818">
      <w:start w:val="1"/>
      <w:numFmt w:val="bullet"/>
      <w:lvlText w:val=""/>
      <w:lvlJc w:val="left"/>
      <w:pPr>
        <w:ind w:left="4320" w:hanging="360"/>
      </w:pPr>
      <w:rPr>
        <w:rFonts w:hint="default" w:ascii="Wingdings" w:hAnsi="Wingdings"/>
      </w:rPr>
    </w:lvl>
    <w:lvl w:ilvl="6" w:tplc="96769C10">
      <w:start w:val="1"/>
      <w:numFmt w:val="bullet"/>
      <w:lvlText w:val=""/>
      <w:lvlJc w:val="left"/>
      <w:pPr>
        <w:ind w:left="5040" w:hanging="360"/>
      </w:pPr>
      <w:rPr>
        <w:rFonts w:hint="default" w:ascii="Symbol" w:hAnsi="Symbol"/>
      </w:rPr>
    </w:lvl>
    <w:lvl w:ilvl="7" w:tplc="9B129146">
      <w:start w:val="1"/>
      <w:numFmt w:val="bullet"/>
      <w:lvlText w:val="o"/>
      <w:lvlJc w:val="left"/>
      <w:pPr>
        <w:ind w:left="5760" w:hanging="360"/>
      </w:pPr>
      <w:rPr>
        <w:rFonts w:hint="default" w:ascii="Courier New" w:hAnsi="Courier New"/>
      </w:rPr>
    </w:lvl>
    <w:lvl w:ilvl="8" w:tplc="98543F2E">
      <w:start w:val="1"/>
      <w:numFmt w:val="bullet"/>
      <w:lvlText w:val=""/>
      <w:lvlJc w:val="left"/>
      <w:pPr>
        <w:ind w:left="6480" w:hanging="360"/>
      </w:pPr>
      <w:rPr>
        <w:rFonts w:hint="default" w:ascii="Wingdings" w:hAnsi="Wingdings"/>
      </w:rPr>
    </w:lvl>
  </w:abstractNum>
  <w:abstractNum w:abstractNumId="17" w15:restartNumberingAfterBreak="0">
    <w:nsid w:val="51549388"/>
    <w:multiLevelType w:val="hybridMultilevel"/>
    <w:tmpl w:val="2CC04442"/>
    <w:lvl w:ilvl="0" w:tplc="2D2419C8">
      <w:start w:val="1"/>
      <w:numFmt w:val="decimal"/>
      <w:lvlText w:val="%1."/>
      <w:lvlJc w:val="left"/>
      <w:pPr>
        <w:ind w:left="720" w:hanging="360"/>
      </w:pPr>
    </w:lvl>
    <w:lvl w:ilvl="1" w:tplc="7BD40144">
      <w:start w:val="1"/>
      <w:numFmt w:val="lowerLetter"/>
      <w:lvlText w:val="%2."/>
      <w:lvlJc w:val="left"/>
      <w:pPr>
        <w:ind w:left="1440" w:hanging="360"/>
      </w:pPr>
    </w:lvl>
    <w:lvl w:ilvl="2" w:tplc="01DEFD40">
      <w:start w:val="1"/>
      <w:numFmt w:val="lowerRoman"/>
      <w:lvlText w:val="%3."/>
      <w:lvlJc w:val="right"/>
      <w:pPr>
        <w:ind w:left="2160" w:hanging="180"/>
      </w:pPr>
    </w:lvl>
    <w:lvl w:ilvl="3" w:tplc="434E9A36">
      <w:start w:val="1"/>
      <w:numFmt w:val="decimal"/>
      <w:lvlText w:val="%4."/>
      <w:lvlJc w:val="left"/>
      <w:pPr>
        <w:ind w:left="2880" w:hanging="360"/>
      </w:pPr>
    </w:lvl>
    <w:lvl w:ilvl="4" w:tplc="B03681D4">
      <w:start w:val="1"/>
      <w:numFmt w:val="lowerLetter"/>
      <w:lvlText w:val="%5."/>
      <w:lvlJc w:val="left"/>
      <w:pPr>
        <w:ind w:left="3600" w:hanging="360"/>
      </w:pPr>
    </w:lvl>
    <w:lvl w:ilvl="5" w:tplc="2C700D1C">
      <w:start w:val="1"/>
      <w:numFmt w:val="lowerRoman"/>
      <w:lvlText w:val="%6."/>
      <w:lvlJc w:val="right"/>
      <w:pPr>
        <w:ind w:left="4320" w:hanging="180"/>
      </w:pPr>
    </w:lvl>
    <w:lvl w:ilvl="6" w:tplc="66F2DB5C">
      <w:start w:val="1"/>
      <w:numFmt w:val="decimal"/>
      <w:lvlText w:val="%7."/>
      <w:lvlJc w:val="left"/>
      <w:pPr>
        <w:ind w:left="5040" w:hanging="360"/>
      </w:pPr>
    </w:lvl>
    <w:lvl w:ilvl="7" w:tplc="FCBC5ED2">
      <w:start w:val="1"/>
      <w:numFmt w:val="lowerLetter"/>
      <w:lvlText w:val="%8."/>
      <w:lvlJc w:val="left"/>
      <w:pPr>
        <w:ind w:left="5760" w:hanging="360"/>
      </w:pPr>
    </w:lvl>
    <w:lvl w:ilvl="8" w:tplc="3B6898B6">
      <w:start w:val="1"/>
      <w:numFmt w:val="lowerRoman"/>
      <w:lvlText w:val="%9."/>
      <w:lvlJc w:val="right"/>
      <w:pPr>
        <w:ind w:left="6480" w:hanging="180"/>
      </w:p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6322FC44"/>
    <w:multiLevelType w:val="hybridMultilevel"/>
    <w:tmpl w:val="F1BAF9C4"/>
    <w:lvl w:ilvl="0" w:tplc="9DE2753A">
      <w:start w:val="1"/>
      <w:numFmt w:val="bullet"/>
      <w:lvlText w:val="·"/>
      <w:lvlJc w:val="left"/>
      <w:pPr>
        <w:ind w:left="720" w:hanging="360"/>
      </w:pPr>
      <w:rPr>
        <w:rFonts w:hint="default" w:ascii="Symbol" w:hAnsi="Symbol"/>
      </w:rPr>
    </w:lvl>
    <w:lvl w:ilvl="1" w:tplc="CE4E44B0">
      <w:start w:val="1"/>
      <w:numFmt w:val="bullet"/>
      <w:lvlText w:val="o"/>
      <w:lvlJc w:val="left"/>
      <w:pPr>
        <w:ind w:left="1440" w:hanging="360"/>
      </w:pPr>
      <w:rPr>
        <w:rFonts w:hint="default" w:ascii="Courier New" w:hAnsi="Courier New"/>
      </w:rPr>
    </w:lvl>
    <w:lvl w:ilvl="2" w:tplc="6F523F82">
      <w:start w:val="1"/>
      <w:numFmt w:val="bullet"/>
      <w:lvlText w:val=""/>
      <w:lvlJc w:val="left"/>
      <w:pPr>
        <w:ind w:left="2160" w:hanging="360"/>
      </w:pPr>
      <w:rPr>
        <w:rFonts w:hint="default" w:ascii="Wingdings" w:hAnsi="Wingdings"/>
      </w:rPr>
    </w:lvl>
    <w:lvl w:ilvl="3" w:tplc="AEC6784E">
      <w:start w:val="1"/>
      <w:numFmt w:val="bullet"/>
      <w:lvlText w:val=""/>
      <w:lvlJc w:val="left"/>
      <w:pPr>
        <w:ind w:left="2880" w:hanging="360"/>
      </w:pPr>
      <w:rPr>
        <w:rFonts w:hint="default" w:ascii="Symbol" w:hAnsi="Symbol"/>
      </w:rPr>
    </w:lvl>
    <w:lvl w:ilvl="4" w:tplc="E44E2460">
      <w:start w:val="1"/>
      <w:numFmt w:val="bullet"/>
      <w:lvlText w:val="o"/>
      <w:lvlJc w:val="left"/>
      <w:pPr>
        <w:ind w:left="3600" w:hanging="360"/>
      </w:pPr>
      <w:rPr>
        <w:rFonts w:hint="default" w:ascii="Courier New" w:hAnsi="Courier New"/>
      </w:rPr>
    </w:lvl>
    <w:lvl w:ilvl="5" w:tplc="0180E54A">
      <w:start w:val="1"/>
      <w:numFmt w:val="bullet"/>
      <w:lvlText w:val=""/>
      <w:lvlJc w:val="left"/>
      <w:pPr>
        <w:ind w:left="4320" w:hanging="360"/>
      </w:pPr>
      <w:rPr>
        <w:rFonts w:hint="default" w:ascii="Wingdings" w:hAnsi="Wingdings"/>
      </w:rPr>
    </w:lvl>
    <w:lvl w:ilvl="6" w:tplc="CBFAAFF2">
      <w:start w:val="1"/>
      <w:numFmt w:val="bullet"/>
      <w:lvlText w:val=""/>
      <w:lvlJc w:val="left"/>
      <w:pPr>
        <w:ind w:left="5040" w:hanging="360"/>
      </w:pPr>
      <w:rPr>
        <w:rFonts w:hint="default" w:ascii="Symbol" w:hAnsi="Symbol"/>
      </w:rPr>
    </w:lvl>
    <w:lvl w:ilvl="7" w:tplc="5B04FAB4">
      <w:start w:val="1"/>
      <w:numFmt w:val="bullet"/>
      <w:lvlText w:val="o"/>
      <w:lvlJc w:val="left"/>
      <w:pPr>
        <w:ind w:left="5760" w:hanging="360"/>
      </w:pPr>
      <w:rPr>
        <w:rFonts w:hint="default" w:ascii="Courier New" w:hAnsi="Courier New"/>
      </w:rPr>
    </w:lvl>
    <w:lvl w:ilvl="8" w:tplc="4F8AC4F4">
      <w:start w:val="1"/>
      <w:numFmt w:val="bullet"/>
      <w:lvlText w:val=""/>
      <w:lvlJc w:val="left"/>
      <w:pPr>
        <w:ind w:left="6480" w:hanging="360"/>
      </w:pPr>
      <w:rPr>
        <w:rFonts w:hint="default" w:ascii="Wingdings" w:hAnsi="Wingdings"/>
      </w:rPr>
    </w:lvl>
  </w:abstractNum>
  <w:abstractNum w:abstractNumId="22" w15:restartNumberingAfterBreak="0">
    <w:nsid w:val="657B3C7A"/>
    <w:multiLevelType w:val="hybridMultilevel"/>
    <w:tmpl w:val="3BB01DB6"/>
    <w:lvl w:ilvl="0" w:tplc="1DD27040">
      <w:start w:val="1"/>
      <w:numFmt w:val="decimal"/>
      <w:lvlText w:val="%1."/>
      <w:lvlJc w:val="left"/>
      <w:pPr>
        <w:ind w:left="720" w:hanging="360"/>
      </w:pPr>
    </w:lvl>
    <w:lvl w:ilvl="1" w:tplc="B11857A6">
      <w:start w:val="1"/>
      <w:numFmt w:val="decimal"/>
      <w:lvlText w:val="%2."/>
      <w:lvlJc w:val="left"/>
      <w:pPr>
        <w:ind w:left="1440" w:hanging="360"/>
      </w:pPr>
    </w:lvl>
    <w:lvl w:ilvl="2" w:tplc="114CF93A">
      <w:start w:val="1"/>
      <w:numFmt w:val="lowerRoman"/>
      <w:lvlText w:val="%3."/>
      <w:lvlJc w:val="right"/>
      <w:pPr>
        <w:ind w:left="2160" w:hanging="180"/>
      </w:pPr>
    </w:lvl>
    <w:lvl w:ilvl="3" w:tplc="D7AC71A4">
      <w:start w:val="1"/>
      <w:numFmt w:val="decimal"/>
      <w:lvlText w:val="%4."/>
      <w:lvlJc w:val="left"/>
      <w:pPr>
        <w:ind w:left="2880" w:hanging="360"/>
      </w:pPr>
    </w:lvl>
    <w:lvl w:ilvl="4" w:tplc="144E71B0">
      <w:start w:val="1"/>
      <w:numFmt w:val="lowerLetter"/>
      <w:lvlText w:val="%5."/>
      <w:lvlJc w:val="left"/>
      <w:pPr>
        <w:ind w:left="3600" w:hanging="360"/>
      </w:pPr>
    </w:lvl>
    <w:lvl w:ilvl="5" w:tplc="F81CCCBE">
      <w:start w:val="1"/>
      <w:numFmt w:val="lowerRoman"/>
      <w:lvlText w:val="%6."/>
      <w:lvlJc w:val="right"/>
      <w:pPr>
        <w:ind w:left="4320" w:hanging="180"/>
      </w:pPr>
    </w:lvl>
    <w:lvl w:ilvl="6" w:tplc="1A1C20D0">
      <w:start w:val="1"/>
      <w:numFmt w:val="decimal"/>
      <w:lvlText w:val="%7."/>
      <w:lvlJc w:val="left"/>
      <w:pPr>
        <w:ind w:left="5040" w:hanging="360"/>
      </w:pPr>
    </w:lvl>
    <w:lvl w:ilvl="7" w:tplc="120834D2">
      <w:start w:val="1"/>
      <w:numFmt w:val="lowerLetter"/>
      <w:lvlText w:val="%8."/>
      <w:lvlJc w:val="left"/>
      <w:pPr>
        <w:ind w:left="5760" w:hanging="360"/>
      </w:pPr>
    </w:lvl>
    <w:lvl w:ilvl="8" w:tplc="D9205264">
      <w:start w:val="1"/>
      <w:numFmt w:val="lowerRoman"/>
      <w:lvlText w:val="%9."/>
      <w:lvlJc w:val="right"/>
      <w:pPr>
        <w:ind w:left="6480" w:hanging="180"/>
      </w:pPr>
    </w:lvl>
  </w:abstractNum>
  <w:abstractNum w:abstractNumId="23" w15:restartNumberingAfterBreak="0">
    <w:nsid w:val="6E3673F6"/>
    <w:multiLevelType w:val="hybridMultilevel"/>
    <w:tmpl w:val="401283BE"/>
    <w:lvl w:ilvl="0" w:tplc="9ECC9A82">
      <w:start w:val="1"/>
      <w:numFmt w:val="decimal"/>
      <w:lvlText w:val="%1."/>
      <w:lvlJc w:val="left"/>
      <w:pPr>
        <w:ind w:left="720" w:hanging="360"/>
      </w:pPr>
    </w:lvl>
    <w:lvl w:ilvl="1" w:tplc="E6D073D0">
      <w:start w:val="1"/>
      <w:numFmt w:val="lowerLetter"/>
      <w:lvlText w:val="%2."/>
      <w:lvlJc w:val="left"/>
      <w:pPr>
        <w:ind w:left="1440" w:hanging="360"/>
      </w:pPr>
    </w:lvl>
    <w:lvl w:ilvl="2" w:tplc="74CE7772">
      <w:start w:val="1"/>
      <w:numFmt w:val="lowerRoman"/>
      <w:lvlText w:val="%3."/>
      <w:lvlJc w:val="right"/>
      <w:pPr>
        <w:ind w:left="2160" w:hanging="180"/>
      </w:pPr>
    </w:lvl>
    <w:lvl w:ilvl="3" w:tplc="B8DC72B6">
      <w:start w:val="1"/>
      <w:numFmt w:val="decimal"/>
      <w:lvlText w:val="%4."/>
      <w:lvlJc w:val="left"/>
      <w:pPr>
        <w:ind w:left="2880" w:hanging="360"/>
      </w:pPr>
    </w:lvl>
    <w:lvl w:ilvl="4" w:tplc="148E06A0">
      <w:start w:val="1"/>
      <w:numFmt w:val="lowerLetter"/>
      <w:lvlText w:val="%5."/>
      <w:lvlJc w:val="left"/>
      <w:pPr>
        <w:ind w:left="3600" w:hanging="360"/>
      </w:pPr>
    </w:lvl>
    <w:lvl w:ilvl="5" w:tplc="92AEBCCE">
      <w:start w:val="1"/>
      <w:numFmt w:val="lowerRoman"/>
      <w:lvlText w:val="%6."/>
      <w:lvlJc w:val="right"/>
      <w:pPr>
        <w:ind w:left="4320" w:hanging="180"/>
      </w:pPr>
    </w:lvl>
    <w:lvl w:ilvl="6" w:tplc="B9B4D4F6">
      <w:start w:val="1"/>
      <w:numFmt w:val="decimal"/>
      <w:lvlText w:val="%7."/>
      <w:lvlJc w:val="left"/>
      <w:pPr>
        <w:ind w:left="5040" w:hanging="360"/>
      </w:pPr>
    </w:lvl>
    <w:lvl w:ilvl="7" w:tplc="6044AA46">
      <w:start w:val="1"/>
      <w:numFmt w:val="lowerLetter"/>
      <w:lvlText w:val="%8."/>
      <w:lvlJc w:val="left"/>
      <w:pPr>
        <w:ind w:left="5760" w:hanging="360"/>
      </w:pPr>
    </w:lvl>
    <w:lvl w:ilvl="8" w:tplc="BC8E215A">
      <w:start w:val="1"/>
      <w:numFmt w:val="lowerRoman"/>
      <w:lvlText w:val="%9."/>
      <w:lvlJc w:val="right"/>
      <w:pPr>
        <w:ind w:left="6480" w:hanging="180"/>
      </w:p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30">
    <w:abstractNumId w:val="28"/>
  </w:num>
  <w:num w:numId="29">
    <w:abstractNumId w:val="27"/>
  </w:num>
  <w:num w:numId="1">
    <w:abstractNumId w:val="22"/>
  </w:num>
  <w:num w:numId="2">
    <w:abstractNumId w:val="10"/>
  </w:num>
  <w:num w:numId="3">
    <w:abstractNumId w:val="16"/>
  </w:num>
  <w:num w:numId="4">
    <w:abstractNumId w:val="17"/>
  </w:num>
  <w:num w:numId="5">
    <w:abstractNumId w:val="9"/>
  </w:num>
  <w:num w:numId="6">
    <w:abstractNumId w:val="21"/>
  </w:num>
  <w:num w:numId="7">
    <w:abstractNumId w:val="4"/>
  </w:num>
  <w:num w:numId="8">
    <w:abstractNumId w:val="23"/>
  </w:num>
  <w:num w:numId="9">
    <w:abstractNumId w:val="15"/>
  </w:num>
  <w:num w:numId="10">
    <w:abstractNumId w:val="26"/>
  </w:num>
  <w:num w:numId="11">
    <w:abstractNumId w:val="20"/>
  </w:num>
  <w:num w:numId="12">
    <w:abstractNumId w:val="0"/>
  </w:num>
  <w:num w:numId="13">
    <w:abstractNumId w:val="7"/>
  </w:num>
  <w:num w:numId="14">
    <w:abstractNumId w:val="24"/>
  </w:num>
  <w:num w:numId="15">
    <w:abstractNumId w:val="2"/>
  </w:num>
  <w:num w:numId="16">
    <w:abstractNumId w:val="14"/>
  </w:num>
  <w:num w:numId="17">
    <w:abstractNumId w:val="11"/>
  </w:num>
  <w:num w:numId="18">
    <w:abstractNumId w:val="1"/>
  </w:num>
  <w:num w:numId="19">
    <w:abstractNumId w:val="1"/>
  </w:num>
  <w:num w:numId="20">
    <w:abstractNumId w:val="3"/>
  </w:num>
  <w:num w:numId="21">
    <w:abstractNumId w:val="5"/>
  </w:num>
  <w:num w:numId="22">
    <w:abstractNumId w:val="19"/>
  </w:num>
  <w:num w:numId="23">
    <w:abstractNumId w:val="12"/>
  </w:num>
  <w:num w:numId="24">
    <w:abstractNumId w:val="8"/>
  </w:num>
  <w:num w:numId="25">
    <w:abstractNumId w:val="18"/>
  </w:num>
  <w:num w:numId="26">
    <w:abstractNumId w:val="6"/>
  </w:num>
  <w:num w:numId="27">
    <w:abstractNumId w:val="13"/>
  </w:num>
  <w:num w:numId="2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49"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4F10"/>
    <w:rsid w:val="00016CF0"/>
    <w:rsid w:val="00020218"/>
    <w:rsid w:val="00023788"/>
    <w:rsid w:val="00023FF4"/>
    <w:rsid w:val="00030DDD"/>
    <w:rsid w:val="000313BB"/>
    <w:rsid w:val="00033ED5"/>
    <w:rsid w:val="00034E28"/>
    <w:rsid w:val="000357D8"/>
    <w:rsid w:val="00036E53"/>
    <w:rsid w:val="00050500"/>
    <w:rsid w:val="0005691C"/>
    <w:rsid w:val="00056ECB"/>
    <w:rsid w:val="00056ED5"/>
    <w:rsid w:val="000573DB"/>
    <w:rsid w:val="00061969"/>
    <w:rsid w:val="0006292B"/>
    <w:rsid w:val="000655CC"/>
    <w:rsid w:val="00065A6B"/>
    <w:rsid w:val="0006682B"/>
    <w:rsid w:val="000700AE"/>
    <w:rsid w:val="00073DDB"/>
    <w:rsid w:val="00083430"/>
    <w:rsid w:val="00084024"/>
    <w:rsid w:val="00086FB4"/>
    <w:rsid w:val="0009062C"/>
    <w:rsid w:val="00093445"/>
    <w:rsid w:val="00094569"/>
    <w:rsid w:val="00095368"/>
    <w:rsid w:val="000954C4"/>
    <w:rsid w:val="00095B64"/>
    <w:rsid w:val="000A611A"/>
    <w:rsid w:val="000B12D9"/>
    <w:rsid w:val="000B4536"/>
    <w:rsid w:val="000B7715"/>
    <w:rsid w:val="000D36F6"/>
    <w:rsid w:val="000D46A4"/>
    <w:rsid w:val="000E1915"/>
    <w:rsid w:val="000E463B"/>
    <w:rsid w:val="000E5A7E"/>
    <w:rsid w:val="000E761E"/>
    <w:rsid w:val="000F1E96"/>
    <w:rsid w:val="000F43A3"/>
    <w:rsid w:val="000F7681"/>
    <w:rsid w:val="00103031"/>
    <w:rsid w:val="001044FE"/>
    <w:rsid w:val="00106C05"/>
    <w:rsid w:val="001139D4"/>
    <w:rsid w:val="00121713"/>
    <w:rsid w:val="00131B08"/>
    <w:rsid w:val="00132A59"/>
    <w:rsid w:val="00133337"/>
    <w:rsid w:val="00133A0F"/>
    <w:rsid w:val="0013580F"/>
    <w:rsid w:val="00137B6D"/>
    <w:rsid w:val="0014070B"/>
    <w:rsid w:val="001422C1"/>
    <w:rsid w:val="00144A8D"/>
    <w:rsid w:val="001522AE"/>
    <w:rsid w:val="00157D5B"/>
    <w:rsid w:val="00161FE6"/>
    <w:rsid w:val="00164C3D"/>
    <w:rsid w:val="00166D3A"/>
    <w:rsid w:val="0017508E"/>
    <w:rsid w:val="00181FDC"/>
    <w:rsid w:val="00184167"/>
    <w:rsid w:val="001860B9"/>
    <w:rsid w:val="00186F2B"/>
    <w:rsid w:val="001874D6"/>
    <w:rsid w:val="0019632A"/>
    <w:rsid w:val="001A4E7C"/>
    <w:rsid w:val="001A56A9"/>
    <w:rsid w:val="001B62B0"/>
    <w:rsid w:val="001B762C"/>
    <w:rsid w:val="001C1ABF"/>
    <w:rsid w:val="001C2482"/>
    <w:rsid w:val="001C4D0A"/>
    <w:rsid w:val="001C5FEF"/>
    <w:rsid w:val="001D460A"/>
    <w:rsid w:val="001E3789"/>
    <w:rsid w:val="00203061"/>
    <w:rsid w:val="00211487"/>
    <w:rsid w:val="00211D91"/>
    <w:rsid w:val="00217AD0"/>
    <w:rsid w:val="00217DEC"/>
    <w:rsid w:val="0022712E"/>
    <w:rsid w:val="00235B57"/>
    <w:rsid w:val="00245D0F"/>
    <w:rsid w:val="00250F24"/>
    <w:rsid w:val="00251BA8"/>
    <w:rsid w:val="002523C5"/>
    <w:rsid w:val="0025380B"/>
    <w:rsid w:val="0025703A"/>
    <w:rsid w:val="00262F3D"/>
    <w:rsid w:val="00263281"/>
    <w:rsid w:val="002651D6"/>
    <w:rsid w:val="0026551F"/>
    <w:rsid w:val="0027673C"/>
    <w:rsid w:val="00280A85"/>
    <w:rsid w:val="00284119"/>
    <w:rsid w:val="0028567F"/>
    <w:rsid w:val="002876FB"/>
    <w:rsid w:val="00290B5C"/>
    <w:rsid w:val="00293B20"/>
    <w:rsid w:val="00294791"/>
    <w:rsid w:val="002A1C4F"/>
    <w:rsid w:val="002A55D3"/>
    <w:rsid w:val="002A7450"/>
    <w:rsid w:val="002B0B30"/>
    <w:rsid w:val="002B0C78"/>
    <w:rsid w:val="002B3028"/>
    <w:rsid w:val="002C0C02"/>
    <w:rsid w:val="002C1277"/>
    <w:rsid w:val="002C17B3"/>
    <w:rsid w:val="002C55DB"/>
    <w:rsid w:val="002C60AD"/>
    <w:rsid w:val="002D0E0E"/>
    <w:rsid w:val="002D529B"/>
    <w:rsid w:val="002D6023"/>
    <w:rsid w:val="002E263F"/>
    <w:rsid w:val="002E5AEE"/>
    <w:rsid w:val="002E6F81"/>
    <w:rsid w:val="002F08BA"/>
    <w:rsid w:val="002F2CFF"/>
    <w:rsid w:val="002F568B"/>
    <w:rsid w:val="002F7208"/>
    <w:rsid w:val="002F7818"/>
    <w:rsid w:val="00301CDA"/>
    <w:rsid w:val="003066D0"/>
    <w:rsid w:val="0031050C"/>
    <w:rsid w:val="00311401"/>
    <w:rsid w:val="00312CE3"/>
    <w:rsid w:val="00316993"/>
    <w:rsid w:val="003203D7"/>
    <w:rsid w:val="00320F86"/>
    <w:rsid w:val="00324171"/>
    <w:rsid w:val="00326C24"/>
    <w:rsid w:val="003313D0"/>
    <w:rsid w:val="00337F99"/>
    <w:rsid w:val="003410BD"/>
    <w:rsid w:val="0034115D"/>
    <w:rsid w:val="0034243C"/>
    <w:rsid w:val="0034307B"/>
    <w:rsid w:val="00345EB1"/>
    <w:rsid w:val="003469BB"/>
    <w:rsid w:val="00350CC4"/>
    <w:rsid w:val="00360E0D"/>
    <w:rsid w:val="0036357D"/>
    <w:rsid w:val="0036594C"/>
    <w:rsid w:val="00367D19"/>
    <w:rsid w:val="00371BED"/>
    <w:rsid w:val="00384019"/>
    <w:rsid w:val="003854F1"/>
    <w:rsid w:val="0039118E"/>
    <w:rsid w:val="00397F54"/>
    <w:rsid w:val="003A0D43"/>
    <w:rsid w:val="003B281B"/>
    <w:rsid w:val="003B2A4B"/>
    <w:rsid w:val="003C7BF2"/>
    <w:rsid w:val="003D099E"/>
    <w:rsid w:val="003D157F"/>
    <w:rsid w:val="003D21A2"/>
    <w:rsid w:val="003D29D2"/>
    <w:rsid w:val="003D6756"/>
    <w:rsid w:val="003D6B3F"/>
    <w:rsid w:val="003D6DF1"/>
    <w:rsid w:val="003D7ED9"/>
    <w:rsid w:val="003E0705"/>
    <w:rsid w:val="003E2FF7"/>
    <w:rsid w:val="003E5B77"/>
    <w:rsid w:val="003F1013"/>
    <w:rsid w:val="003F1ACF"/>
    <w:rsid w:val="003F5401"/>
    <w:rsid w:val="003F6DE9"/>
    <w:rsid w:val="00404948"/>
    <w:rsid w:val="00406BEA"/>
    <w:rsid w:val="00407D4F"/>
    <w:rsid w:val="00412A07"/>
    <w:rsid w:val="00413A60"/>
    <w:rsid w:val="00415B4E"/>
    <w:rsid w:val="004230F7"/>
    <w:rsid w:val="00424B46"/>
    <w:rsid w:val="004268BA"/>
    <w:rsid w:val="0043167E"/>
    <w:rsid w:val="004319C6"/>
    <w:rsid w:val="0043409A"/>
    <w:rsid w:val="00442DDA"/>
    <w:rsid w:val="00443A35"/>
    <w:rsid w:val="00446255"/>
    <w:rsid w:val="00446B8E"/>
    <w:rsid w:val="00451935"/>
    <w:rsid w:val="00460ED0"/>
    <w:rsid w:val="00462BC7"/>
    <w:rsid w:val="00465651"/>
    <w:rsid w:val="00470CE7"/>
    <w:rsid w:val="00470F4F"/>
    <w:rsid w:val="00472482"/>
    <w:rsid w:val="00480DC7"/>
    <w:rsid w:val="004876F6"/>
    <w:rsid w:val="004917F2"/>
    <w:rsid w:val="0049236A"/>
    <w:rsid w:val="00492718"/>
    <w:rsid w:val="00495A88"/>
    <w:rsid w:val="004A26F1"/>
    <w:rsid w:val="004A355D"/>
    <w:rsid w:val="004A4970"/>
    <w:rsid w:val="004B2183"/>
    <w:rsid w:val="004B2A01"/>
    <w:rsid w:val="004B7316"/>
    <w:rsid w:val="004C3536"/>
    <w:rsid w:val="004D5370"/>
    <w:rsid w:val="004D7529"/>
    <w:rsid w:val="004D7BA3"/>
    <w:rsid w:val="004F4518"/>
    <w:rsid w:val="004F4C62"/>
    <w:rsid w:val="004F6DBB"/>
    <w:rsid w:val="00500749"/>
    <w:rsid w:val="00501433"/>
    <w:rsid w:val="005021CB"/>
    <w:rsid w:val="00511CC4"/>
    <w:rsid w:val="005218AA"/>
    <w:rsid w:val="005307A0"/>
    <w:rsid w:val="00531E60"/>
    <w:rsid w:val="00533590"/>
    <w:rsid w:val="00541D07"/>
    <w:rsid w:val="00544BAB"/>
    <w:rsid w:val="0054523D"/>
    <w:rsid w:val="00545E04"/>
    <w:rsid w:val="00545F31"/>
    <w:rsid w:val="005578FA"/>
    <w:rsid w:val="0056271A"/>
    <w:rsid w:val="00563942"/>
    <w:rsid w:val="00565129"/>
    <w:rsid w:val="00565CD0"/>
    <w:rsid w:val="00567369"/>
    <w:rsid w:val="00567820"/>
    <w:rsid w:val="00573781"/>
    <w:rsid w:val="005770AD"/>
    <w:rsid w:val="00581414"/>
    <w:rsid w:val="00582490"/>
    <w:rsid w:val="00585C1A"/>
    <w:rsid w:val="00597E28"/>
    <w:rsid w:val="005A2A34"/>
    <w:rsid w:val="005A54ED"/>
    <w:rsid w:val="005A5D5B"/>
    <w:rsid w:val="005A6081"/>
    <w:rsid w:val="005A627D"/>
    <w:rsid w:val="005B1F06"/>
    <w:rsid w:val="005B4662"/>
    <w:rsid w:val="005C0045"/>
    <w:rsid w:val="005C084E"/>
    <w:rsid w:val="005C4606"/>
    <w:rsid w:val="005C5AA3"/>
    <w:rsid w:val="005D0B0C"/>
    <w:rsid w:val="005E02B3"/>
    <w:rsid w:val="005E1E24"/>
    <w:rsid w:val="005E7616"/>
    <w:rsid w:val="005F37B8"/>
    <w:rsid w:val="0060596B"/>
    <w:rsid w:val="00606D97"/>
    <w:rsid w:val="00614E64"/>
    <w:rsid w:val="00617710"/>
    <w:rsid w:val="00617EE6"/>
    <w:rsid w:val="0062184C"/>
    <w:rsid w:val="00623724"/>
    <w:rsid w:val="00623810"/>
    <w:rsid w:val="00624C5C"/>
    <w:rsid w:val="0062792F"/>
    <w:rsid w:val="00627BEA"/>
    <w:rsid w:val="006319DB"/>
    <w:rsid w:val="00635F0E"/>
    <w:rsid w:val="0064338E"/>
    <w:rsid w:val="00646097"/>
    <w:rsid w:val="0065595B"/>
    <w:rsid w:val="00656DCD"/>
    <w:rsid w:val="00660269"/>
    <w:rsid w:val="00665F89"/>
    <w:rsid w:val="00673C92"/>
    <w:rsid w:val="006753EC"/>
    <w:rsid w:val="00681056"/>
    <w:rsid w:val="00685193"/>
    <w:rsid w:val="006A2789"/>
    <w:rsid w:val="006A4978"/>
    <w:rsid w:val="006A52D6"/>
    <w:rsid w:val="006A7261"/>
    <w:rsid w:val="006B0D29"/>
    <w:rsid w:val="006B1819"/>
    <w:rsid w:val="006C5048"/>
    <w:rsid w:val="006C5672"/>
    <w:rsid w:val="006C6A4B"/>
    <w:rsid w:val="006C779F"/>
    <w:rsid w:val="006D01F5"/>
    <w:rsid w:val="006D0CFB"/>
    <w:rsid w:val="006D30C0"/>
    <w:rsid w:val="006D4E4B"/>
    <w:rsid w:val="006D7535"/>
    <w:rsid w:val="006E450B"/>
    <w:rsid w:val="006F0D7E"/>
    <w:rsid w:val="00710B77"/>
    <w:rsid w:val="007155D5"/>
    <w:rsid w:val="00715F23"/>
    <w:rsid w:val="0072075B"/>
    <w:rsid w:val="007218A3"/>
    <w:rsid w:val="007221C2"/>
    <w:rsid w:val="00730955"/>
    <w:rsid w:val="00733A9C"/>
    <w:rsid w:val="00734CE9"/>
    <w:rsid w:val="00734E95"/>
    <w:rsid w:val="00736574"/>
    <w:rsid w:val="00736697"/>
    <w:rsid w:val="007367E0"/>
    <w:rsid w:val="00737215"/>
    <w:rsid w:val="0074498D"/>
    <w:rsid w:val="00753526"/>
    <w:rsid w:val="00753529"/>
    <w:rsid w:val="00753A0D"/>
    <w:rsid w:val="00754905"/>
    <w:rsid w:val="00760038"/>
    <w:rsid w:val="00762EE0"/>
    <w:rsid w:val="00764C92"/>
    <w:rsid w:val="00765C41"/>
    <w:rsid w:val="00767EB7"/>
    <w:rsid w:val="00771100"/>
    <w:rsid w:val="00774259"/>
    <w:rsid w:val="007759DD"/>
    <w:rsid w:val="00775AAF"/>
    <w:rsid w:val="007817DD"/>
    <w:rsid w:val="0078609F"/>
    <w:rsid w:val="00790698"/>
    <w:rsid w:val="007917BA"/>
    <w:rsid w:val="00792084"/>
    <w:rsid w:val="007A0C21"/>
    <w:rsid w:val="007A334E"/>
    <w:rsid w:val="007A5C6F"/>
    <w:rsid w:val="007A6C1C"/>
    <w:rsid w:val="007C4DE2"/>
    <w:rsid w:val="007D4241"/>
    <w:rsid w:val="007D4317"/>
    <w:rsid w:val="007D4EA3"/>
    <w:rsid w:val="007F1CFF"/>
    <w:rsid w:val="007F236E"/>
    <w:rsid w:val="007F5DD5"/>
    <w:rsid w:val="00821A1B"/>
    <w:rsid w:val="00821E28"/>
    <w:rsid w:val="008262E9"/>
    <w:rsid w:val="00827E69"/>
    <w:rsid w:val="00835C4D"/>
    <w:rsid w:val="00842102"/>
    <w:rsid w:val="00843F48"/>
    <w:rsid w:val="00851423"/>
    <w:rsid w:val="008569C6"/>
    <w:rsid w:val="00857848"/>
    <w:rsid w:val="008654B6"/>
    <w:rsid w:val="0087139C"/>
    <w:rsid w:val="00873419"/>
    <w:rsid w:val="00875868"/>
    <w:rsid w:val="00880E83"/>
    <w:rsid w:val="00891A7B"/>
    <w:rsid w:val="00892F28"/>
    <w:rsid w:val="008A0C5F"/>
    <w:rsid w:val="008A0E47"/>
    <w:rsid w:val="008A1245"/>
    <w:rsid w:val="008A2196"/>
    <w:rsid w:val="008A3DEA"/>
    <w:rsid w:val="008A4EB9"/>
    <w:rsid w:val="008A7256"/>
    <w:rsid w:val="008A74C0"/>
    <w:rsid w:val="008B1694"/>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589F"/>
    <w:rsid w:val="00904635"/>
    <w:rsid w:val="009060F7"/>
    <w:rsid w:val="00906238"/>
    <w:rsid w:val="00907EF9"/>
    <w:rsid w:val="00911231"/>
    <w:rsid w:val="0091295C"/>
    <w:rsid w:val="00913E21"/>
    <w:rsid w:val="0091480D"/>
    <w:rsid w:val="00914D58"/>
    <w:rsid w:val="00921F47"/>
    <w:rsid w:val="00922511"/>
    <w:rsid w:val="009228AB"/>
    <w:rsid w:val="0093085B"/>
    <w:rsid w:val="00931C57"/>
    <w:rsid w:val="009347A5"/>
    <w:rsid w:val="00942257"/>
    <w:rsid w:val="0094637D"/>
    <w:rsid w:val="009471BF"/>
    <w:rsid w:val="00950E4E"/>
    <w:rsid w:val="009529BD"/>
    <w:rsid w:val="009533B4"/>
    <w:rsid w:val="00957D35"/>
    <w:rsid w:val="00971D93"/>
    <w:rsid w:val="00985BD2"/>
    <w:rsid w:val="00986D9B"/>
    <w:rsid w:val="009908A7"/>
    <w:rsid w:val="009918E6"/>
    <w:rsid w:val="0099586F"/>
    <w:rsid w:val="009B1F6B"/>
    <w:rsid w:val="009B3364"/>
    <w:rsid w:val="009B651D"/>
    <w:rsid w:val="009C0820"/>
    <w:rsid w:val="009C0D12"/>
    <w:rsid w:val="009C10B5"/>
    <w:rsid w:val="009C1587"/>
    <w:rsid w:val="009C192E"/>
    <w:rsid w:val="009C2E3E"/>
    <w:rsid w:val="009C3117"/>
    <w:rsid w:val="009C425E"/>
    <w:rsid w:val="009C6C0C"/>
    <w:rsid w:val="009D182F"/>
    <w:rsid w:val="009D6819"/>
    <w:rsid w:val="009D6D1C"/>
    <w:rsid w:val="009E0CF9"/>
    <w:rsid w:val="009E29DF"/>
    <w:rsid w:val="009E531B"/>
    <w:rsid w:val="009E6C56"/>
    <w:rsid w:val="009E7DCF"/>
    <w:rsid w:val="009F163F"/>
    <w:rsid w:val="009F4A56"/>
    <w:rsid w:val="009F4E65"/>
    <w:rsid w:val="00A006A5"/>
    <w:rsid w:val="00A05942"/>
    <w:rsid w:val="00A07BEC"/>
    <w:rsid w:val="00A12795"/>
    <w:rsid w:val="00A16537"/>
    <w:rsid w:val="00A25685"/>
    <w:rsid w:val="00A264BE"/>
    <w:rsid w:val="00A272CA"/>
    <w:rsid w:val="00A33051"/>
    <w:rsid w:val="00A37870"/>
    <w:rsid w:val="00A407AD"/>
    <w:rsid w:val="00A40923"/>
    <w:rsid w:val="00A41C05"/>
    <w:rsid w:val="00A42426"/>
    <w:rsid w:val="00A514B7"/>
    <w:rsid w:val="00A54A0B"/>
    <w:rsid w:val="00A65823"/>
    <w:rsid w:val="00A65FD4"/>
    <w:rsid w:val="00A722BD"/>
    <w:rsid w:val="00A747F6"/>
    <w:rsid w:val="00A74A35"/>
    <w:rsid w:val="00A81198"/>
    <w:rsid w:val="00A81355"/>
    <w:rsid w:val="00A81E48"/>
    <w:rsid w:val="00A82035"/>
    <w:rsid w:val="00A90A4D"/>
    <w:rsid w:val="00A90D77"/>
    <w:rsid w:val="00A92E07"/>
    <w:rsid w:val="00AA0B3A"/>
    <w:rsid w:val="00AA4986"/>
    <w:rsid w:val="00AA6EB4"/>
    <w:rsid w:val="00AA767D"/>
    <w:rsid w:val="00AB0CC9"/>
    <w:rsid w:val="00AB4793"/>
    <w:rsid w:val="00AC3FF6"/>
    <w:rsid w:val="00AD2E51"/>
    <w:rsid w:val="00AD73EC"/>
    <w:rsid w:val="00AD7AD5"/>
    <w:rsid w:val="00AE5BC7"/>
    <w:rsid w:val="00AF14DA"/>
    <w:rsid w:val="00AF5AAF"/>
    <w:rsid w:val="00B0295B"/>
    <w:rsid w:val="00B03AD8"/>
    <w:rsid w:val="00B03ADE"/>
    <w:rsid w:val="00B046D8"/>
    <w:rsid w:val="00B10835"/>
    <w:rsid w:val="00B10930"/>
    <w:rsid w:val="00B13F4C"/>
    <w:rsid w:val="00B15286"/>
    <w:rsid w:val="00B16219"/>
    <w:rsid w:val="00B16C59"/>
    <w:rsid w:val="00B17391"/>
    <w:rsid w:val="00B21286"/>
    <w:rsid w:val="00B21B26"/>
    <w:rsid w:val="00B33FDD"/>
    <w:rsid w:val="00B359CC"/>
    <w:rsid w:val="00B36107"/>
    <w:rsid w:val="00B41789"/>
    <w:rsid w:val="00B43FBA"/>
    <w:rsid w:val="00B46C03"/>
    <w:rsid w:val="00B52FE0"/>
    <w:rsid w:val="00B60C6C"/>
    <w:rsid w:val="00B619A9"/>
    <w:rsid w:val="00B65A9D"/>
    <w:rsid w:val="00B66D60"/>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622C"/>
    <w:rsid w:val="00BB38E7"/>
    <w:rsid w:val="00BB69DB"/>
    <w:rsid w:val="00BC322E"/>
    <w:rsid w:val="00BC44CD"/>
    <w:rsid w:val="00BC48A6"/>
    <w:rsid w:val="00BC7F82"/>
    <w:rsid w:val="00BE405D"/>
    <w:rsid w:val="00BE7978"/>
    <w:rsid w:val="00C006DC"/>
    <w:rsid w:val="00C01F0D"/>
    <w:rsid w:val="00C07DDB"/>
    <w:rsid w:val="00C17360"/>
    <w:rsid w:val="00C40968"/>
    <w:rsid w:val="00C4115D"/>
    <w:rsid w:val="00C43BDD"/>
    <w:rsid w:val="00C47778"/>
    <w:rsid w:val="00C5011E"/>
    <w:rsid w:val="00C50EE5"/>
    <w:rsid w:val="00C5240A"/>
    <w:rsid w:val="00C527F6"/>
    <w:rsid w:val="00C5398F"/>
    <w:rsid w:val="00C54BBE"/>
    <w:rsid w:val="00C556F5"/>
    <w:rsid w:val="00C6595C"/>
    <w:rsid w:val="00C66B30"/>
    <w:rsid w:val="00C70E19"/>
    <w:rsid w:val="00C72574"/>
    <w:rsid w:val="00C73E2A"/>
    <w:rsid w:val="00C7430C"/>
    <w:rsid w:val="00C85DA1"/>
    <w:rsid w:val="00C9071C"/>
    <w:rsid w:val="00C908FF"/>
    <w:rsid w:val="00C97BD3"/>
    <w:rsid w:val="00CA39EF"/>
    <w:rsid w:val="00CA521F"/>
    <w:rsid w:val="00CB0493"/>
    <w:rsid w:val="00CB0ADA"/>
    <w:rsid w:val="00CB17FF"/>
    <w:rsid w:val="00CB1AAF"/>
    <w:rsid w:val="00CB1ED7"/>
    <w:rsid w:val="00CB7F2D"/>
    <w:rsid w:val="00CC0EEF"/>
    <w:rsid w:val="00CC167C"/>
    <w:rsid w:val="00CC52D9"/>
    <w:rsid w:val="00CD6647"/>
    <w:rsid w:val="00CE099B"/>
    <w:rsid w:val="00CE4B73"/>
    <w:rsid w:val="00CF70BB"/>
    <w:rsid w:val="00D01FD4"/>
    <w:rsid w:val="00D02E45"/>
    <w:rsid w:val="00D06240"/>
    <w:rsid w:val="00D074DB"/>
    <w:rsid w:val="00D139CF"/>
    <w:rsid w:val="00D20779"/>
    <w:rsid w:val="00D208B1"/>
    <w:rsid w:val="00D21D05"/>
    <w:rsid w:val="00D36077"/>
    <w:rsid w:val="00D37E7F"/>
    <w:rsid w:val="00D47AD7"/>
    <w:rsid w:val="00D51529"/>
    <w:rsid w:val="00D76BFC"/>
    <w:rsid w:val="00D85218"/>
    <w:rsid w:val="00D915B1"/>
    <w:rsid w:val="00D93C43"/>
    <w:rsid w:val="00DA1865"/>
    <w:rsid w:val="00DA1BC4"/>
    <w:rsid w:val="00DA299D"/>
    <w:rsid w:val="00DA65C4"/>
    <w:rsid w:val="00DA6F57"/>
    <w:rsid w:val="00DC2F6E"/>
    <w:rsid w:val="00DC39B1"/>
    <w:rsid w:val="00DC4A08"/>
    <w:rsid w:val="00DC6902"/>
    <w:rsid w:val="00DE4447"/>
    <w:rsid w:val="00DE5DA2"/>
    <w:rsid w:val="00DE63C6"/>
    <w:rsid w:val="00DF0033"/>
    <w:rsid w:val="00DF0B08"/>
    <w:rsid w:val="00DF334F"/>
    <w:rsid w:val="00E026BF"/>
    <w:rsid w:val="00E07B1B"/>
    <w:rsid w:val="00E11853"/>
    <w:rsid w:val="00E12329"/>
    <w:rsid w:val="00E42A4F"/>
    <w:rsid w:val="00E52A86"/>
    <w:rsid w:val="00E54B47"/>
    <w:rsid w:val="00E553BF"/>
    <w:rsid w:val="00E55D93"/>
    <w:rsid w:val="00E61294"/>
    <w:rsid w:val="00E61C61"/>
    <w:rsid w:val="00E65E49"/>
    <w:rsid w:val="00E7237C"/>
    <w:rsid w:val="00E77C46"/>
    <w:rsid w:val="00E80137"/>
    <w:rsid w:val="00E86CE8"/>
    <w:rsid w:val="00E90E82"/>
    <w:rsid w:val="00EA00CB"/>
    <w:rsid w:val="00EA1BAA"/>
    <w:rsid w:val="00EA3FCD"/>
    <w:rsid w:val="00EA42A0"/>
    <w:rsid w:val="00EA5B41"/>
    <w:rsid w:val="00EA5BD4"/>
    <w:rsid w:val="00EA7564"/>
    <w:rsid w:val="00EB6714"/>
    <w:rsid w:val="00EC0A68"/>
    <w:rsid w:val="00EC3C32"/>
    <w:rsid w:val="00EC5006"/>
    <w:rsid w:val="00EC667B"/>
    <w:rsid w:val="00ED49C3"/>
    <w:rsid w:val="00ED6CE8"/>
    <w:rsid w:val="00ED7AA6"/>
    <w:rsid w:val="00EE2A56"/>
    <w:rsid w:val="00EE3818"/>
    <w:rsid w:val="00EE4EAF"/>
    <w:rsid w:val="00EE57D4"/>
    <w:rsid w:val="00F12F1C"/>
    <w:rsid w:val="00F1347E"/>
    <w:rsid w:val="00F14753"/>
    <w:rsid w:val="00F22264"/>
    <w:rsid w:val="00F2564D"/>
    <w:rsid w:val="00F35B05"/>
    <w:rsid w:val="00F40B5E"/>
    <w:rsid w:val="00F413D9"/>
    <w:rsid w:val="00F5135F"/>
    <w:rsid w:val="00F51F78"/>
    <w:rsid w:val="00F53C9B"/>
    <w:rsid w:val="00F71CD7"/>
    <w:rsid w:val="00F73E80"/>
    <w:rsid w:val="00F82974"/>
    <w:rsid w:val="00F86412"/>
    <w:rsid w:val="00F86F47"/>
    <w:rsid w:val="00F90B64"/>
    <w:rsid w:val="00F91156"/>
    <w:rsid w:val="00F930E7"/>
    <w:rsid w:val="00FA0FC4"/>
    <w:rsid w:val="00FB1F13"/>
    <w:rsid w:val="00FB2F0F"/>
    <w:rsid w:val="00FB3D9E"/>
    <w:rsid w:val="00FB5086"/>
    <w:rsid w:val="00FB5411"/>
    <w:rsid w:val="00FB6392"/>
    <w:rsid w:val="00FC4F36"/>
    <w:rsid w:val="00FD3C70"/>
    <w:rsid w:val="00FD41E0"/>
    <w:rsid w:val="00FD6820"/>
    <w:rsid w:val="00FE12D8"/>
    <w:rsid w:val="00FE2064"/>
    <w:rsid w:val="00FF7C02"/>
    <w:rsid w:val="024801E3"/>
    <w:rsid w:val="03E0204E"/>
    <w:rsid w:val="093ABCC8"/>
    <w:rsid w:val="124938E0"/>
    <w:rsid w:val="1580D9A2"/>
    <w:rsid w:val="171CAA03"/>
    <w:rsid w:val="18B87A64"/>
    <w:rsid w:val="1A544AC5"/>
    <w:rsid w:val="225F5CAA"/>
    <w:rsid w:val="22788507"/>
    <w:rsid w:val="28D68BB4"/>
    <w:rsid w:val="2A6A6E8F"/>
    <w:rsid w:val="2C063EF0"/>
    <w:rsid w:val="35B50EBC"/>
    <w:rsid w:val="3C245040"/>
    <w:rsid w:val="3DC020A1"/>
    <w:rsid w:val="3DD1E1C7"/>
    <w:rsid w:val="49DD6DDE"/>
    <w:rsid w:val="55B98A16"/>
    <w:rsid w:val="5AE7549B"/>
    <w:rsid w:val="6136D2B7"/>
    <w:rsid w:val="64750E84"/>
    <w:rsid w:val="647B2B65"/>
    <w:rsid w:val="6A20B2C0"/>
    <w:rsid w:val="6B2CF8ED"/>
    <w:rsid w:val="6C802069"/>
    <w:rsid w:val="716552B2"/>
    <w:rsid w:val="7FAD02D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B7F2D"/>
    <w:pPr>
      <w:spacing w:after="120" w:line="288" w:lineRule="auto"/>
      <w:ind w:right="868"/>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CB7F2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3"/>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500749"/>
    <w:pPr>
      <w:numPr>
        <w:numId w:val="22"/>
      </w:numPr>
      <w:ind w:left="1661"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908A7"/>
    <w:pPr>
      <w:tabs>
        <w:tab w:val="right" w:leader="dot" w:pos="8779"/>
      </w:tabs>
      <w:spacing w:line="240" w:lineRule="auto"/>
      <w:ind w:left="993"/>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908A7"/>
    <w:pPr>
      <w:tabs>
        <w:tab w:val="right" w:leader="dot" w:pos="10132"/>
      </w:tabs>
      <w:ind w:left="993" w:right="1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00749"/>
    <w:pPr>
      <w:numPr>
        <w:numId w:val="23"/>
      </w:numPr>
      <w:ind w:left="1661"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5218AA"/>
    <w:rPr>
      <w:rFonts w:asciiTheme="minorHAnsi" w:hAnsiTheme="minorHAnsi" w:eastAsiaTheme="minorEastAsi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styleId="Rubrik7Char" w:customStyle="1">
    <w:name w:val="Rubrik 7 Char"/>
    <w:basedOn w:val="Standardstycketeckensnitt"/>
    <w:link w:val="Rubrik7"/>
    <w:uiPriority w:val="9"/>
    <w:semiHidden/>
    <w:rsid w:val="004F6DBB"/>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3D6756"/>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styleId="BrdtextChar" w:customStyle="1">
    <w:name w:val="Brödtext Char"/>
    <w:aliases w:val="(=Löpande text) Char"/>
    <w:basedOn w:val="Standardstycketeckensnitt"/>
    <w:link w:val="Brdtext"/>
    <w:rsid w:val="003D6756"/>
    <w:rPr>
      <w:sz w:val="24"/>
    </w:rPr>
  </w:style>
  <w:style w:type="paragraph" w:styleId="Tabell" w:customStyle="1">
    <w:name w:val="Tabell"/>
    <w:link w:val="TabellChar"/>
    <w:qFormat/>
    <w:rsid w:val="00B80F13"/>
    <w:pPr>
      <w:spacing w:line="288" w:lineRule="auto"/>
      <w:ind w:right="-142"/>
    </w:pPr>
    <w:rPr>
      <w:sz w:val="24"/>
      <w:szCs w:val="24"/>
    </w:rPr>
  </w:style>
  <w:style w:type="character" w:styleId="TabellChar" w:customStyle="1">
    <w:name w:val="Tabell Char"/>
    <w:basedOn w:val="Standardstycketeckensnitt"/>
    <w:link w:val="Tabell"/>
    <w:rsid w:val="00B80F1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pilgrimpress.se/produkt/dsm-5-i-kulturformuleringsintervju-kfi/"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1954-2147356004-1330/native/Handbok%20%c3%b6ppenv%c3%a5rd%202022%20Psykiatri%20Affektiva.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HS9766-305841775-246/SURROGATE/Suicidalitet%20hos%20vuxna%20-%20akut%20bed%c3%b6mning%2c%20handl%c3%a4ggning.pdf"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HS9766-305841775-223/SURROGATE/Basutrednig%20inom%20vuxenpsykiatrin.pdf"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Personlighetsutredning</dc:title>
  <dc:subject/>
  <dc:creator/>
  <keywords/>
  <lastModifiedBy>Malin Rex</lastModifiedBy>
  <revision>3</revision>
  <dcterms:created xsi:type="dcterms:W3CDTF">2022-04-19T05:13:00.0000000Z</dcterms:created>
  <dcterms:modified xsi:type="dcterms:W3CDTF">2022-12-13T12:44:02.0000000Z</dcterms:modified>
</coreProperties>
</file>