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001D7" w:rsidR="002D6C53" w:rsidP="006001D7" w:rsidRDefault="002D6C53" w14:paraId="18BC4209" w14:textId="77777777">
      <w:pPr>
        <w:sectPr w:rsidRPr="006001D7" w:rsidR="002D6C53" w:rsidSect="002D6C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6D2EF5" w:rsidP="006D2EF5" w:rsidRDefault="006D2EF5" w14:paraId="4F64AFCC" w14:textId="466C0CDB">
      <w:pPr>
        <w:pStyle w:val="Rubrik1"/>
      </w:pPr>
      <w:r>
        <w:t>Dokumentation av tvångsåtgärder</w:t>
      </w:r>
    </w:p>
    <w:p w:rsidR="006D2EF5" w:rsidP="006D2EF5" w:rsidRDefault="006D2EF5" w14:paraId="45A14768" w14:textId="30214DCD">
      <w:pPr>
        <w:pStyle w:val="Rubrik2"/>
      </w:pPr>
      <w:r w:rsidR="006D2EF5">
        <w:rPr/>
        <w:t>Förändringar sedan föregående version</w:t>
      </w:r>
    </w:p>
    <w:p w:rsidR="48B73E2B" w:rsidP="3A5441DC" w:rsidRDefault="48B73E2B" w14:paraId="43341DF3" w14:textId="62C65FB2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48B73E2B">
        <w:rPr/>
        <w:t>Tillägg att läkare förutom att dokumentera i beslutsöversikten även ska göra en daganteckning.</w:t>
      </w:r>
    </w:p>
    <w:p w:rsidRPr="002D6C53" w:rsidR="002D6C53" w:rsidP="006D2EF5" w:rsidRDefault="006D2EF5" w14:paraId="093E0553" w14:textId="745F0900">
      <w:pPr>
        <w:pStyle w:val="Rubrik2"/>
      </w:pPr>
      <w:r>
        <w:t>Bakgrund och s</w:t>
      </w:r>
      <w:r w:rsidRPr="002D6C53" w:rsidR="002D6C53">
        <w:t>yfte</w:t>
      </w:r>
    </w:p>
    <w:p w:rsidRPr="002D6C53" w:rsidR="002D6C53" w:rsidP="006D2EF5" w:rsidRDefault="00C06C91" w14:paraId="2B5F0184" w14:textId="57548E01">
      <w:r>
        <w:t xml:space="preserve">Rutinen syftar till att ge vägledning </w:t>
      </w:r>
      <w:r w:rsidR="008B6A57">
        <w:t>för att säkra att kraven på god vård uppfylls</w:t>
      </w:r>
      <w:r w:rsidR="006757ED">
        <w:t>. Tvångs</w:t>
      </w:r>
      <w:r w:rsidRPr="002D6C53" w:rsidR="002D6C53">
        <w:t xml:space="preserve">åtgärder enligt LPT måste av </w:t>
      </w:r>
      <w:r w:rsidR="00437AEE">
        <w:t>r</w:t>
      </w:r>
      <w:r w:rsidRPr="002D6C53" w:rsidR="002D6C53">
        <w:t>ätts</w:t>
      </w:r>
      <w:r w:rsidR="002F2DA5">
        <w:t>-</w:t>
      </w:r>
      <w:r w:rsidRPr="002D6C53" w:rsidR="002D6C53">
        <w:t>säkerhetsskäl kunna återfinnas i dokumentationen av aktuellt vårdtillfälle. Syftet med rutinen är att dokumentation av tvångsåtgärder ska ske på ett korrekt sätt</w:t>
      </w:r>
      <w:r w:rsidR="00CE1D97">
        <w:t xml:space="preserve"> i förhållande </w:t>
      </w:r>
      <w:r w:rsidR="006113D4">
        <w:t xml:space="preserve">till </w:t>
      </w:r>
      <w:hyperlink w:history="1" r:id="rId17">
        <w:r w:rsidRPr="00EF547D" w:rsidR="00EF547D">
          <w:rPr>
            <w:rStyle w:val="Hyperlnk"/>
          </w:rPr>
          <w:t>Patientdatalag (2008:355)</w:t>
        </w:r>
      </w:hyperlink>
      <w:r w:rsidR="00ED1B61">
        <w:t xml:space="preserve"> o</w:t>
      </w:r>
      <w:r w:rsidR="006113D4">
        <w:t xml:space="preserve">ch </w:t>
      </w:r>
      <w:hyperlink w:history="1" r:id="rId18">
        <w:r w:rsidRPr="00ED1B61" w:rsidR="00ED1B61">
          <w:rPr>
            <w:rStyle w:val="Hyperlnk"/>
          </w:rPr>
          <w:t>Förordning (1991:1472) om psykiatrisk tvångsvård och rättspsykiatrisk vård</w:t>
        </w:r>
      </w:hyperlink>
      <w:r w:rsidR="006113D4">
        <w:t>.</w:t>
      </w:r>
    </w:p>
    <w:p w:rsidRPr="002D6C53" w:rsidR="002D6C53" w:rsidP="006D2EF5" w:rsidRDefault="006D2EF5" w14:paraId="3E6BA17A" w14:textId="47744696">
      <w:pPr>
        <w:pStyle w:val="Rubrik2"/>
      </w:pPr>
      <w:r>
        <w:t>Utförande</w:t>
      </w:r>
    </w:p>
    <w:p w:rsidRPr="002D6C53" w:rsidR="002D6C53" w:rsidP="006D2EF5" w:rsidRDefault="002D6C53" w14:paraId="421EADB2" w14:textId="168C6B11">
      <w:r w:rsidRPr="002D6C53">
        <w:t xml:space="preserve">Den ansvariga </w:t>
      </w:r>
      <w:r w:rsidRPr="002D6C53">
        <w:rPr>
          <w:b/>
        </w:rPr>
        <w:t>sjuksköterska</w:t>
      </w:r>
      <w:r w:rsidRPr="002D6C53">
        <w:t xml:space="preserve"> som aktivt utför eller är arbetsledare vid en tvångsåtgärd dokumenterar i omvårdnadsrapport i Melior. På psykiatrisk akutmottagning görs dokumentationen i </w:t>
      </w:r>
      <w:r w:rsidRPr="00241EBE">
        <w:t xml:space="preserve">”Besök akutmottagning </w:t>
      </w:r>
      <w:proofErr w:type="spellStart"/>
      <w:r w:rsidRPr="00241EBE">
        <w:t>ssk</w:t>
      </w:r>
      <w:proofErr w:type="spellEnd"/>
      <w:r w:rsidRPr="00241EBE">
        <w:t>”.</w:t>
      </w:r>
    </w:p>
    <w:p w:rsidRPr="002D6C53" w:rsidR="002D6C53" w:rsidP="002D6C53" w:rsidRDefault="002D6C53" w14:paraId="2DFA607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D6C53" w:rsidR="002D6C53" w:rsidP="006D2EF5" w:rsidRDefault="002D6C53" w14:paraId="795407DA" w14:textId="77777777">
      <w:pPr>
        <w:pStyle w:val="Punktlista"/>
      </w:pPr>
      <w:r w:rsidRPr="002D6C53">
        <w:t>Bakgrund till behov av tvångsåtgärd</w:t>
      </w:r>
    </w:p>
    <w:p w:rsidRPr="002D6C53" w:rsidR="002D6C53" w:rsidP="006D2EF5" w:rsidRDefault="002D6C53" w14:paraId="27BE26BD" w14:textId="77777777">
      <w:pPr>
        <w:pStyle w:val="Punktlista"/>
      </w:pPr>
      <w:r w:rsidRPr="002D6C53">
        <w:t>Patientens aktuella status</w:t>
      </w:r>
    </w:p>
    <w:p w:rsidRPr="002D6C53" w:rsidR="002D6C53" w:rsidP="006D2EF5" w:rsidRDefault="002D6C53" w14:paraId="44E0F3E8" w14:textId="77777777">
      <w:pPr>
        <w:pStyle w:val="Punktlista"/>
      </w:pPr>
      <w:r w:rsidRPr="002D6C53">
        <w:t>Vårdform*</w:t>
      </w:r>
    </w:p>
    <w:p w:rsidRPr="002D6C53" w:rsidR="002D6C53" w:rsidP="006D2EF5" w:rsidRDefault="002D6C53" w14:paraId="04F9DD8E" w14:textId="77777777">
      <w:pPr>
        <w:pStyle w:val="Punktlista"/>
      </w:pPr>
      <w:r w:rsidRPr="002D6C53">
        <w:t>Namn på den läkare som kontaktats och som beslutat om tvångsåtgärden</w:t>
      </w:r>
    </w:p>
    <w:p w:rsidRPr="002D6C53" w:rsidR="002D6C53" w:rsidP="006D2EF5" w:rsidRDefault="002D6C53" w14:paraId="00B55500" w14:textId="77777777">
      <w:pPr>
        <w:pStyle w:val="Punktlista"/>
      </w:pPr>
      <w:r w:rsidRPr="002D6C53">
        <w:t>KVÅ kod</w:t>
      </w:r>
    </w:p>
    <w:p w:rsidRPr="002D6C53" w:rsidR="002D6C53" w:rsidP="002D6C53" w:rsidRDefault="002D6C53" w14:paraId="478A8E4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6D2EF5" w:rsidR="002D6C53" w:rsidP="006D2EF5" w:rsidRDefault="002D6C53" w14:paraId="298048BB" w14:textId="0A09DEE8">
      <w:r w:rsidRPr="006D2EF5">
        <w:lastRenderedPageBreak/>
        <w:t xml:space="preserve">Ansvarig sjuksköterska ska också dokumentera genomförd åtgärd i </w:t>
      </w:r>
      <w:hyperlink w:history="1" r:id="rId19">
        <w:r w:rsidRPr="00796870">
          <w:rPr>
            <w:rStyle w:val="Hyperlnk"/>
          </w:rPr>
          <w:t>rapportbladet</w:t>
        </w:r>
      </w:hyperlink>
      <w:r w:rsidRPr="00796870">
        <w:t xml:space="preserve"> och</w:t>
      </w:r>
      <w:r w:rsidRPr="006D2EF5">
        <w:t xml:space="preserve"> detta lämnas därefter till sekreterare.</w:t>
      </w:r>
    </w:p>
    <w:p w:rsidRPr="002D6C53" w:rsidR="002D6C53" w:rsidP="002D6C53" w:rsidRDefault="002D6C53" w14:paraId="3972E934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8E6F5C" w:rsidR="002D6C53" w:rsidP="008E6F5C" w:rsidRDefault="002D6C53" w14:paraId="486411F2" w14:textId="30193855">
      <w:r w:rsidRPr="002D6C53">
        <w:t>* OBS! Om patienten inte vårdas enligt LPT (frivillig vård eller LPT där intagningsbeslut inte tagits) kan beslut om tvångsåtgärd i allmänhet inte tas enligt LPT. Insatser som görs för att hindra att patienten skadar sig själv eller annan tas då enligt nödvärn/nödrätt. I undantagsfall kan tvångsåtgärder beslutas om och utföras</w:t>
      </w:r>
      <w:r w:rsidR="008E13E0">
        <w:t xml:space="preserve"> efter att kvarhållningsbeslut fatt</w:t>
      </w:r>
      <w:r w:rsidR="00812EC1">
        <w:t xml:space="preserve">as men </w:t>
      </w:r>
      <w:r w:rsidRPr="002D6C53">
        <w:t>innan intagningsbeslut</w:t>
      </w:r>
      <w:r w:rsidR="00812EC1">
        <w:t>. K</w:t>
      </w:r>
      <w:r w:rsidRPr="002D6C53">
        <w:t xml:space="preserve">varhållningsbeslut </w:t>
      </w:r>
      <w:r w:rsidR="00812EC1">
        <w:t>kan fattas av icke</w:t>
      </w:r>
      <w:r w:rsidRPr="002D6C53">
        <w:t xml:space="preserve"> legitimerad läkare. </w:t>
      </w:r>
      <w:r w:rsidR="00C5478B">
        <w:t xml:space="preserve">Beslut om tvångsåtgärder innan intagningsbeslut kan enbart fattas av legitimerad läkare i väntan på </w:t>
      </w:r>
      <w:r w:rsidR="009E363F">
        <w:t xml:space="preserve">att specialistläkare med </w:t>
      </w:r>
      <w:proofErr w:type="spellStart"/>
      <w:r w:rsidR="009E363F">
        <w:t>chöluppdrag</w:t>
      </w:r>
      <w:proofErr w:type="spellEnd"/>
      <w:r w:rsidR="009E363F">
        <w:t xml:space="preserve"> skyndsamt infinner sig. </w:t>
      </w:r>
      <w:r w:rsidRPr="002D6C53">
        <w:t>Omständigheter kring vårdform ska anges tydligt och tvångsåtgärder enligt nödvärn/nödrätt ska alltid föranleda omedelbar kontakt med ansvarig läkare för ställningstagande till om vården ska ges enligt LPT.</w:t>
      </w:r>
    </w:p>
    <w:p w:rsidRPr="008E6F5C" w:rsidR="002D6C53" w:rsidP="008E6F5C" w:rsidRDefault="002D6C53" w14:paraId="2AC712CC" w14:textId="3D174C79">
      <w:r w:rsidRPr="002D6C53">
        <w:t xml:space="preserve">Efter genomförd tvångsåtgärd ska ansvarig </w:t>
      </w:r>
      <w:r w:rsidRPr="002D6C53">
        <w:rPr>
          <w:b/>
        </w:rPr>
        <w:t>sjuksköterska</w:t>
      </w:r>
      <w:r w:rsidRPr="002D6C53">
        <w:t xml:space="preserve"> följa upp dokumentationen genom att efter det att insatsen avslutats dokumentera i omvårdnadsrapport i Melior.</w:t>
      </w:r>
    </w:p>
    <w:p w:rsidRPr="002D6C53" w:rsidR="002D6C53" w:rsidP="008E6F5C" w:rsidRDefault="002D6C53" w14:paraId="3228ED7C" w14:textId="77777777">
      <w:pPr>
        <w:pStyle w:val="Punktlista"/>
      </w:pPr>
      <w:r w:rsidRPr="002D6C53">
        <w:t>Bedömning av om insatsen ledde till önskat resultat</w:t>
      </w:r>
    </w:p>
    <w:p w:rsidRPr="002D6C53" w:rsidR="002D6C53" w:rsidP="008E6F5C" w:rsidRDefault="002D6C53" w14:paraId="672B6B90" w14:textId="77777777">
      <w:pPr>
        <w:pStyle w:val="Punktlista"/>
      </w:pPr>
      <w:r w:rsidRPr="002D6C53">
        <w:t>Patientens aktuella status</w:t>
      </w:r>
    </w:p>
    <w:p w:rsidR="002D6C53" w:rsidP="008E6F5C" w:rsidRDefault="002D6C53" w14:paraId="77B97A6E" w14:textId="3B2A445D">
      <w:pPr>
        <w:pStyle w:val="Punktlista"/>
      </w:pPr>
      <w:r w:rsidRPr="002D6C53">
        <w:t>Planering för uppföljande samtal med patienten</w:t>
      </w:r>
    </w:p>
    <w:p w:rsidRPr="008E6F5C" w:rsidR="008E6F5C" w:rsidP="008E6F5C" w:rsidRDefault="008E6F5C" w14:paraId="6731734C" w14:textId="77777777">
      <w:pPr>
        <w:pStyle w:val="Punktlista"/>
        <w:numPr>
          <w:ilvl w:val="0"/>
          <w:numId w:val="0"/>
        </w:numPr>
        <w:ind w:left="1712"/>
      </w:pPr>
    </w:p>
    <w:p w:rsidRPr="002D6C53" w:rsidR="002D6C53" w:rsidP="008E6F5C" w:rsidRDefault="002D6C53" w14:paraId="219ACE64" w14:textId="05B6C2B9">
      <w:r w:rsidR="002D6C53">
        <w:rPr/>
        <w:t xml:space="preserve">Den </w:t>
      </w:r>
      <w:r w:rsidRPr="3A5441DC" w:rsidR="002D6C53">
        <w:rPr>
          <w:b w:val="1"/>
          <w:bCs w:val="1"/>
        </w:rPr>
        <w:t>läkare</w:t>
      </w:r>
      <w:r w:rsidR="002D6C53">
        <w:rPr/>
        <w:t xml:space="preserve"> som beslutar om tvångsåtgärden dokumenterar i beslutsöversikten</w:t>
      </w:r>
      <w:r w:rsidR="001A3651">
        <w:rPr/>
        <w:t xml:space="preserve"> </w:t>
      </w:r>
      <w:r w:rsidR="1F9139B3">
        <w:rPr/>
        <w:t xml:space="preserve">samt daganteckning </w:t>
      </w:r>
      <w:r w:rsidR="001A3651">
        <w:rPr/>
        <w:t xml:space="preserve">genom diktat, inte genom att själv skriva eller använda taligenkänning. </w:t>
      </w:r>
      <w:r w:rsidR="002D6C53">
        <w:rPr/>
        <w:t xml:space="preserve">Detta gäller även bakjour, diktat kan då genomföras nästkommande vardag. </w:t>
      </w:r>
    </w:p>
    <w:p w:rsidRPr="002D6C53" w:rsidR="002D6C53" w:rsidP="008E6F5C" w:rsidRDefault="002D6C53" w14:paraId="4AEC92B1" w14:textId="77777777">
      <w:pPr>
        <w:pStyle w:val="Punktlista"/>
      </w:pPr>
      <w:r w:rsidRPr="002D6C53">
        <w:t>Datum och tid för beslut</w:t>
      </w:r>
    </w:p>
    <w:p w:rsidRPr="002D6C53" w:rsidR="002D6C53" w:rsidP="008E6F5C" w:rsidRDefault="002D6C53" w14:paraId="70C46B43" w14:textId="77777777">
      <w:pPr>
        <w:pStyle w:val="Punktlista"/>
      </w:pPr>
      <w:r w:rsidRPr="002D6C53">
        <w:t>Enligt vilken paragraf beslutet är fattat</w:t>
      </w:r>
    </w:p>
    <w:p w:rsidRPr="002D6C53" w:rsidR="002D6C53" w:rsidP="008E6F5C" w:rsidRDefault="002D6C53" w14:paraId="3A53D6D0" w14:textId="77777777">
      <w:pPr>
        <w:pStyle w:val="Punktlista"/>
      </w:pPr>
      <w:r w:rsidRPr="002D6C53">
        <w:t>Läkare dokumenterar vilka omständigheter, skäl och den bedömning som föranleder beslutet om tvångsåtgärd i aktiviteten Daganteckning under relevanta sökord för tvångsåtgärder.</w:t>
      </w:r>
    </w:p>
    <w:p w:rsidRPr="002D6C53" w:rsidR="002D6C53" w:rsidP="008E6F5C" w:rsidRDefault="002D6C53" w14:paraId="3D64AB93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2D6C53" w:rsidR="002D6C53" w:rsidP="008E6F5C" w:rsidRDefault="002D6C53" w14:paraId="5A170137" w14:textId="77777777">
      <w:r w:rsidRPr="002D6C53">
        <w:rPr>
          <w:b/>
        </w:rPr>
        <w:t>Läkaren</w:t>
      </w:r>
      <w:r w:rsidRPr="002D6C53">
        <w:t xml:space="preserve"> ansvarar dessutom för </w:t>
      </w:r>
    </w:p>
    <w:p w:rsidRPr="002D6C53" w:rsidR="002D6C53" w:rsidP="008E6F5C" w:rsidRDefault="002D6C53" w14:paraId="0AE6E423" w14:textId="77777777">
      <w:pPr>
        <w:pStyle w:val="Punktlista"/>
      </w:pPr>
      <w:r w:rsidRPr="002D6C53">
        <w:t>Att underrättelse till IVO skickats om tvångsåtgärden i de fall detta krävs (till exempel fastspänning i mer än fyra timmar)</w:t>
      </w:r>
    </w:p>
    <w:p w:rsidRPr="002D6C53" w:rsidR="002D6C53" w:rsidP="008E6F5C" w:rsidRDefault="002D6C53" w14:paraId="56CABF72" w14:textId="77777777">
      <w:pPr>
        <w:pStyle w:val="Punktlista"/>
      </w:pPr>
      <w:r w:rsidRPr="002D6C53">
        <w:lastRenderedPageBreak/>
        <w:t>Att beslut som tas i enlighet med andra lagar än LPT dokumenteras på korrekt sätt (till exempel besöksinskränkningar, detta beslut tas av verksamhetschef)</w:t>
      </w:r>
    </w:p>
    <w:p w:rsidRPr="008E6F5C" w:rsidR="002D6C53" w:rsidP="008E6F5C" w:rsidRDefault="002D6C53" w14:paraId="7088304E" w14:textId="7046DDE1">
      <w:pPr>
        <w:pStyle w:val="MellanrubrikVGR"/>
      </w:pPr>
      <w:r w:rsidRPr="002D6C53">
        <w:t>Ansvar</w:t>
      </w:r>
    </w:p>
    <w:p w:rsidRPr="002D6C53" w:rsidR="002D6C53" w:rsidP="008E6F5C" w:rsidRDefault="002D6C53" w14:paraId="33B21C7E" w14:textId="77777777">
      <w:r w:rsidRPr="002D6C53">
        <w:t>Verksamhetschef ansvarar för att rutinen finns och följer gällande författningar/lagar.</w:t>
      </w:r>
    </w:p>
    <w:p w:rsidRPr="008E6F5C" w:rsidR="002D6C53" w:rsidP="008E6F5C" w:rsidRDefault="002D6C53" w14:paraId="24D48501" w14:textId="30DE0907">
      <w:r w:rsidRPr="002D6C53">
        <w:t>VEC/SEC/sektionsledare ansvarar för spridning och implementering av rutinen. Varje medarbetare ansvar för att följa rutinen.</w:t>
      </w:r>
    </w:p>
    <w:p w:rsidRPr="002D6C53" w:rsidR="002D6C53" w:rsidP="008E6F5C" w:rsidRDefault="002D6C53" w14:paraId="07FF2D3E" w14:textId="7B977CB9">
      <w:pPr>
        <w:pStyle w:val="MellanrubrikVGR"/>
      </w:pPr>
      <w:r w:rsidRPr="002D6C53">
        <w:t>Uppföljning</w:t>
      </w:r>
    </w:p>
    <w:p w:rsidRPr="002D6C53" w:rsidR="002D6C53" w:rsidP="008E6F5C" w:rsidRDefault="002D6C53" w14:paraId="637747A3" w14:textId="77777777">
      <w:r w:rsidRPr="002D6C53">
        <w:t xml:space="preserve">Verksamhetschef ansvarar för uppföljning/revision av innehållet i rutinen. </w:t>
      </w:r>
    </w:p>
    <w:p w:rsidRPr="002D6C53" w:rsidR="002D6C53" w:rsidP="008E6F5C" w:rsidRDefault="002D6C53" w14:paraId="7204272E" w14:textId="77777777">
      <w:r w:rsidRPr="002D6C53">
        <w:t xml:space="preserve">Medvetet avsteg från rutinen dokumenteras i Melior. Övriga orsaker till avsteg från rutinen rapporteras i </w:t>
      </w:r>
      <w:proofErr w:type="spellStart"/>
      <w:r w:rsidRPr="002D6C53">
        <w:t>MedControl</w:t>
      </w:r>
      <w:proofErr w:type="spellEnd"/>
      <w:r w:rsidRPr="002D6C53">
        <w:t xml:space="preserve"> PRO.</w:t>
      </w:r>
    </w:p>
    <w:p w:rsidRPr="002D6C53" w:rsidR="002D6C53" w:rsidP="002D6C53" w:rsidRDefault="002D6C53" w14:paraId="2460104A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D6C53" w:rsidR="002D6C53" w:rsidP="008E6F5C" w:rsidRDefault="002D6C53" w14:paraId="145DB509" w14:textId="77777777">
      <w:pPr>
        <w:pStyle w:val="Rubrik2"/>
      </w:pPr>
      <w:r w:rsidRPr="002D6C53">
        <w:t>Relaterad information</w:t>
      </w:r>
    </w:p>
    <w:p w:rsidR="00E003C0" w:rsidP="008E6F5C" w:rsidRDefault="00E003C0" w14:paraId="284D803C" w14:textId="1AC783AA">
      <w:pPr>
        <w:rPr>
          <w:rStyle w:val="Hyperlnk"/>
        </w:rPr>
      </w:pPr>
      <w:hyperlink w:history="1" r:id="rId20">
        <w:r w:rsidRPr="00E003C0">
          <w:rPr>
            <w:rStyle w:val="Hyperlnk"/>
          </w:rPr>
          <w:t>Lag (1991:1128) om psykiatrisk tvångsvård | Sveriges riksdag</w:t>
        </w:r>
      </w:hyperlink>
    </w:p>
    <w:p w:rsidR="004C7FF9" w:rsidP="008E6F5C" w:rsidRDefault="00EF547D" w14:paraId="26A4FCC7" w14:textId="6F0F638B">
      <w:hyperlink w:history="1" r:id="rId21">
        <w:r w:rsidRPr="00EF547D">
          <w:rPr>
            <w:rStyle w:val="Hyperlnk"/>
          </w:rPr>
          <w:t>Patientdatalag (2008:355) | Sveriges riksdag</w:t>
        </w:r>
      </w:hyperlink>
    </w:p>
    <w:p w:rsidR="00ED1B61" w:rsidP="008E6F5C" w:rsidRDefault="00ED1B61" w14:paraId="23BD191F" w14:textId="11702CF4">
      <w:hyperlink w:history="1" r:id="rId22">
        <w:r w:rsidRPr="00ED1B61">
          <w:rPr>
            <w:rStyle w:val="Hyperlnk"/>
          </w:rPr>
          <w:t>Förordning (1991:1472) om psykiatrisk tvångsvård och rättspsykiatrisk vård | Sveriges riksdag</w:t>
        </w:r>
      </w:hyperlink>
    </w:p>
    <w:p w:rsidRPr="00BD7035" w:rsidR="002857EA" w:rsidP="002857EA" w:rsidRDefault="002857EA" w14:paraId="74D8666E" w14:textId="77777777">
      <w:r w:rsidRPr="00BD7035">
        <w:t xml:space="preserve">Rutin </w:t>
      </w:r>
      <w:hyperlink w:history="1" r:id="rId23">
        <w:r w:rsidRPr="00BD7035">
          <w:rPr>
            <w:rStyle w:val="Hyperlnk"/>
          </w:rPr>
          <w:t>Hot och våld i psykiatrisk vård</w:t>
        </w:r>
      </w:hyperlink>
    </w:p>
    <w:p w:rsidRPr="00BD7035" w:rsidR="002857EA" w:rsidP="002857EA" w:rsidRDefault="002857EA" w14:paraId="2CDE8AEA" w14:textId="77777777">
      <w:r w:rsidRPr="00BD7035">
        <w:t xml:space="preserve">Rutin </w:t>
      </w:r>
      <w:hyperlink w:history="1" r:id="rId24">
        <w:r w:rsidRPr="00BD7035">
          <w:rPr>
            <w:rStyle w:val="Hyperlnk"/>
          </w:rPr>
          <w:t>Fastspänning med bälte</w:t>
        </w:r>
      </w:hyperlink>
    </w:p>
    <w:p w:rsidR="002857EA" w:rsidP="002857EA" w:rsidRDefault="002857EA" w14:paraId="7083FDB5" w14:textId="77777777">
      <w:pPr>
        <w:rPr>
          <w:rStyle w:val="Hyperlnk"/>
        </w:rPr>
      </w:pPr>
      <w:r w:rsidRPr="00BD7035">
        <w:t xml:space="preserve">Rutin </w:t>
      </w:r>
      <w:hyperlink w:history="1" r:id="rId25">
        <w:r w:rsidRPr="00BD7035">
          <w:rPr>
            <w:rStyle w:val="Hyperlnk"/>
          </w:rPr>
          <w:t>LPT – lagen om psykiatrisk tvångsvård</w:t>
        </w:r>
      </w:hyperlink>
    </w:p>
    <w:p w:rsidRPr="00BD7035" w:rsidR="002857EA" w:rsidP="008E6F5C" w:rsidRDefault="002857EA" w14:paraId="5A43C48E" w14:textId="40CC29A9">
      <w:hyperlink w:history="1" r:id="rId26">
        <w:r w:rsidRPr="002857EA">
          <w:rPr>
            <w:rStyle w:val="Hyperlnk"/>
          </w:rPr>
          <w:t>Rapportblad över åtgärder enligt LPT eller LRV</w:t>
        </w:r>
      </w:hyperlink>
    </w:p>
    <w:p w:rsidR="00CD79AB" w:rsidP="00C52822" w:rsidRDefault="00C52822" w14:paraId="0A030A46" w14:textId="77777777">
      <w:pPr>
        <w:pStyle w:val="Rubrik2"/>
      </w:pPr>
      <w:r>
        <w:t xml:space="preserve">Utdrag ur </w:t>
      </w:r>
      <w:r w:rsidRPr="00C52822">
        <w:t xml:space="preserve">baslista för KVÅ i psykiatrisk </w:t>
      </w:r>
      <w:r w:rsidR="00CD79AB">
        <w:t>slutenvård.</w:t>
      </w:r>
    </w:p>
    <w:p w:rsidR="009D13CB" w:rsidP="00CD79AB" w:rsidRDefault="00CD79AB" w14:paraId="0EDAE7AA" w14:textId="78C0A785">
      <w:r>
        <w:t>G</w:t>
      </w:r>
      <w:r w:rsidRPr="00CD79AB" w:rsidR="00C52822">
        <w:t>äll</w:t>
      </w:r>
      <w:r>
        <w:t>er</w:t>
      </w:r>
      <w:r w:rsidRPr="00CD79AB" w:rsidR="00C52822">
        <w:t xml:space="preserve"> fr.o.m. 2023-01-01, publicerad på socialstyrelsen.se</w:t>
      </w:r>
      <w:r>
        <w:t>.</w:t>
      </w:r>
    </w:p>
    <w:p w:rsidR="009D13CB" w:rsidP="002D6C53" w:rsidRDefault="009D13CB" w14:paraId="30476916" w14:textId="77777777">
      <w:pPr>
        <w:spacing w:after="0" w:line="240" w:lineRule="auto"/>
        <w:ind w:left="0" w:right="0"/>
      </w:pPr>
    </w:p>
    <w:tbl>
      <w:tblPr>
        <w:tblpPr w:leftFromText="141" w:rightFromText="141" w:vertAnchor="text" w:tblpY="1"/>
        <w:tblOverlap w:val="never"/>
        <w:tblW w:w="918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</w:tblBorders>
        <w:tblLayout w:type="fixed"/>
        <w:tblLook w:val="0000" w:firstRow="0" w:lastRow="0" w:firstColumn="0" w:lastColumn="0" w:noHBand="0" w:noVBand="0"/>
      </w:tblPr>
      <w:tblGrid>
        <w:gridCol w:w="3369"/>
        <w:gridCol w:w="59"/>
        <w:gridCol w:w="5726"/>
        <w:gridCol w:w="26"/>
      </w:tblGrid>
      <w:tr w:rsidR="009D13CB" w:rsidTr="009C0178" w14:paraId="5C459D6C" w14:textId="77777777">
        <w:trPr>
          <w:trHeight w:val="10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03793728" w14:textId="7777777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Åtgärder enligt LPT eller LRV </w:t>
            </w:r>
          </w:p>
        </w:tc>
      </w:tr>
      <w:tr w:rsidR="009D13CB" w:rsidTr="009C0178" w14:paraId="3E8BD430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75B5124C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Kvarhållning </w:t>
            </w:r>
          </w:p>
        </w:tc>
      </w:tr>
      <w:tr w:rsidR="009D13CB" w:rsidTr="009C0178" w14:paraId="2976A535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1558028B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XU047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6C663E7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Kvarhållning enligt lagen om psykiatrisk tvångsvård </w:t>
            </w:r>
          </w:p>
        </w:tc>
      </w:tr>
      <w:tr w:rsidR="009D13CB" w:rsidTr="009C0178" w14:paraId="48F233CE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47ACBD97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Ändrad psykiatrisk vårdform (konvertering) </w:t>
            </w:r>
          </w:p>
        </w:tc>
      </w:tr>
      <w:tr w:rsidR="009D13CB" w:rsidTr="009C0178" w14:paraId="779859AB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0EBA398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XU043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193DEC2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Överföring från frivillig sluten vård till sluten psykiatrisk tvångsvård </w:t>
            </w:r>
          </w:p>
        </w:tc>
      </w:tr>
      <w:tr w:rsidR="009D13CB" w:rsidTr="009C0178" w14:paraId="4A664594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2AB4F15B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XU044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A9BE9D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Överföring från rättspsykiatrisk vård till psykiatrisk tvångsvård </w:t>
            </w:r>
          </w:p>
        </w:tc>
      </w:tr>
      <w:tr w:rsidR="009D13CB" w:rsidTr="009C0178" w14:paraId="0FF6C60E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50881768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Upprättande/revidering av vårdplan vid tvångsvård </w:t>
            </w:r>
          </w:p>
        </w:tc>
      </w:tr>
      <w:tr w:rsidR="009D13CB" w:rsidTr="009C0178" w14:paraId="20294C57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0918AF5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XU041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130ACB6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Upprättande av vårdplan vid tvångsvård </w:t>
            </w:r>
          </w:p>
        </w:tc>
      </w:tr>
      <w:tr w:rsidR="009D13CB" w:rsidTr="009C0178" w14:paraId="6437386D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6B6261FF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XU042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38565CE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Upprättande av samordnad vårdplan vid tvångsvård </w:t>
            </w:r>
          </w:p>
        </w:tc>
      </w:tr>
      <w:tr w:rsidR="009D13CB" w:rsidTr="009C0178" w14:paraId="05A102A6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357C890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Behandling med stöd av fasthållande </w:t>
            </w:r>
          </w:p>
        </w:tc>
      </w:tr>
      <w:tr w:rsidR="009D13CB" w:rsidTr="009C0178" w14:paraId="16AE9BE3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0CEF438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XU023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1FDF50C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Läkemedelstillförsel utförd med stöd av fasthållande </w:t>
            </w:r>
          </w:p>
        </w:tc>
      </w:tr>
      <w:tr w:rsidR="009D13CB" w:rsidTr="009C0178" w14:paraId="7B3C08FA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439F14B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XU024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48EB056D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Anläggning av sond och/eller sondmatning utförd med stöd av fasthållande </w:t>
            </w:r>
          </w:p>
        </w:tc>
      </w:tr>
      <w:tr w:rsidR="009D13CB" w:rsidTr="009C0178" w14:paraId="32FC74E7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49314B9E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XU025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032EBC5A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(ECT), unilateral, utförd med stöd av fasthållande </w:t>
            </w:r>
          </w:p>
        </w:tc>
      </w:tr>
      <w:tr w:rsidR="009D13CB" w:rsidTr="009C0178" w14:paraId="41EA1D17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1A1DA23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XU026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DE47F07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(ECT), bilateral, utförd med stöd av fasthållande </w:t>
            </w:r>
          </w:p>
        </w:tc>
      </w:tr>
      <w:tr w:rsidR="009D13CB" w:rsidTr="009C0178" w14:paraId="0ACD33A0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4D6AC469" w14:textId="7777777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13FDCDCF" w14:textId="77777777">
            <w:pPr>
              <w:pStyle w:val="Default"/>
              <w:rPr>
                <w:sz w:val="20"/>
                <w:szCs w:val="20"/>
              </w:rPr>
            </w:pPr>
          </w:p>
        </w:tc>
      </w:tr>
      <w:tr w:rsidR="009D13CB" w:rsidTr="009C0178" w14:paraId="3E558154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7D424827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XU027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2D707DC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(ECT), UNS, utförd med stöd av fasthållande </w:t>
            </w:r>
          </w:p>
        </w:tc>
      </w:tr>
      <w:tr w:rsidR="009D13CB" w:rsidTr="009C0178" w14:paraId="0710137F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714F377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Behandling med stöd av fastspänning </w:t>
            </w:r>
          </w:p>
        </w:tc>
      </w:tr>
      <w:tr w:rsidR="009D13CB" w:rsidTr="009C0178" w14:paraId="38293F07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0EC8B067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XU033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44241AE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Läkemedelstillförsel utförd med stöd av fastspänning </w:t>
            </w:r>
          </w:p>
        </w:tc>
      </w:tr>
      <w:tr w:rsidR="009D13CB" w:rsidTr="009C0178" w14:paraId="51BBE323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2163B5F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XU034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094907C6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Anläggning av sond och/eller sondmatning utförd med stöd av fastspänning </w:t>
            </w:r>
          </w:p>
        </w:tc>
      </w:tr>
      <w:tr w:rsidR="009D13CB" w:rsidTr="009C0178" w14:paraId="11C7ABF7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005960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XU035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61584122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(ECT), unilateral, utförd med stöd av fastspänning </w:t>
            </w:r>
          </w:p>
        </w:tc>
      </w:tr>
      <w:tr w:rsidR="009D13CB" w:rsidTr="009C0178" w14:paraId="5ACC9D6B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41CEAD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XU036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468FD5C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(ECT), bilateral, utförd med stöd av fastspänning </w:t>
            </w:r>
          </w:p>
        </w:tc>
      </w:tr>
      <w:tr w:rsidR="009D13CB" w:rsidTr="009C0178" w14:paraId="1C3D0F7F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76BFFA6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XU037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3DF5DD71" w14:textId="77777777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Elektrokonvulsiv</w:t>
            </w:r>
            <w:proofErr w:type="spellEnd"/>
            <w:r>
              <w:rPr>
                <w:sz w:val="20"/>
                <w:szCs w:val="20"/>
              </w:rPr>
              <w:t xml:space="preserve"> terapi (ECT) UNS utförd med stöd av fastspänning </w:t>
            </w:r>
          </w:p>
        </w:tc>
      </w:tr>
      <w:tr w:rsidR="009D13CB" w:rsidTr="009C0178" w14:paraId="1C4BB064" w14:textId="77777777">
        <w:trPr>
          <w:trHeight w:val="95"/>
        </w:trPr>
        <w:tc>
          <w:tcPr>
            <w:tcW w:w="9180" w:type="dxa"/>
            <w:gridSpan w:val="4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6D882DA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Fastspänning </w:t>
            </w:r>
          </w:p>
        </w:tc>
      </w:tr>
      <w:tr w:rsidR="009D13CB" w:rsidTr="009C0178" w14:paraId="497F01F8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1EBAAEA4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XU000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ACA99E6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Fastspänning av vuxen patient upp till och med 4 timmar </w:t>
            </w:r>
          </w:p>
        </w:tc>
      </w:tr>
      <w:tr w:rsidR="009D13CB" w:rsidTr="009C0178" w14:paraId="36DF5815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287B52D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XU003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1E261AD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Fastspänning i mer än 4 timmar men mindre än 72 timmar </w:t>
            </w:r>
          </w:p>
        </w:tc>
      </w:tr>
      <w:tr w:rsidR="009D13CB" w:rsidTr="009C0178" w14:paraId="591D13DB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142F226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XU004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0507172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Fastspänning i 72 timmar eller mer </w:t>
            </w:r>
          </w:p>
        </w:tc>
      </w:tr>
      <w:tr w:rsidR="009D13CB" w:rsidTr="009C0178" w14:paraId="19D77486" w14:textId="77777777">
        <w:trPr>
          <w:trHeight w:val="95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4B8F92B2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XU007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DFBA43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Fastspänning av minderårig patient upp till och med 1 timme </w:t>
            </w:r>
          </w:p>
        </w:tc>
      </w:tr>
      <w:tr w:rsidR="009D13CB" w:rsidTr="009C0178" w14:paraId="49B67122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799E0866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XU008 </w:t>
            </w: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3EB53B7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Fastspänning av minderårig patient i mer än 1 och högst 4 timmar </w:t>
            </w:r>
          </w:p>
        </w:tc>
      </w:tr>
      <w:tr w:rsidR="009D13CB" w:rsidTr="009C0178" w14:paraId="3B11CE0B" w14:textId="77777777">
        <w:trPr>
          <w:trHeight w:val="219"/>
        </w:trPr>
        <w:tc>
          <w:tcPr>
            <w:tcW w:w="3428" w:type="dxa"/>
            <w:gridSpan w:val="2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771F14B1" w14:textId="7777777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5752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E69C75A" w14:textId="77777777">
            <w:pPr>
              <w:pStyle w:val="Default"/>
              <w:rPr>
                <w:sz w:val="20"/>
                <w:szCs w:val="20"/>
              </w:rPr>
            </w:pPr>
          </w:p>
        </w:tc>
      </w:tr>
      <w:tr w:rsidR="009D13CB" w:rsidTr="009C0178" w14:paraId="4C8A195D" w14:textId="77777777">
        <w:trPr>
          <w:gridAfter w:val="1"/>
          <w:wAfter w:w="26" w:type="dxa"/>
          <w:trHeight w:val="95"/>
        </w:trPr>
        <w:tc>
          <w:tcPr>
            <w:tcW w:w="9154" w:type="dxa"/>
            <w:gridSpan w:val="3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351A49B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Avskiljande </w:t>
            </w:r>
          </w:p>
        </w:tc>
      </w:tr>
      <w:tr w:rsidR="009D13CB" w:rsidTr="009C0178" w14:paraId="175532A2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68FBED9C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XU010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23D757EF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av vuxen patient upp till och med 8 timmar </w:t>
            </w:r>
          </w:p>
        </w:tc>
      </w:tr>
      <w:tr w:rsidR="009D13CB" w:rsidTr="009C0178" w14:paraId="06AAD46C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A843D47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XU012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E2FB11E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i mer än 8 timmar men mindre än 72 timmar </w:t>
            </w:r>
          </w:p>
        </w:tc>
      </w:tr>
      <w:tr w:rsidR="009D13CB" w:rsidTr="009C0178" w14:paraId="23092266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62A3E4E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XU014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4491A8E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i minst 72 timmar men mindre än 15 dagar </w:t>
            </w:r>
          </w:p>
        </w:tc>
      </w:tr>
      <w:tr w:rsidR="009D13CB" w:rsidTr="009C0178" w14:paraId="48A3EDBE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079684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XU015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3CA2B26E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i minst 15 men mindre än 30 dagar </w:t>
            </w:r>
          </w:p>
        </w:tc>
      </w:tr>
      <w:tr w:rsidR="009D13CB" w:rsidTr="009C0178" w14:paraId="3858E1BD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53E46C5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XU016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7D1C0E2D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som pågått i 30 dagar </w:t>
            </w:r>
          </w:p>
        </w:tc>
      </w:tr>
      <w:tr w:rsidR="009D13CB" w:rsidTr="009C0178" w14:paraId="54EC17EE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44D8E03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XU017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4F1E3535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av minderårig patient upp till och med 2 timmar </w:t>
            </w:r>
          </w:p>
        </w:tc>
      </w:tr>
      <w:tr w:rsidR="009D13CB" w:rsidTr="009C0178" w14:paraId="091DB81C" w14:textId="77777777">
        <w:trPr>
          <w:gridAfter w:val="1"/>
          <w:wAfter w:w="26" w:type="dxa"/>
          <w:trHeight w:val="219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005EF1F6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XU018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5751E71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Avskiljande av minderårig patient i mer än 2 och högst 8 timmar </w:t>
            </w:r>
          </w:p>
        </w:tc>
      </w:tr>
      <w:tr w:rsidR="009D13CB" w:rsidTr="009C0178" w14:paraId="5659F99C" w14:textId="77777777">
        <w:trPr>
          <w:gridAfter w:val="1"/>
          <w:wAfter w:w="26" w:type="dxa"/>
          <w:trHeight w:val="95"/>
        </w:trPr>
        <w:tc>
          <w:tcPr>
            <w:tcW w:w="9154" w:type="dxa"/>
            <w:gridSpan w:val="3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542CD0F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Inskränkningar rörande kommunikation och försändelser </w:t>
            </w:r>
          </w:p>
        </w:tc>
      </w:tr>
      <w:tr w:rsidR="009D13CB" w:rsidTr="009C0178" w14:paraId="1F01FA6D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54C9BA0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XU030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9F17428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Inskränkande av elektronisk kommunikation vid tvångsvård </w:t>
            </w:r>
          </w:p>
        </w:tc>
      </w:tr>
      <w:tr w:rsidR="009D13CB" w:rsidTr="009C0178" w14:paraId="1EEE3C30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29F0DD8C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XU031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1870154F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Undersökning av försändelser till patient vid tvångsvård </w:t>
            </w:r>
          </w:p>
        </w:tc>
      </w:tr>
      <w:tr w:rsidR="009D13CB" w:rsidTr="009C0178" w14:paraId="21515982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487B1A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XU032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54B7916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Övervakning av försändelser från patient vid tvångsvård </w:t>
            </w:r>
          </w:p>
        </w:tc>
      </w:tr>
      <w:tr w:rsidR="009D13CB" w:rsidTr="009C0178" w14:paraId="5FD24D6D" w14:textId="77777777">
        <w:trPr>
          <w:gridAfter w:val="1"/>
          <w:wAfter w:w="26" w:type="dxa"/>
          <w:trHeight w:val="95"/>
        </w:trPr>
        <w:tc>
          <w:tcPr>
            <w:tcW w:w="9154" w:type="dxa"/>
            <w:gridSpan w:val="3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48E3A233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Kroppsvisitation och ytlig kroppsbesiktning </w:t>
            </w:r>
          </w:p>
        </w:tc>
      </w:tr>
      <w:tr w:rsidR="009D13CB" w:rsidTr="009C0178" w14:paraId="6646A7D5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21F132B4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XU060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3D32F0A4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Kroppsvisitation </w:t>
            </w:r>
          </w:p>
        </w:tc>
      </w:tr>
      <w:tr w:rsidR="009D13CB" w:rsidTr="009C0178" w14:paraId="0E2A72E1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3FA17191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XU061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2F8EA3B0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Ytlig kroppsbesiktning </w:t>
            </w:r>
          </w:p>
        </w:tc>
      </w:tr>
      <w:tr w:rsidR="009D13CB" w:rsidTr="009C0178" w14:paraId="6196990F" w14:textId="77777777">
        <w:trPr>
          <w:gridAfter w:val="1"/>
          <w:wAfter w:w="26" w:type="dxa"/>
          <w:trHeight w:val="95"/>
        </w:trPr>
        <w:tc>
          <w:tcPr>
            <w:tcW w:w="9154" w:type="dxa"/>
            <w:gridSpan w:val="3"/>
            <w:tcBorders>
              <w:top w:val="none" w:color="auto" w:sz="6" w:space="0"/>
              <w:bottom w:val="none" w:color="auto" w:sz="6" w:space="0"/>
            </w:tcBorders>
          </w:tcPr>
          <w:p w:rsidR="009D13CB" w:rsidP="009C0178" w:rsidRDefault="009D13CB" w14:paraId="0D85D059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Uppföljningssamtal efter tvångsåtgärd </w:t>
            </w:r>
          </w:p>
        </w:tc>
      </w:tr>
      <w:tr w:rsidR="009D13CB" w:rsidTr="009C0178" w14:paraId="3EE9D29E" w14:textId="77777777">
        <w:trPr>
          <w:gridAfter w:val="1"/>
          <w:wAfter w:w="26" w:type="dxa"/>
          <w:trHeight w:val="95"/>
        </w:trPr>
        <w:tc>
          <w:tcPr>
            <w:tcW w:w="3369" w:type="dxa"/>
            <w:tcBorders>
              <w:top w:val="none" w:color="auto" w:sz="6" w:space="0"/>
              <w:bottom w:val="none" w:color="auto" w:sz="6" w:space="0"/>
              <w:right w:val="none" w:color="auto" w:sz="6" w:space="0"/>
            </w:tcBorders>
          </w:tcPr>
          <w:p w:rsidR="009D13CB" w:rsidP="009C0178" w:rsidRDefault="009D13CB" w14:paraId="697AAD2A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DU045 </w:t>
            </w:r>
          </w:p>
        </w:tc>
        <w:tc>
          <w:tcPr>
            <w:tcW w:w="5785" w:type="dxa"/>
            <w:gridSpan w:val="2"/>
            <w:tcBorders>
              <w:top w:val="none" w:color="auto" w:sz="6" w:space="0"/>
              <w:left w:val="none" w:color="auto" w:sz="6" w:space="0"/>
              <w:bottom w:val="none" w:color="auto" w:sz="6" w:space="0"/>
            </w:tcBorders>
          </w:tcPr>
          <w:p w:rsidR="009D13CB" w:rsidP="009C0178" w:rsidRDefault="009D13CB" w14:paraId="2252007F" w14:textId="7777777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Uppföljningssamtal efter tvångsåtgärd </w:t>
            </w:r>
          </w:p>
        </w:tc>
      </w:tr>
    </w:tbl>
    <w:p w:rsidRPr="002D6C53" w:rsidR="009D13CB" w:rsidP="002D6C53" w:rsidRDefault="009D13CB" w14:paraId="565B312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2D6C53" w:rsidR="002D6C53" w:rsidP="002D6C53" w:rsidRDefault="002D6C53" w14:paraId="22531D78" w14:textId="77777777">
      <w:pPr>
        <w:spacing w:after="0" w:line="240" w:lineRule="auto"/>
        <w:ind w:left="0" w:right="0"/>
      </w:pPr>
    </w:p>
    <w:p w:rsidRPr="002D6C53" w:rsidR="002D6C53" w:rsidP="002D6C53" w:rsidRDefault="002D6C53" w14:paraId="7AB68436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D6C5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9463C" w:rsidRDefault="0039463C" w14:paraId="285FA253" w14:textId="77777777">
      <w:r>
        <w:separator/>
      </w:r>
    </w:p>
  </w:endnote>
  <w:endnote w:type="continuationSeparator" w:id="0">
    <w:p w:rsidR="0039463C" w:rsidRDefault="0039463C" w14:paraId="5D5096D1" w14:textId="77777777">
      <w:r>
        <w:continuationSeparator/>
      </w:r>
    </w:p>
  </w:endnote>
  <w:endnote w:type="continuationNotice" w:id="1">
    <w:p w:rsidR="0039463C" w:rsidRDefault="0039463C" w14:paraId="3A3BE09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9463C" w:rsidRDefault="0039463C" w14:paraId="243E06E7" w14:textId="77777777"/>
  </w:footnote>
  <w:footnote w:type="continuationSeparator" w:id="0">
    <w:p w:rsidR="0039463C" w:rsidRDefault="0039463C" w14:paraId="3D7B3472" w14:textId="77777777">
      <w:r>
        <w:continuationSeparator/>
      </w:r>
    </w:p>
  </w:footnote>
  <w:footnote w:type="continuationNotice" w:id="1">
    <w:p w:rsidR="0039463C" w:rsidRDefault="0039463C" w14:paraId="6D79375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73D8C741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A24F32"/>
    <w:multiLevelType w:val="hybridMultilevel"/>
    <w:tmpl w:val="D228C3A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5427297"/>
    <w:multiLevelType w:val="hybridMultilevel"/>
    <w:tmpl w:val="CA30153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31F4390"/>
    <w:multiLevelType w:val="hybridMultilevel"/>
    <w:tmpl w:val="50E01AF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4943F46"/>
    <w:multiLevelType w:val="hybridMultilevel"/>
    <w:tmpl w:val="5D8AE10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C1D5320"/>
    <w:multiLevelType w:val="hybridMultilevel"/>
    <w:tmpl w:val="519E8CD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9052231">
    <w:abstractNumId w:val="22"/>
  </w:num>
  <w:num w:numId="2" w16cid:durableId="570773475">
    <w:abstractNumId w:val="17"/>
  </w:num>
  <w:num w:numId="3" w16cid:durableId="1113791138">
    <w:abstractNumId w:val="0"/>
  </w:num>
  <w:num w:numId="4" w16cid:durableId="964193866">
    <w:abstractNumId w:val="7"/>
  </w:num>
  <w:num w:numId="5" w16cid:durableId="1062214242">
    <w:abstractNumId w:val="20"/>
  </w:num>
  <w:num w:numId="6" w16cid:durableId="421418056">
    <w:abstractNumId w:val="3"/>
  </w:num>
  <w:num w:numId="7" w16cid:durableId="2129271292">
    <w:abstractNumId w:val="13"/>
  </w:num>
  <w:num w:numId="8" w16cid:durableId="74478929">
    <w:abstractNumId w:val="10"/>
  </w:num>
  <w:num w:numId="9" w16cid:durableId="254020152">
    <w:abstractNumId w:val="1"/>
  </w:num>
  <w:num w:numId="10" w16cid:durableId="1519541259">
    <w:abstractNumId w:val="1"/>
  </w:num>
  <w:num w:numId="11" w16cid:durableId="2031300503">
    <w:abstractNumId w:val="4"/>
  </w:num>
  <w:num w:numId="12" w16cid:durableId="1388723627">
    <w:abstractNumId w:val="5"/>
  </w:num>
  <w:num w:numId="13" w16cid:durableId="2117938952">
    <w:abstractNumId w:val="16"/>
  </w:num>
  <w:num w:numId="14" w16cid:durableId="320886125">
    <w:abstractNumId w:val="11"/>
  </w:num>
  <w:num w:numId="15" w16cid:durableId="509953678">
    <w:abstractNumId w:val="8"/>
  </w:num>
  <w:num w:numId="16" w16cid:durableId="1060178072">
    <w:abstractNumId w:val="15"/>
  </w:num>
  <w:num w:numId="17" w16cid:durableId="1690913472">
    <w:abstractNumId w:val="6"/>
  </w:num>
  <w:num w:numId="18" w16cid:durableId="363556225">
    <w:abstractNumId w:val="12"/>
  </w:num>
  <w:num w:numId="19" w16cid:durableId="49965805">
    <w:abstractNumId w:val="21"/>
  </w:num>
  <w:num w:numId="20" w16cid:durableId="1905605014">
    <w:abstractNumId w:val="2"/>
  </w:num>
  <w:num w:numId="21" w16cid:durableId="9525823">
    <w:abstractNumId w:val="18"/>
  </w:num>
  <w:num w:numId="22" w16cid:durableId="1960330297">
    <w:abstractNumId w:val="19"/>
  </w:num>
  <w:num w:numId="23" w16cid:durableId="882135306">
    <w:abstractNumId w:val="14"/>
  </w:num>
  <w:num w:numId="24" w16cid:durableId="19791406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24C"/>
    <w:rsid w:val="000655CC"/>
    <w:rsid w:val="000700AE"/>
    <w:rsid w:val="00084024"/>
    <w:rsid w:val="0009062C"/>
    <w:rsid w:val="00093EAD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BF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3651"/>
    <w:rsid w:val="001A4E7C"/>
    <w:rsid w:val="001B762C"/>
    <w:rsid w:val="001C4D0A"/>
    <w:rsid w:val="001C5FEF"/>
    <w:rsid w:val="00211487"/>
    <w:rsid w:val="00211D91"/>
    <w:rsid w:val="00217DEC"/>
    <w:rsid w:val="00235B57"/>
    <w:rsid w:val="00241EBE"/>
    <w:rsid w:val="00250F24"/>
    <w:rsid w:val="002523C5"/>
    <w:rsid w:val="0025380B"/>
    <w:rsid w:val="0025703A"/>
    <w:rsid w:val="00262F3D"/>
    <w:rsid w:val="00263281"/>
    <w:rsid w:val="002651D6"/>
    <w:rsid w:val="0026551F"/>
    <w:rsid w:val="002803B3"/>
    <w:rsid w:val="00280A85"/>
    <w:rsid w:val="00284119"/>
    <w:rsid w:val="002857EA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C53"/>
    <w:rsid w:val="002E263F"/>
    <w:rsid w:val="002E6F81"/>
    <w:rsid w:val="002F08BA"/>
    <w:rsid w:val="002F2CFF"/>
    <w:rsid w:val="002F2DA5"/>
    <w:rsid w:val="002F568B"/>
    <w:rsid w:val="002F7818"/>
    <w:rsid w:val="003066D0"/>
    <w:rsid w:val="00311401"/>
    <w:rsid w:val="003128BF"/>
    <w:rsid w:val="003134C2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BED"/>
    <w:rsid w:val="00384019"/>
    <w:rsid w:val="003854F1"/>
    <w:rsid w:val="0039118E"/>
    <w:rsid w:val="0039463C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EE"/>
    <w:rsid w:val="00440090"/>
    <w:rsid w:val="00441798"/>
    <w:rsid w:val="00443C1E"/>
    <w:rsid w:val="00446255"/>
    <w:rsid w:val="00451935"/>
    <w:rsid w:val="00460ED0"/>
    <w:rsid w:val="00461B8B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7FF9"/>
    <w:rsid w:val="004D7BA3"/>
    <w:rsid w:val="004F4518"/>
    <w:rsid w:val="004F4C62"/>
    <w:rsid w:val="00501433"/>
    <w:rsid w:val="00511CC4"/>
    <w:rsid w:val="00516AC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2E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1D7"/>
    <w:rsid w:val="0060596B"/>
    <w:rsid w:val="00606D97"/>
    <w:rsid w:val="006113D4"/>
    <w:rsid w:val="006120B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E03"/>
    <w:rsid w:val="00665F89"/>
    <w:rsid w:val="00673C92"/>
    <w:rsid w:val="006753EC"/>
    <w:rsid w:val="006757ED"/>
    <w:rsid w:val="00676B01"/>
    <w:rsid w:val="006A2789"/>
    <w:rsid w:val="006A4978"/>
    <w:rsid w:val="006A7204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2EF5"/>
    <w:rsid w:val="006D30C0"/>
    <w:rsid w:val="006D3AA3"/>
    <w:rsid w:val="006D7535"/>
    <w:rsid w:val="006E450B"/>
    <w:rsid w:val="006F0D7E"/>
    <w:rsid w:val="006F390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870"/>
    <w:rsid w:val="007973C0"/>
    <w:rsid w:val="007A5C6F"/>
    <w:rsid w:val="007D4241"/>
    <w:rsid w:val="007D4317"/>
    <w:rsid w:val="007D4EA3"/>
    <w:rsid w:val="007F1CFF"/>
    <w:rsid w:val="007F5DD5"/>
    <w:rsid w:val="00812EC1"/>
    <w:rsid w:val="0081392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A57"/>
    <w:rsid w:val="008C4B27"/>
    <w:rsid w:val="008C7F2A"/>
    <w:rsid w:val="008E13E0"/>
    <w:rsid w:val="008E36F8"/>
    <w:rsid w:val="008E46B2"/>
    <w:rsid w:val="008E682C"/>
    <w:rsid w:val="008E6F5C"/>
    <w:rsid w:val="008E78A1"/>
    <w:rsid w:val="008F589F"/>
    <w:rsid w:val="00906238"/>
    <w:rsid w:val="00907EF9"/>
    <w:rsid w:val="009124F8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4C5"/>
    <w:rsid w:val="009B1F6B"/>
    <w:rsid w:val="009C0D12"/>
    <w:rsid w:val="009C192E"/>
    <w:rsid w:val="009D13CB"/>
    <w:rsid w:val="009D6819"/>
    <w:rsid w:val="009D6D1C"/>
    <w:rsid w:val="009E0CF9"/>
    <w:rsid w:val="009E2E13"/>
    <w:rsid w:val="009E363F"/>
    <w:rsid w:val="009E531B"/>
    <w:rsid w:val="009E6C56"/>
    <w:rsid w:val="009E7440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88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035"/>
    <w:rsid w:val="00BE7978"/>
    <w:rsid w:val="00C06C91"/>
    <w:rsid w:val="00C07DDB"/>
    <w:rsid w:val="00C4115D"/>
    <w:rsid w:val="00C43BDD"/>
    <w:rsid w:val="00C47778"/>
    <w:rsid w:val="00C5011E"/>
    <w:rsid w:val="00C50EE5"/>
    <w:rsid w:val="00C5240A"/>
    <w:rsid w:val="00C52822"/>
    <w:rsid w:val="00C5398F"/>
    <w:rsid w:val="00C5478B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9AB"/>
    <w:rsid w:val="00CE1D97"/>
    <w:rsid w:val="00CE4B73"/>
    <w:rsid w:val="00CF58EA"/>
    <w:rsid w:val="00CF70BB"/>
    <w:rsid w:val="00D074DB"/>
    <w:rsid w:val="00D139CF"/>
    <w:rsid w:val="00D37E7F"/>
    <w:rsid w:val="00D47AD7"/>
    <w:rsid w:val="00D51529"/>
    <w:rsid w:val="00D56767"/>
    <w:rsid w:val="00D85218"/>
    <w:rsid w:val="00D915B1"/>
    <w:rsid w:val="00DA299D"/>
    <w:rsid w:val="00DA65C4"/>
    <w:rsid w:val="00DD2BE0"/>
    <w:rsid w:val="00DE4447"/>
    <w:rsid w:val="00DE5DA2"/>
    <w:rsid w:val="00DF0033"/>
    <w:rsid w:val="00E003C0"/>
    <w:rsid w:val="00E026BF"/>
    <w:rsid w:val="00E07B1B"/>
    <w:rsid w:val="00E11853"/>
    <w:rsid w:val="00E247C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6C4"/>
    <w:rsid w:val="00EA3FCD"/>
    <w:rsid w:val="00EA42A0"/>
    <w:rsid w:val="00EB6714"/>
    <w:rsid w:val="00EC0A68"/>
    <w:rsid w:val="00EC5006"/>
    <w:rsid w:val="00ED1B61"/>
    <w:rsid w:val="00ED49C3"/>
    <w:rsid w:val="00ED6CE8"/>
    <w:rsid w:val="00ED7AA6"/>
    <w:rsid w:val="00EE2A56"/>
    <w:rsid w:val="00EE3818"/>
    <w:rsid w:val="00EF547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F9139B3"/>
    <w:rsid w:val="3A5441DC"/>
    <w:rsid w:val="48B73E2B"/>
    <w:rsid w:val="4EE094DC"/>
    <w:rsid w:val="6232824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001D7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001D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autoRedefine/>
    <w:uiPriority w:val="3"/>
    <w:unhideWhenUsed/>
    <w:qFormat/>
    <w:rsid w:val="006001D7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001D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001D7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autoRedefine/>
    <w:uiPriority w:val="2"/>
    <w:qFormat/>
    <w:rsid w:val="006001D7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942E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973C0"/>
    <w:rPr>
      <w:color w:val="9EA2A2" w:themeColor="followedHyperlink"/>
      <w:u w:val="single"/>
    </w:rPr>
  </w:style>
  <w:style w:type="paragraph" w:styleId="Default" w:customStyle="1">
    <w:name w:val="Default"/>
    <w:rsid w:val="009D13CB"/>
    <w:pPr>
      <w:autoSpaceDE w:val="0"/>
      <w:autoSpaceDN w:val="0"/>
      <w:adjustRightInd w:val="0"/>
    </w:pPr>
    <w:rPr>
      <w:rFonts w:ascii="Century Gothic" w:hAnsi="Century Gothic" w:cs="Century Gothic" w:eastAsiaTheme="minorHAns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riksdagen.se/sv/dokument-och-lagar/dokument/svensk-forfattningssamling/forordning-19911472-om-psykiatrisk-tvangsvard_sfs-1991-1472/" TargetMode="External" Id="rId18" /><Relationship Type="http://schemas.openxmlformats.org/officeDocument/2006/relationships/hyperlink" Target="Rutin%20Hot%20och%20v&#229;ld%20i%20psykiatrisk%20v&#229;rd" TargetMode="External" Id="rId26" /><Relationship Type="http://schemas.openxmlformats.org/officeDocument/2006/relationships/hyperlink" Target="https://www.riksdagen.se/sv/dokument-och-lagar/dokument/svensk-forfattningssamling/patientdatalag-2008355_sfs-2008-355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riksdagen.se/sv/dokument-och-lagar/dokument/svensk-forfattningssamling/patientdatalag-2008355_sfs-2008-355/" TargetMode="External" Id="rId17" /><Relationship Type="http://schemas.openxmlformats.org/officeDocument/2006/relationships/hyperlink" Target="https://mellanarkiv-offentlig.vgregion.se/alfresco/s/archive/stream/public/v1/source/available/SOFIA/SU9806-1988473940-177/SURROGATE/LPT-%20lagen%20om%20psykiatrisk%20tv%c3%a5ngsv%c3%a5rd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www.riksdagen.se/sv/dokument-och-lagar/dokument/svensk-forfattningssamling/lag-19911128-om-psykiatrisk-tvangsvard_sfs-1991-1128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9806-1988473940-197/SURROGATE/Fastsp%c3%a4nning%20med%20b%c3%a4lte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U9806-1988473940-201/SURROGATE/Hot%20och%20v%c3%a5ld%20i%20psykiatrisk%20v%c3%a5rd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hs13409-922901310-15/surrogate/Rapportblad%20%c3%b6ver%20%c3%a5tg%c3%a4rder%20enligt%20LPT%20eller%20LRV%20-%20tillh%c3%b6r%20Regional%20ruti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riksdagen.se/sv/dokument-och-lagar/dokument/svensk-forfattningssamling/forordning-19911472-om-psykiatrisk-tvangsvard_sfs-1991-1472/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tvångsåtgärder</dc:title>
  <dc:subject/>
  <dc:creator>patrik.jens.johansson@vgregion.se</dc:creator>
  <keywords/>
  <lastModifiedBy>Kristina Annerbrink</lastModifiedBy>
  <revision>48</revision>
  <lastPrinted>2023-03-20T08:26:00.0000000Z</lastPrinted>
  <dcterms:created xsi:type="dcterms:W3CDTF">2022-06-01T15:01:00.0000000Z</dcterms:created>
  <dcterms:modified xsi:type="dcterms:W3CDTF">2026-02-25T14:48:08.0000000Z</dcterms:modified>
</coreProperties>
</file>