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90244B" w14:textId="77777777" w:rsidR="00D64856" w:rsidRDefault="00D64856" w:rsidP="00F35B05">
      <w:pPr>
        <w:pStyle w:val="Rubrik2"/>
        <w:sectPr w:rsidR="00D64856" w:rsidSect="00D6485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83CE8A3" w14:textId="0A89A167" w:rsidR="00571236" w:rsidRPr="00282902" w:rsidRDefault="00AD1EB7" w:rsidP="00282902">
      <w:pPr>
        <w:pStyle w:val="Rubrik1"/>
      </w:pPr>
      <w:r w:rsidRPr="00282902">
        <w:t xml:space="preserve">Fundoplicatio </w:t>
      </w:r>
      <w:r w:rsidR="00571236" w:rsidRPr="00282902">
        <w:t>–</w:t>
      </w:r>
      <w:r w:rsidR="00C8200E" w:rsidRPr="00282902">
        <w:t xml:space="preserve"> </w:t>
      </w:r>
      <w:r w:rsidRPr="00282902">
        <w:t>anestesirutin</w:t>
      </w:r>
      <w:bookmarkEnd w:id="0"/>
    </w:p>
    <w:p w14:paraId="1A4264B0" w14:textId="6F0A49A0" w:rsidR="001E08AF" w:rsidRDefault="0045152C" w:rsidP="00282902">
      <w:pPr>
        <w:keepNext/>
        <w:keepLines/>
        <w:spacing w:before="360" w:after="240" w:line="259" w:lineRule="auto"/>
        <w:ind w:left="993" w:right="0"/>
        <w:outlineLvl w:val="0"/>
        <w:rPr>
          <w:rFonts w:ascii="Calibri Light" w:hAnsi="Calibri Light"/>
          <w:color w:val="000000"/>
          <w:sz w:val="40"/>
          <w:szCs w:val="32"/>
          <w:lang w:eastAsia="en-US"/>
        </w:rPr>
      </w:pPr>
      <w:r w:rsidRPr="0045152C">
        <w:rPr>
          <w:rFonts w:ascii="Calibri Light" w:hAnsi="Calibri Light"/>
          <w:color w:val="000000"/>
          <w:sz w:val="40"/>
          <w:szCs w:val="32"/>
          <w:lang w:eastAsia="en-US"/>
        </w:rPr>
        <w:t>Revideringar i denna version</w:t>
      </w:r>
      <w:r w:rsidR="00282902">
        <w:rPr>
          <w:rFonts w:ascii="Calibri Light" w:hAnsi="Calibri Light"/>
          <w:color w:val="000000"/>
          <w:sz w:val="40"/>
          <w:szCs w:val="32"/>
          <w:lang w:eastAsia="en-US"/>
        </w:rPr>
        <w:br/>
      </w:r>
      <w:r w:rsidRPr="0045152C">
        <w:rPr>
          <w:rFonts w:eastAsia="Calibri"/>
          <w:color w:val="000000"/>
          <w:szCs w:val="22"/>
          <w:lang w:eastAsia="en-US"/>
        </w:rPr>
        <w:t>24/04/09 Ny formalia. Tillägg av bakgrund och anestesiologiska beaktanden. Ändring av värme.</w:t>
      </w:r>
      <w:r w:rsidR="001E08AF" w:rsidRPr="001E08AF">
        <w:rPr>
          <w:rFonts w:ascii="Calibri Light" w:hAnsi="Calibri Light"/>
          <w:color w:val="000000"/>
          <w:sz w:val="40"/>
          <w:szCs w:val="32"/>
          <w:lang w:eastAsia="en-US"/>
        </w:rPr>
        <w:t xml:space="preserve"> </w:t>
      </w:r>
    </w:p>
    <w:tbl>
      <w:tblPr>
        <w:tblStyle w:val="Tabellrutnt2"/>
        <w:tblpPr w:leftFromText="141" w:rightFromText="141" w:vertAnchor="text" w:horzAnchor="margin" w:tblpY="79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00" w:firstRow="0" w:lastRow="0" w:firstColumn="0" w:lastColumn="0" w:noHBand="1" w:noVBand="1"/>
      </w:tblPr>
      <w:tblGrid>
        <w:gridCol w:w="3397"/>
        <w:gridCol w:w="4962"/>
      </w:tblGrid>
      <w:tr w:rsidR="0045152C" w:rsidRPr="0045152C" w14:paraId="4C6FDA28" w14:textId="77777777" w:rsidTr="001E08AF">
        <w:trPr>
          <w:trHeight w:val="567"/>
        </w:trPr>
        <w:tc>
          <w:tcPr>
            <w:tcW w:w="3397" w:type="dxa"/>
          </w:tcPr>
          <w:p w14:paraId="6E83BD12" w14:textId="77777777" w:rsidR="0045152C" w:rsidRPr="0045152C" w:rsidRDefault="0045152C" w:rsidP="001E08AF">
            <w:pPr>
              <w:keepNext/>
              <w:keepLines/>
              <w:spacing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Anestesi</w:t>
            </w:r>
          </w:p>
        </w:tc>
        <w:tc>
          <w:tcPr>
            <w:tcW w:w="4962" w:type="dxa"/>
          </w:tcPr>
          <w:p w14:paraId="4EF948EF" w14:textId="77777777" w:rsidR="0045152C" w:rsidRPr="0045152C" w:rsidRDefault="0045152C" w:rsidP="001E08AF">
            <w:pPr>
              <w:spacing w:after="0" w:line="240" w:lineRule="auto"/>
              <w:ind w:left="35" w:right="0"/>
              <w:rPr>
                <w:rFonts w:ascii="Times New Roman" w:hAnsi="Times New Roman"/>
                <w:color w:val="000000"/>
                <w:szCs w:val="22"/>
              </w:rPr>
            </w:pPr>
            <w:r w:rsidRPr="0045152C">
              <w:rPr>
                <w:rFonts w:ascii="Times New Roman" w:hAnsi="Times New Roman"/>
                <w:color w:val="000000"/>
                <w:szCs w:val="22"/>
              </w:rPr>
              <w:t>Generell anestesi. Intubation. TEDA vid öppen kirurgi.</w:t>
            </w:r>
          </w:p>
        </w:tc>
      </w:tr>
      <w:tr w:rsidR="0045152C" w:rsidRPr="0045152C" w14:paraId="14DE7D46" w14:textId="77777777" w:rsidTr="001E08AF">
        <w:trPr>
          <w:trHeight w:val="567"/>
        </w:trPr>
        <w:tc>
          <w:tcPr>
            <w:tcW w:w="3397" w:type="dxa"/>
          </w:tcPr>
          <w:p w14:paraId="7A11087E" w14:textId="77777777" w:rsidR="0045152C" w:rsidRPr="0045152C" w:rsidRDefault="0045152C" w:rsidP="001E08AF">
            <w:pPr>
              <w:keepNext/>
              <w:keepLines/>
              <w:spacing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Induktion</w:t>
            </w:r>
          </w:p>
        </w:tc>
        <w:tc>
          <w:tcPr>
            <w:tcW w:w="4962" w:type="dxa"/>
          </w:tcPr>
          <w:p w14:paraId="7A7FD36A" w14:textId="77777777" w:rsidR="0045152C" w:rsidRPr="0045152C" w:rsidRDefault="0045152C" w:rsidP="001E08AF">
            <w:pPr>
              <w:spacing w:after="0" w:line="240" w:lineRule="auto"/>
              <w:ind w:left="35" w:right="0"/>
              <w:rPr>
                <w:rFonts w:ascii="Times New Roman" w:hAnsi="Times New Roman"/>
                <w:color w:val="000000"/>
                <w:szCs w:val="22"/>
              </w:rPr>
            </w:pPr>
            <w:r w:rsidRPr="0045152C">
              <w:rPr>
                <w:rFonts w:ascii="Times New Roman" w:hAnsi="Times New Roman"/>
                <w:color w:val="000000"/>
                <w:szCs w:val="22"/>
              </w:rPr>
              <w:t>Propofol/Remifentanil/Esmeron. Risk för reflux, RSI bedöms av ansvarig anestesiolog.</w:t>
            </w:r>
          </w:p>
        </w:tc>
      </w:tr>
      <w:tr w:rsidR="0045152C" w:rsidRPr="0045152C" w14:paraId="6DE88462" w14:textId="77777777" w:rsidTr="001E08AF">
        <w:trPr>
          <w:trHeight w:val="567"/>
        </w:trPr>
        <w:tc>
          <w:tcPr>
            <w:tcW w:w="3397" w:type="dxa"/>
          </w:tcPr>
          <w:p w14:paraId="3678B255" w14:textId="77777777" w:rsidR="0045152C" w:rsidRPr="0045152C" w:rsidRDefault="0045152C" w:rsidP="001E08AF">
            <w:pPr>
              <w:keepNext/>
              <w:keepLines/>
              <w:spacing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Underhåll</w:t>
            </w:r>
          </w:p>
        </w:tc>
        <w:tc>
          <w:tcPr>
            <w:tcW w:w="4962" w:type="dxa"/>
          </w:tcPr>
          <w:p w14:paraId="4F5E40CB" w14:textId="77777777" w:rsidR="0045152C" w:rsidRPr="0045152C" w:rsidRDefault="0045152C" w:rsidP="001E08AF">
            <w:pPr>
              <w:spacing w:after="0" w:line="240" w:lineRule="auto"/>
              <w:ind w:left="35" w:right="0"/>
              <w:rPr>
                <w:rFonts w:ascii="Times New Roman" w:hAnsi="Times New Roman"/>
                <w:color w:val="000000"/>
                <w:szCs w:val="22"/>
              </w:rPr>
            </w:pPr>
            <w:r w:rsidRPr="0045152C">
              <w:rPr>
                <w:rFonts w:ascii="Times New Roman" w:hAnsi="Times New Roman"/>
                <w:color w:val="000000"/>
                <w:szCs w:val="22"/>
              </w:rPr>
              <w:t>Sevoflurane/Remifentanil (Ev. TEDA)</w:t>
            </w:r>
          </w:p>
        </w:tc>
      </w:tr>
      <w:tr w:rsidR="0045152C" w:rsidRPr="0045152C" w14:paraId="11F7C408" w14:textId="77777777" w:rsidTr="001E08AF">
        <w:trPr>
          <w:trHeight w:val="567"/>
        </w:trPr>
        <w:tc>
          <w:tcPr>
            <w:tcW w:w="3397" w:type="dxa"/>
          </w:tcPr>
          <w:p w14:paraId="0C2B9F3D" w14:textId="77777777" w:rsidR="0045152C" w:rsidRPr="0045152C" w:rsidRDefault="0045152C" w:rsidP="001E08AF">
            <w:pPr>
              <w:keepNext/>
              <w:keepLines/>
              <w:spacing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Speciella läkemedel</w:t>
            </w:r>
          </w:p>
        </w:tc>
        <w:tc>
          <w:tcPr>
            <w:tcW w:w="4962" w:type="dxa"/>
          </w:tcPr>
          <w:p w14:paraId="00888F8D" w14:textId="77777777" w:rsidR="0045152C" w:rsidRPr="0045152C" w:rsidRDefault="0045152C" w:rsidP="001E08AF">
            <w:pPr>
              <w:spacing w:after="0" w:line="240" w:lineRule="auto"/>
              <w:ind w:left="35" w:right="0"/>
              <w:rPr>
                <w:rFonts w:ascii="Times New Roman" w:hAnsi="Times New Roman"/>
                <w:color w:val="000000"/>
                <w:szCs w:val="22"/>
              </w:rPr>
            </w:pPr>
            <w:r w:rsidRPr="0045152C">
              <w:rPr>
                <w:rFonts w:ascii="Times New Roman" w:hAnsi="Times New Roman"/>
                <w:color w:val="000000"/>
                <w:szCs w:val="22"/>
              </w:rPr>
              <w:t>Noradrenalin 0,04 mg/ml</w:t>
            </w:r>
          </w:p>
        </w:tc>
      </w:tr>
      <w:tr w:rsidR="0045152C" w:rsidRPr="0045152C" w14:paraId="5664654F" w14:textId="77777777" w:rsidTr="001E08AF">
        <w:trPr>
          <w:trHeight w:val="567"/>
        </w:trPr>
        <w:tc>
          <w:tcPr>
            <w:tcW w:w="3397" w:type="dxa"/>
          </w:tcPr>
          <w:p w14:paraId="69281609" w14:textId="77777777" w:rsidR="0045152C" w:rsidRPr="0045152C" w:rsidRDefault="0045152C" w:rsidP="001E08AF">
            <w:pPr>
              <w:keepNext/>
              <w:keepLines/>
              <w:spacing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Infart/Utfart</w:t>
            </w:r>
          </w:p>
        </w:tc>
        <w:tc>
          <w:tcPr>
            <w:tcW w:w="4962" w:type="dxa"/>
          </w:tcPr>
          <w:p w14:paraId="41E24647" w14:textId="77777777" w:rsidR="0045152C" w:rsidRPr="0045152C" w:rsidRDefault="0045152C" w:rsidP="001E08AF">
            <w:pPr>
              <w:spacing w:after="0" w:line="240" w:lineRule="auto"/>
              <w:ind w:left="360" w:right="0" w:hanging="360"/>
              <w:contextualSpacing/>
              <w:rPr>
                <w:rFonts w:ascii="Times New Roman" w:hAnsi="Times New Roman"/>
                <w:color w:val="000000"/>
                <w:szCs w:val="22"/>
              </w:rPr>
            </w:pPr>
            <w:bookmarkStart w:id="1" w:name="_Hlk163548699"/>
            <w:r w:rsidRPr="0045152C">
              <w:rPr>
                <w:rFonts w:ascii="Times New Roman" w:hAnsi="Times New Roman"/>
                <w:color w:val="000000"/>
                <w:szCs w:val="22"/>
              </w:rPr>
              <w:t>Artärnål på medicinsk indikation</w:t>
            </w:r>
          </w:p>
          <w:p w14:paraId="20AEDC46" w14:textId="77777777" w:rsidR="0045152C" w:rsidRPr="0045152C" w:rsidRDefault="0045152C" w:rsidP="001E08AF">
            <w:pPr>
              <w:spacing w:after="0" w:line="240" w:lineRule="auto"/>
              <w:ind w:left="360" w:right="0" w:hanging="360"/>
              <w:contextualSpacing/>
              <w:rPr>
                <w:rFonts w:ascii="Times New Roman" w:hAnsi="Times New Roman"/>
                <w:color w:val="000000"/>
                <w:szCs w:val="22"/>
              </w:rPr>
            </w:pPr>
            <w:r w:rsidRPr="0045152C">
              <w:rPr>
                <w:rFonts w:ascii="Times New Roman" w:hAnsi="Times New Roman"/>
                <w:color w:val="000000"/>
                <w:szCs w:val="22"/>
              </w:rPr>
              <w:t>PVK minimum 2st. (1.8 eller 2.0), CVK på medicinsk indikation</w:t>
            </w:r>
          </w:p>
          <w:p w14:paraId="6F453208" w14:textId="77777777" w:rsidR="0045152C" w:rsidRPr="0045152C" w:rsidRDefault="0045152C" w:rsidP="001E08AF">
            <w:pPr>
              <w:spacing w:after="0" w:line="240" w:lineRule="auto"/>
              <w:ind w:left="360" w:right="0" w:hanging="360"/>
              <w:contextualSpacing/>
              <w:rPr>
                <w:rFonts w:ascii="Times New Roman" w:hAnsi="Times New Roman"/>
                <w:color w:val="000000"/>
                <w:szCs w:val="22"/>
              </w:rPr>
            </w:pPr>
            <w:r w:rsidRPr="0045152C">
              <w:rPr>
                <w:rFonts w:ascii="Times New Roman" w:hAnsi="Times New Roman"/>
                <w:color w:val="000000"/>
                <w:szCs w:val="22"/>
              </w:rPr>
              <w:t>Ventrikelsond</w:t>
            </w:r>
          </w:p>
          <w:p w14:paraId="4C9D5D7C" w14:textId="77777777" w:rsidR="0045152C" w:rsidRPr="0045152C" w:rsidRDefault="0045152C" w:rsidP="001E08AF">
            <w:pPr>
              <w:spacing w:after="0" w:line="240" w:lineRule="auto"/>
              <w:ind w:left="360" w:right="0" w:hanging="360"/>
              <w:contextualSpacing/>
              <w:rPr>
                <w:rFonts w:ascii="Times New Roman" w:hAnsi="Times New Roman"/>
                <w:color w:val="000000"/>
                <w:szCs w:val="22"/>
              </w:rPr>
            </w:pPr>
            <w:r w:rsidRPr="0045152C">
              <w:rPr>
                <w:rFonts w:ascii="Times New Roman" w:hAnsi="Times New Roman"/>
                <w:color w:val="000000"/>
                <w:szCs w:val="22"/>
              </w:rPr>
              <w:t>Urinkateter</w:t>
            </w:r>
            <w:bookmarkEnd w:id="1"/>
          </w:p>
          <w:p w14:paraId="4C182C32" w14:textId="77777777" w:rsidR="0045152C" w:rsidRPr="0045152C" w:rsidRDefault="0045152C" w:rsidP="001E08AF">
            <w:pPr>
              <w:spacing w:after="0" w:line="240" w:lineRule="auto"/>
              <w:ind w:left="35" w:right="0" w:hanging="360"/>
              <w:contextualSpacing/>
              <w:rPr>
                <w:rFonts w:ascii="Times New Roman" w:hAnsi="Times New Roman"/>
                <w:color w:val="000000"/>
                <w:szCs w:val="22"/>
              </w:rPr>
            </w:pPr>
          </w:p>
        </w:tc>
      </w:tr>
      <w:tr w:rsidR="0045152C" w:rsidRPr="0045152C" w14:paraId="3FD1A3B9" w14:textId="77777777" w:rsidTr="001E08AF">
        <w:trPr>
          <w:trHeight w:val="567"/>
        </w:trPr>
        <w:tc>
          <w:tcPr>
            <w:tcW w:w="3397" w:type="dxa"/>
          </w:tcPr>
          <w:p w14:paraId="648F7E29" w14:textId="77777777" w:rsidR="0045152C" w:rsidRPr="0045152C" w:rsidRDefault="0045152C" w:rsidP="001E08AF">
            <w:pPr>
              <w:keepNext/>
              <w:keepLines/>
              <w:spacing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Övervakning</w:t>
            </w:r>
          </w:p>
        </w:tc>
        <w:tc>
          <w:tcPr>
            <w:tcW w:w="4962" w:type="dxa"/>
          </w:tcPr>
          <w:p w14:paraId="6FE7CB66" w14:textId="77777777" w:rsidR="0045152C" w:rsidRPr="0045152C" w:rsidRDefault="0045152C" w:rsidP="001E08AF">
            <w:pPr>
              <w:spacing w:after="0" w:line="240" w:lineRule="auto"/>
              <w:ind w:left="360" w:right="0" w:hanging="360"/>
              <w:contextualSpacing/>
              <w:rPr>
                <w:rFonts w:ascii="Times New Roman" w:hAnsi="Times New Roman"/>
                <w:color w:val="000000"/>
                <w:szCs w:val="22"/>
              </w:rPr>
            </w:pPr>
            <w:r w:rsidRPr="0045152C">
              <w:rPr>
                <w:rFonts w:ascii="Times New Roman" w:hAnsi="Times New Roman"/>
                <w:color w:val="000000"/>
                <w:szCs w:val="22"/>
              </w:rPr>
              <w:t>EKG</w:t>
            </w:r>
          </w:p>
          <w:p w14:paraId="2A730676" w14:textId="77777777" w:rsidR="0045152C" w:rsidRPr="0045152C" w:rsidRDefault="0045152C" w:rsidP="001E08AF">
            <w:pPr>
              <w:spacing w:after="0" w:line="240" w:lineRule="auto"/>
              <w:ind w:left="360" w:right="0" w:hanging="360"/>
              <w:contextualSpacing/>
              <w:rPr>
                <w:rFonts w:ascii="Times New Roman" w:hAnsi="Times New Roman"/>
                <w:color w:val="000000"/>
                <w:szCs w:val="22"/>
              </w:rPr>
            </w:pPr>
            <w:r w:rsidRPr="0045152C">
              <w:rPr>
                <w:rFonts w:ascii="Times New Roman" w:hAnsi="Times New Roman"/>
                <w:color w:val="000000"/>
                <w:szCs w:val="22"/>
              </w:rPr>
              <w:t>ABP/MAP, ev. CVP</w:t>
            </w:r>
          </w:p>
          <w:p w14:paraId="19CBA0D4" w14:textId="77777777" w:rsidR="0045152C" w:rsidRPr="0045152C" w:rsidRDefault="0045152C" w:rsidP="001E08AF">
            <w:pPr>
              <w:spacing w:after="0" w:line="240" w:lineRule="auto"/>
              <w:ind w:left="360" w:right="0" w:hanging="360"/>
              <w:contextualSpacing/>
              <w:rPr>
                <w:rFonts w:ascii="Times New Roman" w:hAnsi="Times New Roman"/>
                <w:color w:val="000000"/>
                <w:szCs w:val="22"/>
              </w:rPr>
            </w:pPr>
            <w:r w:rsidRPr="0045152C">
              <w:rPr>
                <w:rFonts w:ascii="Times New Roman" w:hAnsi="Times New Roman"/>
                <w:color w:val="000000"/>
                <w:szCs w:val="22"/>
              </w:rPr>
              <w:t>Sömndjupsmonitorering (BIS/Sedline)</w:t>
            </w:r>
          </w:p>
          <w:p w14:paraId="33E5B531" w14:textId="77777777" w:rsidR="0045152C" w:rsidRPr="0045152C" w:rsidRDefault="0045152C" w:rsidP="001E08AF">
            <w:pPr>
              <w:spacing w:after="0" w:line="240" w:lineRule="auto"/>
              <w:ind w:left="360" w:right="0" w:hanging="360"/>
              <w:contextualSpacing/>
              <w:rPr>
                <w:rFonts w:ascii="Times New Roman" w:hAnsi="Times New Roman"/>
                <w:color w:val="000000"/>
                <w:szCs w:val="22"/>
              </w:rPr>
            </w:pPr>
            <w:r w:rsidRPr="0045152C">
              <w:rPr>
                <w:rFonts w:ascii="Times New Roman" w:hAnsi="Times New Roman"/>
                <w:color w:val="000000"/>
                <w:szCs w:val="22"/>
              </w:rPr>
              <w:t>NMT</w:t>
            </w:r>
          </w:p>
          <w:p w14:paraId="0E64D9EB" w14:textId="77777777" w:rsidR="0045152C" w:rsidRPr="0045152C" w:rsidRDefault="0045152C" w:rsidP="001E08AF">
            <w:pPr>
              <w:spacing w:after="0" w:line="240" w:lineRule="auto"/>
              <w:ind w:left="360" w:right="0" w:hanging="360"/>
              <w:contextualSpacing/>
              <w:rPr>
                <w:rFonts w:ascii="Times New Roman" w:hAnsi="Times New Roman"/>
                <w:color w:val="000000"/>
                <w:szCs w:val="22"/>
              </w:rPr>
            </w:pPr>
            <w:r w:rsidRPr="0045152C">
              <w:rPr>
                <w:rFonts w:ascii="Times New Roman" w:hAnsi="Times New Roman"/>
                <w:color w:val="000000"/>
                <w:szCs w:val="22"/>
              </w:rPr>
              <w:t>Temperatur</w:t>
            </w:r>
          </w:p>
          <w:p w14:paraId="4E08B9ED" w14:textId="77777777" w:rsidR="0045152C" w:rsidRPr="0045152C" w:rsidRDefault="0045152C" w:rsidP="001E08AF">
            <w:pPr>
              <w:spacing w:after="0" w:line="240" w:lineRule="auto"/>
              <w:ind w:left="35" w:right="0" w:hanging="360"/>
              <w:contextualSpacing/>
              <w:rPr>
                <w:rFonts w:ascii="Times New Roman" w:hAnsi="Times New Roman"/>
                <w:color w:val="000000"/>
                <w:szCs w:val="22"/>
              </w:rPr>
            </w:pPr>
          </w:p>
        </w:tc>
      </w:tr>
      <w:tr w:rsidR="0045152C" w:rsidRPr="0045152C" w14:paraId="2F48474B" w14:textId="77777777" w:rsidTr="001E08AF">
        <w:trPr>
          <w:trHeight w:val="567"/>
        </w:trPr>
        <w:tc>
          <w:tcPr>
            <w:tcW w:w="3397" w:type="dxa"/>
          </w:tcPr>
          <w:p w14:paraId="6882B5E3" w14:textId="77777777" w:rsidR="0045152C" w:rsidRPr="0045152C" w:rsidRDefault="0045152C" w:rsidP="001E08AF">
            <w:pPr>
              <w:keepNext/>
              <w:keepLines/>
              <w:spacing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Extra utrustning</w:t>
            </w:r>
          </w:p>
        </w:tc>
        <w:tc>
          <w:tcPr>
            <w:tcW w:w="4962" w:type="dxa"/>
          </w:tcPr>
          <w:p w14:paraId="7988C2D1" w14:textId="77777777" w:rsidR="0045152C" w:rsidRPr="0045152C" w:rsidRDefault="0045152C" w:rsidP="001E08AF">
            <w:pPr>
              <w:spacing w:after="0" w:line="240" w:lineRule="auto"/>
              <w:ind w:left="35" w:right="0"/>
              <w:rPr>
                <w:rFonts w:ascii="Times New Roman" w:hAnsi="Times New Roman"/>
                <w:color w:val="000000"/>
                <w:szCs w:val="22"/>
              </w:rPr>
            </w:pPr>
            <w:r w:rsidRPr="0045152C">
              <w:rPr>
                <w:rFonts w:ascii="Times New Roman" w:hAnsi="Times New Roman"/>
                <w:color w:val="000000"/>
                <w:szCs w:val="22"/>
              </w:rPr>
              <w:t>På medicinsk indikation minimalinvasiv CO-monitorering (fördel om CVK finns), alt PICCO</w:t>
            </w:r>
          </w:p>
          <w:p w14:paraId="0EA6C7B6" w14:textId="77777777" w:rsidR="0045152C" w:rsidRPr="0045152C" w:rsidRDefault="0045152C" w:rsidP="001E08AF">
            <w:pPr>
              <w:spacing w:after="0" w:line="240" w:lineRule="auto"/>
              <w:ind w:left="35" w:right="0"/>
              <w:rPr>
                <w:rFonts w:ascii="Times New Roman" w:hAnsi="Times New Roman"/>
                <w:color w:val="000000"/>
                <w:szCs w:val="22"/>
              </w:rPr>
            </w:pPr>
          </w:p>
        </w:tc>
      </w:tr>
    </w:tbl>
    <w:p w14:paraId="229EE57B" w14:textId="7EA1A4F6" w:rsidR="000044F4" w:rsidRDefault="001E08AF" w:rsidP="0045152C">
      <w:pPr>
        <w:spacing w:after="160" w:line="259" w:lineRule="auto"/>
        <w:ind w:left="993" w:right="0"/>
        <w:rPr>
          <w:rFonts w:eastAsia="Calibri"/>
          <w:color w:val="000000"/>
          <w:szCs w:val="22"/>
          <w:lang w:eastAsia="en-US"/>
        </w:rPr>
      </w:pPr>
      <w:r>
        <w:rPr>
          <w:rFonts w:ascii="Calibri Light" w:hAnsi="Calibri Light"/>
          <w:color w:val="000000"/>
          <w:sz w:val="40"/>
          <w:szCs w:val="32"/>
          <w:lang w:eastAsia="en-US"/>
        </w:rPr>
        <w:t>Arbetsbeskrivning</w:t>
      </w:r>
    </w:p>
    <w:p w14:paraId="3BB6CF01" w14:textId="77777777" w:rsidR="001E08AF" w:rsidRDefault="001E08AF"/>
    <w:tbl>
      <w:tblPr>
        <w:tblStyle w:val="Tabellrutnt2"/>
        <w:tblpPr w:leftFromText="141" w:rightFromText="141" w:vertAnchor="text" w:horzAnchor="margin" w:tblpY="80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00" w:firstRow="0" w:lastRow="0" w:firstColumn="0" w:lastColumn="0" w:noHBand="1" w:noVBand="1"/>
      </w:tblPr>
      <w:tblGrid>
        <w:gridCol w:w="3397"/>
        <w:gridCol w:w="4962"/>
      </w:tblGrid>
      <w:tr w:rsidR="0045152C" w:rsidRPr="0045152C" w14:paraId="434A4019" w14:textId="77777777" w:rsidTr="001E08AF">
        <w:trPr>
          <w:trHeight w:val="567"/>
        </w:trPr>
        <w:tc>
          <w:tcPr>
            <w:tcW w:w="3397" w:type="dxa"/>
          </w:tcPr>
          <w:p w14:paraId="47878420" w14:textId="77777777" w:rsidR="0045152C" w:rsidRPr="0045152C" w:rsidRDefault="0045152C" w:rsidP="001E08AF">
            <w:pPr>
              <w:keepNext/>
              <w:keepLines/>
              <w:spacing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lastRenderedPageBreak/>
              <w:t>Premedicinering</w:t>
            </w:r>
          </w:p>
        </w:tc>
        <w:tc>
          <w:tcPr>
            <w:tcW w:w="4962" w:type="dxa"/>
          </w:tcPr>
          <w:p w14:paraId="34E4A993" w14:textId="77777777" w:rsidR="0045152C" w:rsidRPr="0045152C" w:rsidRDefault="0045152C" w:rsidP="001E08AF">
            <w:pPr>
              <w:spacing w:after="0" w:line="240" w:lineRule="auto"/>
              <w:ind w:left="35" w:right="0"/>
              <w:rPr>
                <w:rFonts w:ascii="Times New Roman" w:hAnsi="Times New Roman"/>
                <w:color w:val="000000"/>
                <w:szCs w:val="22"/>
              </w:rPr>
            </w:pPr>
            <w:r w:rsidRPr="0045152C">
              <w:rPr>
                <w:rFonts w:ascii="Times New Roman" w:hAnsi="Times New Roman"/>
                <w:color w:val="000000"/>
                <w:szCs w:val="22"/>
              </w:rPr>
              <w:t>Paracetamol och Oxycontin</w:t>
            </w:r>
          </w:p>
        </w:tc>
      </w:tr>
      <w:tr w:rsidR="0045152C" w:rsidRPr="0045152C" w14:paraId="6C295A2F" w14:textId="77777777" w:rsidTr="001E08AF">
        <w:trPr>
          <w:trHeight w:val="567"/>
        </w:trPr>
        <w:tc>
          <w:tcPr>
            <w:tcW w:w="3397" w:type="dxa"/>
          </w:tcPr>
          <w:p w14:paraId="1289D4CE" w14:textId="77777777" w:rsidR="0045152C" w:rsidRPr="0045152C" w:rsidRDefault="0045152C" w:rsidP="001E08AF">
            <w:pPr>
              <w:keepNext/>
              <w:keepLines/>
              <w:spacing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Blod</w:t>
            </w:r>
          </w:p>
        </w:tc>
        <w:tc>
          <w:tcPr>
            <w:tcW w:w="4962" w:type="dxa"/>
          </w:tcPr>
          <w:p w14:paraId="4CB58E85" w14:textId="77777777" w:rsidR="0045152C" w:rsidRPr="0045152C" w:rsidRDefault="0045152C" w:rsidP="001E08AF">
            <w:pPr>
              <w:spacing w:after="0" w:line="240" w:lineRule="auto"/>
              <w:ind w:left="35" w:right="0"/>
              <w:rPr>
                <w:rFonts w:ascii="Times New Roman" w:hAnsi="Times New Roman"/>
                <w:color w:val="000000"/>
                <w:szCs w:val="22"/>
              </w:rPr>
            </w:pPr>
            <w:r w:rsidRPr="0045152C">
              <w:rPr>
                <w:rFonts w:ascii="Times New Roman" w:hAnsi="Times New Roman"/>
                <w:color w:val="000000"/>
                <w:szCs w:val="22"/>
              </w:rPr>
              <w:t>Blodgruppering/bastest</w:t>
            </w:r>
          </w:p>
        </w:tc>
      </w:tr>
    </w:tbl>
    <w:p w14:paraId="5ECC2A86" w14:textId="6A861CB4" w:rsidR="0045152C" w:rsidRPr="0045152C" w:rsidRDefault="0045152C" w:rsidP="0045152C">
      <w:pPr>
        <w:spacing w:after="160" w:line="259" w:lineRule="auto"/>
        <w:ind w:left="993" w:right="0"/>
        <w:rPr>
          <w:rFonts w:ascii="Calibri Light" w:hAnsi="Calibri Light"/>
          <w:color w:val="000000"/>
          <w:sz w:val="40"/>
          <w:szCs w:val="32"/>
          <w:lang w:eastAsia="en-US"/>
        </w:rPr>
      </w:pPr>
    </w:p>
    <w:p w14:paraId="65EEF26B" w14:textId="77777777" w:rsidR="0045152C" w:rsidRPr="0045152C" w:rsidRDefault="0045152C" w:rsidP="0045152C">
      <w:pPr>
        <w:spacing w:after="160" w:line="259" w:lineRule="auto"/>
        <w:ind w:left="993" w:right="0"/>
        <w:rPr>
          <w:rFonts w:eastAsia="Calibri"/>
          <w:color w:val="000000"/>
          <w:szCs w:val="22"/>
          <w:lang w:eastAsia="en-US"/>
        </w:rPr>
      </w:pPr>
      <w:bookmarkStart w:id="2" w:name="_Toc155183741"/>
      <w:bookmarkStart w:id="3" w:name="_Toc155184327"/>
    </w:p>
    <w:tbl>
      <w:tblPr>
        <w:tblStyle w:val="Tabellrutnt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00" w:firstRow="0" w:lastRow="0" w:firstColumn="0" w:lastColumn="0" w:noHBand="1" w:noVBand="1"/>
      </w:tblPr>
      <w:tblGrid>
        <w:gridCol w:w="3397"/>
        <w:gridCol w:w="4962"/>
      </w:tblGrid>
      <w:tr w:rsidR="0045152C" w:rsidRPr="0045152C" w14:paraId="3E94F273" w14:textId="77777777" w:rsidTr="00B44FB6">
        <w:trPr>
          <w:trHeight w:val="567"/>
        </w:trPr>
        <w:tc>
          <w:tcPr>
            <w:tcW w:w="3397" w:type="dxa"/>
          </w:tcPr>
          <w:p w14:paraId="1AD6F2A0" w14:textId="77777777" w:rsidR="0045152C" w:rsidRPr="0045152C" w:rsidRDefault="0045152C" w:rsidP="0045152C">
            <w:pPr>
              <w:keepNext/>
              <w:keepLines/>
              <w:spacing w:before="240"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Positionering</w:t>
            </w:r>
          </w:p>
        </w:tc>
        <w:tc>
          <w:tcPr>
            <w:tcW w:w="4962" w:type="dxa"/>
          </w:tcPr>
          <w:p w14:paraId="4326B25A" w14:textId="77777777" w:rsidR="0045152C" w:rsidRPr="0045152C" w:rsidRDefault="0045152C" w:rsidP="0045152C">
            <w:pPr>
              <w:spacing w:before="240" w:after="0" w:line="240" w:lineRule="auto"/>
              <w:ind w:left="35" w:right="0"/>
              <w:rPr>
                <w:rFonts w:ascii="Times New Roman" w:hAnsi="Times New Roman"/>
                <w:color w:val="000000"/>
                <w:szCs w:val="22"/>
              </w:rPr>
            </w:pPr>
            <w:bookmarkStart w:id="4" w:name="_Hlk156380214"/>
            <w:r w:rsidRPr="0045152C">
              <w:rPr>
                <w:rFonts w:ascii="Times New Roman" w:hAnsi="Times New Roman"/>
                <w:color w:val="000000"/>
                <w:szCs w:val="22"/>
              </w:rPr>
              <w:t xml:space="preserve">Ryggläge </w:t>
            </w:r>
            <w:bookmarkEnd w:id="4"/>
            <w:r w:rsidRPr="0045152C">
              <w:rPr>
                <w:color w:val="000000"/>
                <w:szCs w:val="22"/>
              </w:rPr>
              <w:fldChar w:fldCharType="begin"/>
            </w:r>
            <w:r w:rsidRPr="0045152C">
              <w:rPr>
                <w:rFonts w:ascii="Times New Roman" w:hAnsi="Times New Roman"/>
                <w:color w:val="000000"/>
                <w:szCs w:val="22"/>
              </w:rPr>
              <w:instrText>HYPERLINK "https://mellanarkiv-offentlig.vgregion.se/alfresco/s/archive/stream/public/v1/source/available/sofia/su9805-1593997-1621/surrogate/Positionering%20i%20ryggl%c3%a4ge%20Op%201%20och%208.pdf"</w:instrText>
            </w:r>
            <w:r w:rsidRPr="0045152C">
              <w:rPr>
                <w:color w:val="000000"/>
                <w:szCs w:val="22"/>
              </w:rPr>
            </w:r>
            <w:r w:rsidRPr="0045152C">
              <w:rPr>
                <w:color w:val="000000"/>
                <w:szCs w:val="22"/>
              </w:rPr>
              <w:fldChar w:fldCharType="separate"/>
            </w:r>
            <w:r w:rsidRPr="0045152C">
              <w:rPr>
                <w:rFonts w:ascii="Times New Roman" w:hAnsi="Times New Roman"/>
                <w:color w:val="0563C1"/>
                <w:szCs w:val="22"/>
                <w:u w:val="single"/>
              </w:rPr>
              <w:t>länk</w:t>
            </w:r>
            <w:r w:rsidRPr="0045152C">
              <w:rPr>
                <w:color w:val="000000"/>
                <w:szCs w:val="22"/>
              </w:rPr>
              <w:fldChar w:fldCharType="end"/>
            </w:r>
          </w:p>
        </w:tc>
      </w:tr>
      <w:tr w:rsidR="0045152C" w:rsidRPr="0045152C" w14:paraId="7AB5940B" w14:textId="77777777" w:rsidTr="00B44FB6">
        <w:trPr>
          <w:trHeight w:val="567"/>
        </w:trPr>
        <w:tc>
          <w:tcPr>
            <w:tcW w:w="3397" w:type="dxa"/>
          </w:tcPr>
          <w:p w14:paraId="7325F1C0" w14:textId="77777777" w:rsidR="0045152C" w:rsidRPr="0045152C" w:rsidRDefault="0045152C" w:rsidP="0045152C">
            <w:pPr>
              <w:keepNext/>
              <w:keepLines/>
              <w:spacing w:before="240"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Värmemetod</w:t>
            </w:r>
          </w:p>
        </w:tc>
        <w:tc>
          <w:tcPr>
            <w:tcW w:w="4962" w:type="dxa"/>
          </w:tcPr>
          <w:p w14:paraId="11B85A00" w14:textId="77777777" w:rsidR="0045152C" w:rsidRPr="0045152C" w:rsidRDefault="0045152C" w:rsidP="0045152C">
            <w:pPr>
              <w:spacing w:before="240" w:after="0" w:line="240" w:lineRule="auto"/>
              <w:ind w:left="35" w:right="0"/>
              <w:rPr>
                <w:rFonts w:ascii="Times New Roman" w:hAnsi="Times New Roman"/>
                <w:color w:val="000000"/>
                <w:szCs w:val="22"/>
              </w:rPr>
            </w:pPr>
            <w:r w:rsidRPr="0045152C">
              <w:rPr>
                <w:rFonts w:ascii="Times New Roman" w:hAnsi="Times New Roman"/>
                <w:i/>
                <w:iCs/>
                <w:color w:val="000000"/>
                <w:szCs w:val="22"/>
                <w:u w:val="single"/>
              </w:rPr>
              <w:t>Laparoskopi</w:t>
            </w:r>
            <w:r w:rsidRPr="0045152C">
              <w:rPr>
                <w:rFonts w:ascii="Times New Roman" w:hAnsi="Times New Roman"/>
                <w:color w:val="000000"/>
                <w:szCs w:val="22"/>
              </w:rPr>
              <w:t>: Equator helkroppsundertäcke eller överkroppstäcke</w:t>
            </w:r>
          </w:p>
          <w:p w14:paraId="6861603B" w14:textId="77777777" w:rsidR="0045152C" w:rsidRPr="0045152C" w:rsidRDefault="0045152C" w:rsidP="0045152C">
            <w:pPr>
              <w:spacing w:before="240" w:after="0" w:line="240" w:lineRule="auto"/>
              <w:ind w:left="35" w:right="0"/>
              <w:rPr>
                <w:rFonts w:ascii="Times New Roman" w:hAnsi="Times New Roman"/>
                <w:color w:val="000000"/>
                <w:szCs w:val="22"/>
              </w:rPr>
            </w:pPr>
            <w:r w:rsidRPr="0045152C">
              <w:rPr>
                <w:rFonts w:ascii="Times New Roman" w:hAnsi="Times New Roman"/>
                <w:i/>
                <w:iCs/>
                <w:color w:val="000000"/>
                <w:szCs w:val="22"/>
                <w:u w:val="single"/>
              </w:rPr>
              <w:t>Öppen kirurgi:</w:t>
            </w:r>
            <w:r w:rsidRPr="0045152C">
              <w:rPr>
                <w:rFonts w:ascii="Times New Roman" w:hAnsi="Times New Roman"/>
                <w:color w:val="000000"/>
                <w:szCs w:val="22"/>
              </w:rPr>
              <w:t xml:space="preserve"> Equator helkroppsundertäcke eller överkroppstäcke, alt. Warmcloud</w:t>
            </w:r>
          </w:p>
        </w:tc>
      </w:tr>
      <w:tr w:rsidR="0045152C" w:rsidRPr="0045152C" w14:paraId="13F43958" w14:textId="77777777" w:rsidTr="00B44FB6">
        <w:trPr>
          <w:trHeight w:val="567"/>
        </w:trPr>
        <w:tc>
          <w:tcPr>
            <w:tcW w:w="3397" w:type="dxa"/>
          </w:tcPr>
          <w:p w14:paraId="22FD5752" w14:textId="77777777" w:rsidR="0045152C" w:rsidRPr="0045152C" w:rsidRDefault="0045152C" w:rsidP="0045152C">
            <w:pPr>
              <w:keepNext/>
              <w:keepLines/>
              <w:spacing w:before="240"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Trombosprofylax</w:t>
            </w:r>
          </w:p>
        </w:tc>
        <w:tc>
          <w:tcPr>
            <w:tcW w:w="4962" w:type="dxa"/>
          </w:tcPr>
          <w:p w14:paraId="6C0B98DD" w14:textId="77777777" w:rsidR="0045152C" w:rsidRPr="0045152C" w:rsidRDefault="0045152C" w:rsidP="0045152C">
            <w:pPr>
              <w:spacing w:before="240" w:after="0" w:line="240" w:lineRule="auto"/>
              <w:ind w:left="35" w:right="0"/>
              <w:rPr>
                <w:rFonts w:ascii="Times New Roman" w:hAnsi="Times New Roman"/>
                <w:color w:val="000000"/>
                <w:szCs w:val="22"/>
              </w:rPr>
            </w:pPr>
            <w:r w:rsidRPr="0045152C">
              <w:rPr>
                <w:rFonts w:ascii="Times New Roman" w:hAnsi="Times New Roman"/>
                <w:color w:val="000000"/>
                <w:szCs w:val="22"/>
              </w:rPr>
              <w:t>Enligt läkemedelsmodul</w:t>
            </w:r>
          </w:p>
        </w:tc>
      </w:tr>
      <w:tr w:rsidR="0045152C" w:rsidRPr="0045152C" w14:paraId="1C2288F3" w14:textId="77777777" w:rsidTr="00B44FB6">
        <w:trPr>
          <w:trHeight w:val="567"/>
        </w:trPr>
        <w:tc>
          <w:tcPr>
            <w:tcW w:w="3397" w:type="dxa"/>
          </w:tcPr>
          <w:p w14:paraId="1B489D8B" w14:textId="77777777" w:rsidR="0045152C" w:rsidRPr="0045152C" w:rsidRDefault="0045152C" w:rsidP="0045152C">
            <w:pPr>
              <w:keepNext/>
              <w:keepLines/>
              <w:spacing w:before="240"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Antibiotikaprofylax</w:t>
            </w:r>
          </w:p>
        </w:tc>
        <w:tc>
          <w:tcPr>
            <w:tcW w:w="4962" w:type="dxa"/>
          </w:tcPr>
          <w:p w14:paraId="4BD0964B" w14:textId="77777777" w:rsidR="0045152C" w:rsidRPr="0045152C" w:rsidRDefault="0045152C" w:rsidP="0045152C">
            <w:pPr>
              <w:spacing w:before="240" w:after="0" w:line="240" w:lineRule="auto"/>
              <w:ind w:left="35" w:right="0"/>
              <w:rPr>
                <w:rFonts w:ascii="Times New Roman" w:hAnsi="Times New Roman"/>
                <w:color w:val="000000"/>
                <w:szCs w:val="22"/>
              </w:rPr>
            </w:pPr>
            <w:r w:rsidRPr="0045152C">
              <w:rPr>
                <w:rFonts w:ascii="Times New Roman" w:hAnsi="Times New Roman"/>
                <w:color w:val="000000"/>
                <w:szCs w:val="22"/>
              </w:rPr>
              <w:t>Enligt läkemedelsmodul</w:t>
            </w:r>
          </w:p>
        </w:tc>
      </w:tr>
      <w:tr w:rsidR="0045152C" w:rsidRPr="0045152C" w14:paraId="3A2A9442" w14:textId="77777777" w:rsidTr="00B44FB6">
        <w:trPr>
          <w:trHeight w:val="567"/>
        </w:trPr>
        <w:tc>
          <w:tcPr>
            <w:tcW w:w="3397" w:type="dxa"/>
          </w:tcPr>
          <w:p w14:paraId="73EC939D" w14:textId="77777777" w:rsidR="0045152C" w:rsidRPr="0045152C" w:rsidRDefault="0045152C" w:rsidP="0045152C">
            <w:pPr>
              <w:keepNext/>
              <w:keepLines/>
              <w:spacing w:before="240"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PONV-Profylax</w:t>
            </w:r>
          </w:p>
        </w:tc>
        <w:tc>
          <w:tcPr>
            <w:tcW w:w="4962" w:type="dxa"/>
          </w:tcPr>
          <w:p w14:paraId="55E7D6DC" w14:textId="77777777" w:rsidR="0045152C" w:rsidRPr="0045152C" w:rsidRDefault="0045152C" w:rsidP="0045152C">
            <w:pPr>
              <w:spacing w:before="240" w:after="0" w:line="240" w:lineRule="auto"/>
              <w:ind w:left="35" w:right="0"/>
              <w:rPr>
                <w:rFonts w:ascii="Times New Roman" w:hAnsi="Times New Roman"/>
                <w:color w:val="000000"/>
                <w:szCs w:val="22"/>
              </w:rPr>
            </w:pPr>
            <w:r w:rsidRPr="0045152C">
              <w:rPr>
                <w:rFonts w:ascii="Times New Roman" w:hAnsi="Times New Roman"/>
                <w:color w:val="000000"/>
                <w:szCs w:val="22"/>
              </w:rPr>
              <w:t>Betameson, Ondansetron</w:t>
            </w:r>
          </w:p>
        </w:tc>
      </w:tr>
      <w:tr w:rsidR="0045152C" w:rsidRPr="0045152C" w14:paraId="6C7D9C09" w14:textId="77777777" w:rsidTr="00B44FB6">
        <w:trPr>
          <w:trHeight w:val="567"/>
        </w:trPr>
        <w:tc>
          <w:tcPr>
            <w:tcW w:w="3397" w:type="dxa"/>
          </w:tcPr>
          <w:p w14:paraId="0E8675C1" w14:textId="77777777" w:rsidR="0045152C" w:rsidRPr="0045152C" w:rsidRDefault="0045152C" w:rsidP="0045152C">
            <w:pPr>
              <w:keepNext/>
              <w:keepLines/>
              <w:spacing w:before="240" w:line="240" w:lineRule="auto"/>
              <w:ind w:left="993" w:right="0"/>
              <w:outlineLvl w:val="1"/>
              <w:rPr>
                <w:rFonts w:ascii="Times New Roman" w:hAnsi="Times New Roman"/>
                <w:b/>
                <w:color w:val="000000"/>
                <w:szCs w:val="26"/>
              </w:rPr>
            </w:pPr>
            <w:r w:rsidRPr="0045152C">
              <w:rPr>
                <w:rFonts w:ascii="Times New Roman" w:hAnsi="Times New Roman"/>
                <w:b/>
                <w:color w:val="000000"/>
                <w:szCs w:val="26"/>
              </w:rPr>
              <w:t>Smärta</w:t>
            </w:r>
          </w:p>
        </w:tc>
        <w:tc>
          <w:tcPr>
            <w:tcW w:w="4962" w:type="dxa"/>
          </w:tcPr>
          <w:p w14:paraId="5760356B" w14:textId="77777777" w:rsidR="0045152C" w:rsidRPr="0045152C" w:rsidRDefault="0045152C" w:rsidP="0045152C">
            <w:pPr>
              <w:spacing w:before="240" w:after="0" w:line="240" w:lineRule="auto"/>
              <w:ind w:left="35" w:right="0"/>
              <w:rPr>
                <w:rFonts w:ascii="Times New Roman" w:hAnsi="Times New Roman"/>
                <w:color w:val="000000"/>
                <w:szCs w:val="22"/>
              </w:rPr>
            </w:pPr>
            <w:r w:rsidRPr="0045152C">
              <w:rPr>
                <w:rFonts w:ascii="Times New Roman" w:hAnsi="Times New Roman"/>
                <w:i/>
                <w:iCs/>
                <w:color w:val="000000"/>
                <w:szCs w:val="22"/>
                <w:u w:val="single"/>
              </w:rPr>
              <w:t>Laparoskopi:</w:t>
            </w:r>
            <w:r w:rsidRPr="0045152C">
              <w:rPr>
                <w:rFonts w:ascii="Times New Roman" w:hAnsi="Times New Roman"/>
                <w:color w:val="000000"/>
                <w:szCs w:val="22"/>
              </w:rPr>
              <w:t xml:space="preserve"> Lokalbedövning i alla stickkanaler, Paracetamol, Oxycodone</w:t>
            </w:r>
          </w:p>
          <w:p w14:paraId="20EE2E94" w14:textId="77777777" w:rsidR="0045152C" w:rsidRPr="0045152C" w:rsidRDefault="0045152C" w:rsidP="0045152C">
            <w:pPr>
              <w:spacing w:before="240" w:after="0" w:line="240" w:lineRule="auto"/>
              <w:ind w:left="35" w:right="0"/>
              <w:rPr>
                <w:rFonts w:ascii="Times New Roman" w:hAnsi="Times New Roman"/>
                <w:color w:val="000000"/>
                <w:szCs w:val="22"/>
              </w:rPr>
            </w:pPr>
            <w:r w:rsidRPr="0045152C">
              <w:rPr>
                <w:rFonts w:ascii="Times New Roman" w:hAnsi="Times New Roman"/>
                <w:i/>
                <w:iCs/>
                <w:color w:val="000000"/>
                <w:szCs w:val="22"/>
                <w:u w:val="single"/>
              </w:rPr>
              <w:t>Öppen Kirurgi:</w:t>
            </w:r>
            <w:r w:rsidRPr="0045152C">
              <w:rPr>
                <w:rFonts w:ascii="Times New Roman" w:hAnsi="Times New Roman"/>
                <w:color w:val="000000"/>
                <w:szCs w:val="22"/>
              </w:rPr>
              <w:t xml:space="preserve"> TEDA (startas peroperativt) Paracetamol, Oxycodone v.b.</w:t>
            </w:r>
          </w:p>
        </w:tc>
      </w:tr>
      <w:bookmarkEnd w:id="2"/>
      <w:bookmarkEnd w:id="3"/>
    </w:tbl>
    <w:p w14:paraId="29D7EEEC" w14:textId="77777777" w:rsidR="0045152C" w:rsidRPr="0045152C" w:rsidRDefault="0045152C" w:rsidP="0045152C">
      <w:pPr>
        <w:spacing w:after="160" w:line="259" w:lineRule="auto"/>
        <w:ind w:left="993" w:right="0"/>
        <w:rPr>
          <w:rFonts w:eastAsia="Calibri"/>
          <w:color w:val="000000"/>
          <w:szCs w:val="22"/>
          <w:lang w:eastAsia="en-US"/>
        </w:rPr>
      </w:pPr>
    </w:p>
    <w:p w14:paraId="5BF58BB4" w14:textId="77777777" w:rsidR="0045152C" w:rsidRPr="0045152C" w:rsidRDefault="0045152C" w:rsidP="0045152C">
      <w:pPr>
        <w:keepNext/>
        <w:keepLines/>
        <w:spacing w:before="360" w:after="240" w:line="259" w:lineRule="auto"/>
        <w:ind w:left="993" w:right="0"/>
        <w:outlineLvl w:val="0"/>
        <w:rPr>
          <w:rFonts w:ascii="Calibri Light" w:hAnsi="Calibri Light"/>
          <w:color w:val="000000"/>
          <w:sz w:val="40"/>
          <w:szCs w:val="32"/>
          <w:lang w:eastAsia="en-US"/>
        </w:rPr>
      </w:pPr>
      <w:bookmarkStart w:id="5" w:name="_Anestesi"/>
      <w:bookmarkStart w:id="6" w:name="_Pankreatektomi"/>
      <w:bookmarkStart w:id="7" w:name="_Laparoskopisk_distal_pankreatektomi"/>
      <w:bookmarkStart w:id="8" w:name="_Toc155183755"/>
      <w:bookmarkStart w:id="9" w:name="_Toc155184341"/>
      <w:bookmarkEnd w:id="5"/>
      <w:bookmarkEnd w:id="6"/>
      <w:bookmarkEnd w:id="7"/>
      <w:r w:rsidRPr="0045152C">
        <w:rPr>
          <w:rFonts w:ascii="Calibri Light" w:hAnsi="Calibri Light"/>
          <w:color w:val="000000"/>
          <w:sz w:val="40"/>
          <w:szCs w:val="32"/>
          <w:lang w:eastAsia="en-US"/>
        </w:rPr>
        <w:t>Anestesiologiska beaktanden</w:t>
      </w:r>
      <w:bookmarkStart w:id="10" w:name="_Hlk156395163"/>
      <w:bookmarkEnd w:id="8"/>
      <w:bookmarkEnd w:id="9"/>
    </w:p>
    <w:p w14:paraId="75FD6C87" w14:textId="77777777" w:rsidR="0045152C" w:rsidRPr="0045152C" w:rsidRDefault="0045152C" w:rsidP="0045152C">
      <w:pPr>
        <w:spacing w:after="160" w:line="259" w:lineRule="auto"/>
        <w:ind w:left="993" w:right="0"/>
        <w:rPr>
          <w:rFonts w:eastAsia="Calibri"/>
          <w:color w:val="000000"/>
          <w:szCs w:val="22"/>
          <w:lang w:eastAsia="en-US"/>
        </w:rPr>
      </w:pPr>
      <w:r w:rsidRPr="0045152C">
        <w:rPr>
          <w:rFonts w:eastAsia="Calibri"/>
          <w:color w:val="000000"/>
          <w:szCs w:val="22"/>
          <w:lang w:eastAsia="en-US"/>
        </w:rPr>
        <w:t>Ökad risk för aspiration i samband med sövning.</w:t>
      </w:r>
    </w:p>
    <w:p w14:paraId="163965B7" w14:textId="77777777" w:rsidR="0045152C" w:rsidRPr="0045152C" w:rsidRDefault="0045152C" w:rsidP="0045152C">
      <w:pPr>
        <w:keepNext/>
        <w:keepLines/>
        <w:spacing w:before="360" w:after="240" w:line="259" w:lineRule="auto"/>
        <w:ind w:left="993" w:right="0"/>
        <w:outlineLvl w:val="0"/>
        <w:rPr>
          <w:rFonts w:ascii="Calibri Light" w:hAnsi="Calibri Light"/>
          <w:color w:val="000000"/>
          <w:sz w:val="40"/>
          <w:szCs w:val="32"/>
          <w:lang w:eastAsia="en-US"/>
        </w:rPr>
      </w:pPr>
      <w:bookmarkStart w:id="11" w:name="_Toc155183756"/>
      <w:bookmarkStart w:id="12" w:name="_Toc155184342"/>
      <w:r w:rsidRPr="0045152C">
        <w:rPr>
          <w:rFonts w:ascii="Calibri Light" w:hAnsi="Calibri Light"/>
          <w:color w:val="000000"/>
          <w:sz w:val="40"/>
          <w:szCs w:val="32"/>
          <w:lang w:eastAsia="en-US"/>
        </w:rPr>
        <w:t>Bakgrund</w:t>
      </w:r>
      <w:bookmarkEnd w:id="11"/>
      <w:bookmarkEnd w:id="12"/>
    </w:p>
    <w:p w14:paraId="32FFDBE6" w14:textId="77777777" w:rsidR="0045152C" w:rsidRPr="0045152C" w:rsidRDefault="0045152C" w:rsidP="0045152C">
      <w:pPr>
        <w:spacing w:after="160" w:line="259" w:lineRule="auto"/>
        <w:ind w:left="993" w:right="0"/>
        <w:rPr>
          <w:rFonts w:eastAsia="Calibri"/>
          <w:color w:val="000000"/>
          <w:szCs w:val="22"/>
          <w:lang w:eastAsia="en-US"/>
        </w:rPr>
      </w:pPr>
      <w:r w:rsidRPr="0045152C">
        <w:rPr>
          <w:rFonts w:eastAsia="Arial"/>
          <w:color w:val="000000"/>
          <w:szCs w:val="22"/>
          <w:lang w:eastAsia="en-US"/>
        </w:rPr>
        <w:t xml:space="preserve">Fundoplikatio utförs som behandling vid gastroesofageal refluxsjukdom (GERD), där den nedre esofagussfinktern inte adekvat förhindrar att surt ventrikelinnehåll läcker upp i esofagus vilket kan orsaka symptom så som sura uppstötningar, halsbränna och bröstsmärta. Kirurgi är indicerad då medicinsk behandling ej varit framgångsrik. I de flesta fall är hiatusbråck (magmunsbråck) en bidragande orsak till GERD, vilket åtgärdas vid samma operation. Också andra typer av besvär orsakade av hiatusbråck kan utgöra indikation för denna typ av kirurgi, så som mekaniskt passagehinder (vilket kan ge upphov till dysfagi, regurgitation av odigererad föda och aspirationer med kronisk hosta eller recidiverande pneumonier som följd), kompression av och påverkan på hjärta, lungor och kärl samt inklämning av hernierade organ i bråcket. Vid operationen förs eventuellt hiatusbråck tillbaka från mediastinum till bukhålan, och fundoplikationen görs </w:t>
      </w:r>
      <w:r w:rsidRPr="0045152C">
        <w:rPr>
          <w:rFonts w:eastAsia="Arial"/>
          <w:color w:val="000000"/>
          <w:szCs w:val="22"/>
          <w:lang w:eastAsia="en-US"/>
        </w:rPr>
        <w:lastRenderedPageBreak/>
        <w:t>sedan genom att övre delen av ventrikeln (fundus) dras runt esofagus och sys som en krage runt denna, vilket skapar en backventil som förhindrar passage av ventrikelinnehåll upp till esofagus. Vanligen görs fundoplikationen enligt Nissen då fundus dras runt 360</w:t>
      </w:r>
      <w:r w:rsidRPr="0045152C">
        <w:rPr>
          <w:rFonts w:eastAsia="Arial"/>
          <w:color w:val="44546A"/>
          <w:szCs w:val="22"/>
          <w:lang w:eastAsia="en-US"/>
        </w:rPr>
        <w:t xml:space="preserve">°, </w:t>
      </w:r>
      <w:r w:rsidRPr="0045152C">
        <w:rPr>
          <w:rFonts w:eastAsia="Arial"/>
          <w:szCs w:val="22"/>
          <w:lang w:eastAsia="en-US"/>
        </w:rPr>
        <w:t xml:space="preserve">men vid försämrad motorik i esofagus görs i stället fundoplikationen 270° (enligt Toupet) eller 180° (enligt Dor). Man gör också en cruraplastik vilket innebär att hiatus (öppningen i diafragma där esofagus passerar) </w:t>
      </w:r>
      <w:r w:rsidRPr="0045152C">
        <w:rPr>
          <w:rFonts w:eastAsia="Arial"/>
          <w:color w:val="000000"/>
          <w:szCs w:val="22"/>
          <w:lang w:eastAsia="en-US"/>
        </w:rPr>
        <w:t xml:space="preserve">försnävas. </w:t>
      </w:r>
    </w:p>
    <w:p w14:paraId="51E7E246" w14:textId="77777777" w:rsidR="0045152C" w:rsidRPr="0045152C" w:rsidRDefault="0045152C" w:rsidP="0045152C">
      <w:pPr>
        <w:keepNext/>
        <w:keepLines/>
        <w:spacing w:before="360" w:after="240" w:line="259" w:lineRule="auto"/>
        <w:ind w:left="993" w:right="0"/>
        <w:outlineLvl w:val="0"/>
        <w:rPr>
          <w:rFonts w:ascii="Calibri Light" w:hAnsi="Calibri Light"/>
          <w:color w:val="000000"/>
          <w:sz w:val="40"/>
          <w:szCs w:val="32"/>
          <w:lang w:eastAsia="en-US"/>
        </w:rPr>
      </w:pPr>
      <w:bookmarkStart w:id="13" w:name="_Toc155184344"/>
      <w:r w:rsidRPr="0045152C">
        <w:rPr>
          <w:rFonts w:ascii="Calibri Light" w:hAnsi="Calibri Light"/>
          <w:color w:val="000000"/>
          <w:sz w:val="40"/>
          <w:szCs w:val="32"/>
          <w:lang w:eastAsia="en-US"/>
        </w:rPr>
        <w:t>Ansvar</w:t>
      </w:r>
      <w:bookmarkEnd w:id="13"/>
    </w:p>
    <w:p w14:paraId="47E075FD" w14:textId="77777777" w:rsidR="0045152C" w:rsidRPr="0045152C" w:rsidRDefault="0045152C" w:rsidP="0045152C">
      <w:pPr>
        <w:spacing w:after="160" w:line="259" w:lineRule="auto"/>
        <w:ind w:left="993" w:right="0"/>
        <w:rPr>
          <w:rFonts w:eastAsia="Calibri"/>
          <w:color w:val="000000"/>
          <w:szCs w:val="22"/>
          <w:lang w:eastAsia="en-US"/>
        </w:rPr>
      </w:pPr>
      <w:r w:rsidRPr="0045152C">
        <w:rPr>
          <w:rFonts w:eastAsia="Calibri"/>
          <w:color w:val="000000"/>
          <w:szCs w:val="22"/>
          <w:lang w:eastAsia="en-US"/>
        </w:rPr>
        <w:t>All personal på Operation 1 och 8/HyBi har ansvar att arbeta utefter denna rutin. Verksamhetschefen har det övergripande ansvaret för utförande av rutinen samt för att rutinen är känd och att den följs. Vårdenhetschefen och/eller vårdenhetsöverläkare har ansvaret för att utförande av rutinen samt för att rutinen är känd och följs på respektive enhet.</w:t>
      </w:r>
    </w:p>
    <w:p w14:paraId="091B4D98" w14:textId="77777777" w:rsidR="0045152C" w:rsidRPr="0045152C" w:rsidRDefault="0045152C" w:rsidP="0045152C">
      <w:pPr>
        <w:keepNext/>
        <w:keepLines/>
        <w:spacing w:before="360" w:after="240" w:line="259" w:lineRule="auto"/>
        <w:ind w:left="993" w:right="0"/>
        <w:outlineLvl w:val="0"/>
        <w:rPr>
          <w:rFonts w:ascii="Calibri Light" w:hAnsi="Calibri Light"/>
          <w:color w:val="000000"/>
          <w:sz w:val="40"/>
          <w:szCs w:val="32"/>
          <w:lang w:eastAsia="en-US"/>
        </w:rPr>
      </w:pPr>
      <w:bookmarkStart w:id="14" w:name="_Toc155183759"/>
      <w:bookmarkStart w:id="15" w:name="_Toc155184345"/>
      <w:r w:rsidRPr="0045152C">
        <w:rPr>
          <w:rFonts w:ascii="Calibri Light" w:hAnsi="Calibri Light"/>
          <w:color w:val="000000"/>
          <w:sz w:val="40"/>
          <w:szCs w:val="32"/>
          <w:lang w:eastAsia="en-US"/>
        </w:rPr>
        <w:t>Uppföljning, utvärdering och revision</w:t>
      </w:r>
      <w:bookmarkEnd w:id="14"/>
      <w:bookmarkEnd w:id="15"/>
    </w:p>
    <w:p w14:paraId="777C7C29" w14:textId="77777777" w:rsidR="0045152C" w:rsidRPr="0045152C" w:rsidRDefault="0045152C" w:rsidP="0045152C">
      <w:pPr>
        <w:spacing w:after="160" w:line="259" w:lineRule="auto"/>
        <w:ind w:left="993" w:right="0"/>
        <w:rPr>
          <w:rFonts w:eastAsia="Calibri"/>
          <w:color w:val="000000"/>
          <w:szCs w:val="22"/>
          <w:lang w:eastAsia="en-US"/>
        </w:rPr>
      </w:pPr>
      <w:r w:rsidRPr="0045152C">
        <w:rPr>
          <w:rFonts w:eastAsia="Calibri"/>
          <w:color w:val="000000"/>
          <w:szCs w:val="22"/>
          <w:lang w:eastAsia="en-US"/>
        </w:rPr>
        <w:t>Verksamhetschefen har det övergripande ansvaret för att rutinen följs upp och utvärderas. Vårdenhetschef och/eller vårdenhetsöverläkare har tillsammans med avdelningsinstruktörer ansvar för att rutinen uppdateras på respektive enhet. Medvetet avsteg från rutinen dokumenteras i Melior. Övriga orsaker till avsteg från rutinen rapporteras i MedControl PRO</w:t>
      </w:r>
      <w:bookmarkEnd w:id="10"/>
    </w:p>
    <w:p w14:paraId="46777E1A" w14:textId="77777777" w:rsidR="0045152C" w:rsidRPr="0045152C" w:rsidRDefault="0045152C" w:rsidP="0045152C"/>
    <w:sectPr w:rsidR="0045152C" w:rsidRPr="0045152C" w:rsidSect="00D6485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CE337D" w14:textId="77777777" w:rsidR="00E67AB8" w:rsidRDefault="00E67AB8">
      <w:r>
        <w:separator/>
      </w:r>
    </w:p>
  </w:endnote>
  <w:endnote w:type="continuationSeparator" w:id="0">
    <w:p w14:paraId="3E4871BF" w14:textId="77777777" w:rsidR="00E67AB8" w:rsidRDefault="00E67AB8">
      <w:r>
        <w:continuationSeparator/>
      </w:r>
    </w:p>
  </w:endnote>
  <w:endnote w:type="continuationNotice" w:id="1">
    <w:p w14:paraId="51170000" w14:textId="77777777" w:rsidR="00E67AB8" w:rsidRDefault="00E67A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3FB0D4" w14:textId="77777777" w:rsidR="00E67AB8" w:rsidRDefault="00E67AB8"/>
  </w:footnote>
  <w:footnote w:type="continuationSeparator" w:id="0">
    <w:p w14:paraId="157E2AA3" w14:textId="77777777" w:rsidR="00E67AB8" w:rsidRDefault="00E67AB8">
      <w:r>
        <w:continuationSeparator/>
      </w:r>
    </w:p>
  </w:footnote>
  <w:footnote w:type="continuationNotice" w:id="1">
    <w:p w14:paraId="5597706B" w14:textId="77777777" w:rsidR="00E67AB8" w:rsidRDefault="00E67A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98C2841"/>
    <w:multiLevelType w:val="hybridMultilevel"/>
    <w:tmpl w:val="E9DAD0E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84013564">
    <w:abstractNumId w:val="18"/>
  </w:num>
  <w:num w:numId="2" w16cid:durableId="1934700853">
    <w:abstractNumId w:val="15"/>
  </w:num>
  <w:num w:numId="3" w16cid:durableId="37557793">
    <w:abstractNumId w:val="0"/>
  </w:num>
  <w:num w:numId="4" w16cid:durableId="575746381">
    <w:abstractNumId w:val="6"/>
  </w:num>
  <w:num w:numId="5" w16cid:durableId="492530700">
    <w:abstractNumId w:val="16"/>
  </w:num>
  <w:num w:numId="6" w16cid:durableId="1308321870">
    <w:abstractNumId w:val="2"/>
  </w:num>
  <w:num w:numId="7" w16cid:durableId="1363362361">
    <w:abstractNumId w:val="12"/>
  </w:num>
  <w:num w:numId="8" w16cid:durableId="1060515335">
    <w:abstractNumId w:val="9"/>
  </w:num>
  <w:num w:numId="9" w16cid:durableId="2006275528">
    <w:abstractNumId w:val="1"/>
  </w:num>
  <w:num w:numId="10" w16cid:durableId="601646113">
    <w:abstractNumId w:val="1"/>
  </w:num>
  <w:num w:numId="11" w16cid:durableId="250621518">
    <w:abstractNumId w:val="3"/>
  </w:num>
  <w:num w:numId="12" w16cid:durableId="599148306">
    <w:abstractNumId w:val="4"/>
  </w:num>
  <w:num w:numId="13" w16cid:durableId="1012150658">
    <w:abstractNumId w:val="14"/>
  </w:num>
  <w:num w:numId="14" w16cid:durableId="2080513189">
    <w:abstractNumId w:val="10"/>
  </w:num>
  <w:num w:numId="15" w16cid:durableId="497889510">
    <w:abstractNumId w:val="7"/>
  </w:num>
  <w:num w:numId="16" w16cid:durableId="809173601">
    <w:abstractNumId w:val="13"/>
  </w:num>
  <w:num w:numId="17" w16cid:durableId="1776561312">
    <w:abstractNumId w:val="5"/>
  </w:num>
  <w:num w:numId="18" w16cid:durableId="898710444">
    <w:abstractNumId w:val="11"/>
  </w:num>
  <w:num w:numId="19" w16cid:durableId="138887024">
    <w:abstractNumId w:val="17"/>
  </w:num>
  <w:num w:numId="20" w16cid:durableId="208090056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4F4"/>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7E92"/>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EFF"/>
    <w:rsid w:val="00181FDC"/>
    <w:rsid w:val="001860B9"/>
    <w:rsid w:val="00186F2B"/>
    <w:rsid w:val="001874D6"/>
    <w:rsid w:val="00192843"/>
    <w:rsid w:val="0019632A"/>
    <w:rsid w:val="001A4E7C"/>
    <w:rsid w:val="001B762C"/>
    <w:rsid w:val="001C4D0A"/>
    <w:rsid w:val="001C5FEF"/>
    <w:rsid w:val="001D72FA"/>
    <w:rsid w:val="001E08AF"/>
    <w:rsid w:val="00211487"/>
    <w:rsid w:val="00211D91"/>
    <w:rsid w:val="00217DEC"/>
    <w:rsid w:val="00235B57"/>
    <w:rsid w:val="00250F24"/>
    <w:rsid w:val="002523C5"/>
    <w:rsid w:val="0025380B"/>
    <w:rsid w:val="0025703A"/>
    <w:rsid w:val="00262F3D"/>
    <w:rsid w:val="00263281"/>
    <w:rsid w:val="002651D6"/>
    <w:rsid w:val="0026551F"/>
    <w:rsid w:val="00280731"/>
    <w:rsid w:val="00280A85"/>
    <w:rsid w:val="00282902"/>
    <w:rsid w:val="00284119"/>
    <w:rsid w:val="00290B5C"/>
    <w:rsid w:val="00292843"/>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0C46"/>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3D4C"/>
    <w:rsid w:val="003B2A4B"/>
    <w:rsid w:val="003D099E"/>
    <w:rsid w:val="003D21A2"/>
    <w:rsid w:val="003D29D2"/>
    <w:rsid w:val="003E0705"/>
    <w:rsid w:val="003E2FF7"/>
    <w:rsid w:val="003F1013"/>
    <w:rsid w:val="003F1ACF"/>
    <w:rsid w:val="00404948"/>
    <w:rsid w:val="00406BEA"/>
    <w:rsid w:val="00413A60"/>
    <w:rsid w:val="004230F7"/>
    <w:rsid w:val="00423619"/>
    <w:rsid w:val="0043167E"/>
    <w:rsid w:val="0043409A"/>
    <w:rsid w:val="00443C1E"/>
    <w:rsid w:val="00446255"/>
    <w:rsid w:val="0045152C"/>
    <w:rsid w:val="00451935"/>
    <w:rsid w:val="00457D08"/>
    <w:rsid w:val="00460ED0"/>
    <w:rsid w:val="00465651"/>
    <w:rsid w:val="00470CE7"/>
    <w:rsid w:val="00470F4F"/>
    <w:rsid w:val="00472482"/>
    <w:rsid w:val="00480DC7"/>
    <w:rsid w:val="004876F6"/>
    <w:rsid w:val="0049236A"/>
    <w:rsid w:val="00492718"/>
    <w:rsid w:val="004A355D"/>
    <w:rsid w:val="004A4970"/>
    <w:rsid w:val="004B02D1"/>
    <w:rsid w:val="004B2183"/>
    <w:rsid w:val="004B2A01"/>
    <w:rsid w:val="004C2559"/>
    <w:rsid w:val="004C332E"/>
    <w:rsid w:val="004D7BA3"/>
    <w:rsid w:val="004F1A85"/>
    <w:rsid w:val="004F4518"/>
    <w:rsid w:val="004F4C62"/>
    <w:rsid w:val="00501433"/>
    <w:rsid w:val="00511CC4"/>
    <w:rsid w:val="005140FB"/>
    <w:rsid w:val="005148BD"/>
    <w:rsid w:val="00531E60"/>
    <w:rsid w:val="00536A5A"/>
    <w:rsid w:val="00541D07"/>
    <w:rsid w:val="00544BAB"/>
    <w:rsid w:val="00545F31"/>
    <w:rsid w:val="005578FA"/>
    <w:rsid w:val="00565129"/>
    <w:rsid w:val="00565CD0"/>
    <w:rsid w:val="00567820"/>
    <w:rsid w:val="00571236"/>
    <w:rsid w:val="005770AD"/>
    <w:rsid w:val="00581414"/>
    <w:rsid w:val="00582490"/>
    <w:rsid w:val="005826FA"/>
    <w:rsid w:val="00597E28"/>
    <w:rsid w:val="005A2E3B"/>
    <w:rsid w:val="005A54ED"/>
    <w:rsid w:val="005A5D5B"/>
    <w:rsid w:val="005A6081"/>
    <w:rsid w:val="005A627D"/>
    <w:rsid w:val="005C0045"/>
    <w:rsid w:val="005C084E"/>
    <w:rsid w:val="005C3CAC"/>
    <w:rsid w:val="005C4606"/>
    <w:rsid w:val="005D0B0C"/>
    <w:rsid w:val="005E02B3"/>
    <w:rsid w:val="005E1E24"/>
    <w:rsid w:val="005F0F17"/>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26AA"/>
    <w:rsid w:val="006933BA"/>
    <w:rsid w:val="006A2789"/>
    <w:rsid w:val="006A4978"/>
    <w:rsid w:val="006A7261"/>
    <w:rsid w:val="006B0D29"/>
    <w:rsid w:val="006B1819"/>
    <w:rsid w:val="006B588B"/>
    <w:rsid w:val="006B5DE7"/>
    <w:rsid w:val="006C342D"/>
    <w:rsid w:val="006C5048"/>
    <w:rsid w:val="006C6A4B"/>
    <w:rsid w:val="006C779F"/>
    <w:rsid w:val="006D01F5"/>
    <w:rsid w:val="006D0CFB"/>
    <w:rsid w:val="006D30C0"/>
    <w:rsid w:val="006D7535"/>
    <w:rsid w:val="006E450B"/>
    <w:rsid w:val="006F0D7E"/>
    <w:rsid w:val="00701CA2"/>
    <w:rsid w:val="00710B77"/>
    <w:rsid w:val="0072075B"/>
    <w:rsid w:val="007221C2"/>
    <w:rsid w:val="00725816"/>
    <w:rsid w:val="00725E90"/>
    <w:rsid w:val="00727D2F"/>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2810"/>
    <w:rsid w:val="00843F48"/>
    <w:rsid w:val="00844B5F"/>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0680"/>
    <w:rsid w:val="00912589"/>
    <w:rsid w:val="0091295C"/>
    <w:rsid w:val="00914D58"/>
    <w:rsid w:val="00920EC8"/>
    <w:rsid w:val="00921F47"/>
    <w:rsid w:val="009228AB"/>
    <w:rsid w:val="0093085B"/>
    <w:rsid w:val="00931C57"/>
    <w:rsid w:val="009347A5"/>
    <w:rsid w:val="00942257"/>
    <w:rsid w:val="00945C22"/>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4C4E"/>
    <w:rsid w:val="00A05942"/>
    <w:rsid w:val="00A07BEC"/>
    <w:rsid w:val="00A169D4"/>
    <w:rsid w:val="00A264BE"/>
    <w:rsid w:val="00A272CA"/>
    <w:rsid w:val="00A33051"/>
    <w:rsid w:val="00A407AD"/>
    <w:rsid w:val="00A40923"/>
    <w:rsid w:val="00A41C05"/>
    <w:rsid w:val="00A42426"/>
    <w:rsid w:val="00A514B7"/>
    <w:rsid w:val="00A54A0B"/>
    <w:rsid w:val="00A65FD4"/>
    <w:rsid w:val="00A809D9"/>
    <w:rsid w:val="00A81198"/>
    <w:rsid w:val="00A81E48"/>
    <w:rsid w:val="00A82035"/>
    <w:rsid w:val="00A8787F"/>
    <w:rsid w:val="00A90D77"/>
    <w:rsid w:val="00A92E07"/>
    <w:rsid w:val="00AA0B3A"/>
    <w:rsid w:val="00AA6EB4"/>
    <w:rsid w:val="00AA767D"/>
    <w:rsid w:val="00AB0CC9"/>
    <w:rsid w:val="00AC3FF6"/>
    <w:rsid w:val="00AD1EB7"/>
    <w:rsid w:val="00AD73EC"/>
    <w:rsid w:val="00AE5BC7"/>
    <w:rsid w:val="00AF5AAF"/>
    <w:rsid w:val="00B046D8"/>
    <w:rsid w:val="00B13F4C"/>
    <w:rsid w:val="00B16219"/>
    <w:rsid w:val="00B16C59"/>
    <w:rsid w:val="00B33FDD"/>
    <w:rsid w:val="00B359CC"/>
    <w:rsid w:val="00B36107"/>
    <w:rsid w:val="00B41789"/>
    <w:rsid w:val="00B46C03"/>
    <w:rsid w:val="00B564DC"/>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79AC"/>
    <w:rsid w:val="00BE7978"/>
    <w:rsid w:val="00C07DDB"/>
    <w:rsid w:val="00C4115D"/>
    <w:rsid w:val="00C43BDD"/>
    <w:rsid w:val="00C47778"/>
    <w:rsid w:val="00C5011E"/>
    <w:rsid w:val="00C50EE5"/>
    <w:rsid w:val="00C5240A"/>
    <w:rsid w:val="00C5398F"/>
    <w:rsid w:val="00C556F5"/>
    <w:rsid w:val="00C70E19"/>
    <w:rsid w:val="00C72574"/>
    <w:rsid w:val="00C7430C"/>
    <w:rsid w:val="00C8200E"/>
    <w:rsid w:val="00C85DA1"/>
    <w:rsid w:val="00C9071C"/>
    <w:rsid w:val="00C908FF"/>
    <w:rsid w:val="00C97BD3"/>
    <w:rsid w:val="00CA39EF"/>
    <w:rsid w:val="00CA521F"/>
    <w:rsid w:val="00CB0493"/>
    <w:rsid w:val="00CB17FF"/>
    <w:rsid w:val="00CB1ED7"/>
    <w:rsid w:val="00CC167C"/>
    <w:rsid w:val="00CC52D9"/>
    <w:rsid w:val="00CD21B7"/>
    <w:rsid w:val="00CD6647"/>
    <w:rsid w:val="00CE4B73"/>
    <w:rsid w:val="00CF70BB"/>
    <w:rsid w:val="00D074DB"/>
    <w:rsid w:val="00D139CF"/>
    <w:rsid w:val="00D37E7F"/>
    <w:rsid w:val="00D47AD7"/>
    <w:rsid w:val="00D51529"/>
    <w:rsid w:val="00D64856"/>
    <w:rsid w:val="00D67EBA"/>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56C79"/>
    <w:rsid w:val="00E61294"/>
    <w:rsid w:val="00E67AB8"/>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551FCAD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EB8FD25-7D22-492B-881E-C63A3CFDE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D1EB7"/>
    <w:rPr>
      <w:color w:val="605E5C"/>
      <w:shd w:val="clear" w:color="auto" w:fill="E1DFDD"/>
    </w:rPr>
  </w:style>
  <w:style w:type="character" w:styleId="AnvndHyperlnk">
    <w:name w:val="FollowedHyperlink"/>
    <w:basedOn w:val="Standardstycketeckensnitt"/>
    <w:uiPriority w:val="99"/>
    <w:semiHidden/>
    <w:unhideWhenUsed/>
    <w:rsid w:val="006B588B"/>
    <w:rPr>
      <w:color w:val="9EA2A2" w:themeColor="followedHyperlink"/>
      <w:u w:val="single"/>
    </w:rPr>
  </w:style>
  <w:style w:type="table" w:customStyle="1" w:styleId="Tabellrutnt1">
    <w:name w:val="Tabellrutnät1"/>
    <w:basedOn w:val="Normaltabell"/>
    <w:next w:val="Tabellrutnt"/>
    <w:uiPriority w:val="39"/>
    <w:rsid w:val="00A04C4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rutnt2">
    <w:name w:val="Tabellrutnät2"/>
    <w:basedOn w:val="Normaltabell"/>
    <w:next w:val="Tabellrutnt"/>
    <w:uiPriority w:val="39"/>
    <w:rsid w:val="004515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51</TotalTime>
  <Pages>3</Pages>
  <Words>597</Words>
  <Characters>3165</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Fundoplikatio-anestesirutin</dc:title>
  <dc:subject/>
  <dc:creator>patrik.jens.johansson@vgregion.se</dc:creator>
  <keywords/>
  <lastModifiedBy>Annette Verlinden</lastModifiedBy>
  <revision>43</revision>
  <lastPrinted>2016-03-31T19:56:00.0000000Z</lastPrinted>
  <dcterms:created xsi:type="dcterms:W3CDTF">2022-06-06T21:10:00.0000000Z</dcterms:created>
  <dcterms:modified xsi:type="dcterms:W3CDTF">2024-05-07T09:23:00.0000000Z</dcterms:modified>
</coreProperties>
</file>