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FEF81" w14:textId="77777777" w:rsidR="007903F9" w:rsidRDefault="007903F9" w:rsidP="00F35B05">
      <w:pPr>
        <w:pStyle w:val="Rubrik2"/>
        <w:sectPr w:rsidR="007903F9" w:rsidSect="007903F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82C68D" w14:textId="36729D6B" w:rsidR="007A56FE" w:rsidRDefault="007A56FE" w:rsidP="007A56FE">
      <w:pPr>
        <w:pStyle w:val="Rubrik1"/>
      </w:pPr>
      <w:r w:rsidRPr="007A56FE">
        <w:t>Synförändringar under HBO</w:t>
      </w:r>
    </w:p>
    <w:p w14:paraId="6428A3E1" w14:textId="77777777" w:rsidR="00BA5F26" w:rsidRPr="00DB45DD" w:rsidRDefault="00BA5F26" w:rsidP="00BA5F26">
      <w:pPr>
        <w:pStyle w:val="MellanrubrikVGR"/>
      </w:pPr>
      <w:r w:rsidRPr="00DB45DD">
        <w:t>Denna rutin gäller för</w:t>
      </w:r>
    </w:p>
    <w:p w14:paraId="0623D59E" w14:textId="2F0946AB" w:rsidR="00BA5F26" w:rsidRPr="00DB45DD" w:rsidRDefault="00BA5F26" w:rsidP="00BA5F26">
      <w:r w:rsidRPr="00DB45DD">
        <w:t xml:space="preserve">Tryckkammarenheten, AnOpIVA/Område </w:t>
      </w:r>
      <w:r>
        <w:t>5</w:t>
      </w:r>
      <w:r w:rsidRPr="00DB45DD">
        <w:t xml:space="preserve">, Sahlgrenska Universitetssjukhus. </w:t>
      </w:r>
    </w:p>
    <w:p w14:paraId="27C6D0F0" w14:textId="77777777" w:rsidR="00BA5F26" w:rsidRPr="00DB45DD" w:rsidRDefault="00BA5F26" w:rsidP="00BA5F26">
      <w:pPr>
        <w:pStyle w:val="MellanrubrikVGR"/>
      </w:pPr>
      <w:r w:rsidRPr="00DB45DD">
        <w:t>Revideringar i denna version</w:t>
      </w:r>
    </w:p>
    <w:p w14:paraId="114A460E" w14:textId="77777777" w:rsidR="00BA5F26" w:rsidRPr="00DB45DD" w:rsidRDefault="00BA5F26" w:rsidP="00BA5F26">
      <w:r>
        <w:t xml:space="preserve">2022-09-23, uppdatering av kunskapsöversikt. </w:t>
      </w:r>
      <w:r w:rsidRPr="00DB45DD">
        <w:t>Första upplaga 2008-04-23</w:t>
      </w:r>
      <w:r>
        <w:t xml:space="preserve">. </w:t>
      </w:r>
      <w:r w:rsidRPr="00DB45DD">
        <w:t>Tidigare dokumentnummer T27</w:t>
      </w:r>
    </w:p>
    <w:p w14:paraId="696E49C5" w14:textId="77777777" w:rsidR="00BA5F26" w:rsidRDefault="00BA5F26" w:rsidP="00BA5F26">
      <w:pPr>
        <w:rPr>
          <w:rFonts w:ascii="Arial" w:hAnsi="Arial" w:cs="Arial"/>
          <w:sz w:val="20"/>
        </w:rPr>
      </w:pPr>
    </w:p>
    <w:p w14:paraId="71E2CFBD" w14:textId="1C5C51AE" w:rsidR="00BA5F26" w:rsidRPr="00BA5F26" w:rsidRDefault="00BA5F26" w:rsidP="00BA5F26">
      <w:pPr>
        <w:pStyle w:val="Rubrik2"/>
        <w:rPr>
          <w:sz w:val="20"/>
        </w:rPr>
      </w:pPr>
      <w:r w:rsidRPr="00DB45DD">
        <w:t>Arbetsbeskrivning</w:t>
      </w:r>
    </w:p>
    <w:p w14:paraId="66A75E71" w14:textId="77777777" w:rsidR="00BA5F26" w:rsidRDefault="00BA5F26" w:rsidP="00BA5F26">
      <w:pPr>
        <w:pStyle w:val="Rubrik3"/>
      </w:pPr>
      <w:r w:rsidRPr="00DB45DD">
        <w:t>Bakgrund</w:t>
      </w:r>
      <w:r>
        <w:t xml:space="preserve"> </w:t>
      </w:r>
    </w:p>
    <w:p w14:paraId="25487994" w14:textId="469F41AD" w:rsidR="00BA5F26" w:rsidRPr="00BA5F26" w:rsidRDefault="00BA5F26" w:rsidP="00BA5F26">
      <w:pPr>
        <w:rPr>
          <w:b/>
          <w:i/>
          <w:iCs/>
        </w:rPr>
      </w:pPr>
      <w:r w:rsidRPr="00BA5F26">
        <w:rPr>
          <w:i/>
          <w:iCs/>
        </w:rPr>
        <w:t>(Detta gäller inte akuta patienter som behandlas färre än 10 ggr med HBO)</w:t>
      </w:r>
    </w:p>
    <w:p w14:paraId="686CD63D" w14:textId="77777777" w:rsidR="00BA5F26" w:rsidRPr="00DB45DD" w:rsidRDefault="00BA5F26" w:rsidP="00BA5F26">
      <w:r w:rsidRPr="00DB45DD">
        <w:t>Det beskrivs allmänt i litteraturen att synpåverkan framför allt i form av myopi är en vanlig biverkning av HBO-behandling,</w:t>
      </w:r>
      <w:r>
        <w:t xml:space="preserve"> </w:t>
      </w:r>
      <w:r w:rsidRPr="00DB45DD">
        <w:t xml:space="preserve">upp till </w:t>
      </w:r>
      <w:r>
        <w:t>8</w:t>
      </w:r>
      <w:r w:rsidRPr="00DB45DD">
        <w:t xml:space="preserve"> av patienterna drabbas</w:t>
      </w:r>
      <w:r>
        <w:t xml:space="preserve"> men i varierande grad</w:t>
      </w:r>
      <w:r w:rsidRPr="00DB45DD">
        <w:t>. Myopin beskrivs som reversibel efter avslutad HBO-behandling. Det finns varierande uppgifter på hur lång tid detta tar, allt från veckor till halvår. Det finns got</w:t>
      </w:r>
      <w:r>
        <w:t>t om fallbeskrivningar på myopi</w:t>
      </w:r>
      <w:r w:rsidRPr="00DB45DD">
        <w:t>utveckling under HBO men få publicerade studier där man följt upp patienter efter avslutad HBO avseende myopi. De få studier som finns pekar alla på att myopin är övergående.</w:t>
      </w:r>
      <w:r>
        <w:t xml:space="preserve"> Det finns studier som tyder på att synpåverkan är större då ögonen är direkt utsatta för HBO, exempelvis då huva eller </w:t>
      </w:r>
      <w:proofErr w:type="spellStart"/>
      <w:r>
        <w:t>monoplacekammare</w:t>
      </w:r>
      <w:proofErr w:type="spellEnd"/>
      <w:r>
        <w:t xml:space="preserve"> används. </w:t>
      </w:r>
    </w:p>
    <w:p w14:paraId="3263DA32" w14:textId="77777777" w:rsidR="00BA5F26" w:rsidRPr="00DB45DD" w:rsidRDefault="00BA5F26" w:rsidP="00BA5F26">
      <w:r>
        <w:t>Även katarakt</w:t>
      </w:r>
      <w:r w:rsidRPr="00DB45DD">
        <w:t xml:space="preserve">utveckling finns dokumenterat efter HBO. Denna skada är vanligen inte reversibel och kan </w:t>
      </w:r>
      <w:proofErr w:type="spellStart"/>
      <w:r w:rsidRPr="00DB45DD">
        <w:t>progrediera</w:t>
      </w:r>
      <w:proofErr w:type="spellEnd"/>
      <w:r w:rsidRPr="00DB45DD">
        <w:t xml:space="preserve"> efter avslutad behandling. De fall som finns beskriva har utvecklat katarakt efter långa behandlingsserier, runt 150 behandlingar. Katarakt verkar inte vara ett problem vid behandlingsserier på under 100 HBO-behandlingar.</w:t>
      </w:r>
    </w:p>
    <w:p w14:paraId="3BB6898E" w14:textId="77777777" w:rsidR="00BA5F26" w:rsidRDefault="00BA5F26" w:rsidP="00BA5F26">
      <w:r w:rsidRPr="00DB45DD">
        <w:lastRenderedPageBreak/>
        <w:t>Alla icke akuta patienter bör genomgå synkontroll innan första HBO-behandling. Lämpligen sker det vid inskrivningstillfället och då lämnas muntlig samt skriftlig information angående bland annat synpåverkan. </w:t>
      </w:r>
    </w:p>
    <w:p w14:paraId="7AC1841C" w14:textId="77777777" w:rsidR="00BA5F26" w:rsidRPr="00DB45DD" w:rsidRDefault="00BA5F26" w:rsidP="00BA5F26"/>
    <w:p w14:paraId="64C7DACF" w14:textId="77777777" w:rsidR="00BA5F26" w:rsidRPr="00DB45DD" w:rsidRDefault="00BA5F26" w:rsidP="00BA5F26">
      <w:pPr>
        <w:pStyle w:val="Rubrik3"/>
      </w:pPr>
      <w:r w:rsidRPr="00DB45DD">
        <w:t>Handläggning vid synpåverkan</w:t>
      </w:r>
    </w:p>
    <w:p w14:paraId="62222950" w14:textId="77777777" w:rsidR="00BA5F26" w:rsidRDefault="00BA5F26" w:rsidP="00BA5F26">
      <w:r w:rsidRPr="00DB45DD">
        <w:t>Lindrig synpåverkan (påverkar inte deras dagliga liv), överväg vinsterna med fortsatt HBO kontra ytterliga</w:t>
      </w:r>
      <w:r>
        <w:t>re synförsämring. Patienten k</w:t>
      </w:r>
      <w:r w:rsidRPr="00DB45DD">
        <w:t xml:space="preserve">an fortsätta med HBO om det bedöms motiverat, fortsatt synkontroll varje vecka. Vid ytterligare försämring överväg att avbryta HBO. </w:t>
      </w:r>
    </w:p>
    <w:p w14:paraId="5397D467" w14:textId="77777777" w:rsidR="00BA5F26" w:rsidRDefault="00BA5F26" w:rsidP="00BA5F26">
      <w:r w:rsidRPr="00DB45DD">
        <w:t xml:space="preserve">Kraftig synpåverkan (påverkar patientens dagliga liv), överväg att avbryta HBO om inte mycket starka skäl finns för att fortsätta. </w:t>
      </w:r>
    </w:p>
    <w:p w14:paraId="37CF5DC8" w14:textId="77777777" w:rsidR="00BA5F26" w:rsidRDefault="00BA5F26" w:rsidP="00BA5F26">
      <w:pPr>
        <w:ind w:left="0"/>
      </w:pPr>
    </w:p>
    <w:p w14:paraId="02BC544E" w14:textId="77777777" w:rsidR="00BA5F26" w:rsidRPr="00DB45DD" w:rsidRDefault="00BA5F26" w:rsidP="00BA5F26">
      <w:pPr>
        <w:pStyle w:val="Rubrik2"/>
      </w:pPr>
      <w:r w:rsidRPr="00DB45DD">
        <w:t>Uppföljning</w:t>
      </w:r>
    </w:p>
    <w:p w14:paraId="0DFAE27F" w14:textId="77777777" w:rsidR="00BA5F26" w:rsidRPr="00DB45DD" w:rsidRDefault="00BA5F26" w:rsidP="00BA5F26">
      <w:r w:rsidRPr="00DB45DD">
        <w:t xml:space="preserve">Patienter med synpåverkan efter HBO bör följas av oss tills synen återgått till samma nivå som innan påbörjad HBO. </w:t>
      </w:r>
      <w:r>
        <w:t>Rekommendationen är</w:t>
      </w:r>
      <w:r w:rsidRPr="00DB45DD">
        <w:t xml:space="preserve"> att </w:t>
      </w:r>
      <w:r>
        <w:t>boka återbesök för syn</w:t>
      </w:r>
      <w:r w:rsidRPr="00DB45DD">
        <w:t>kontroll 3 respektive 6 månader efter avslutad behandling. Om synen normaliserats vid 3 månader behöver ingen ytterligare kontroll ske.</w:t>
      </w:r>
    </w:p>
    <w:p w14:paraId="6CCFD16B" w14:textId="77777777" w:rsidR="00BA5F26" w:rsidRPr="00DB45DD" w:rsidRDefault="00BA5F26" w:rsidP="00BA5F26">
      <w:r w:rsidRPr="00DB45DD">
        <w:t>Om synpåverkan kvarstår vid 6 månader bör remiss skrivas till ögonläkare för bedömning av patienten. Främst för att utesluta någon annan orsak till synpåverkan än myopi.</w:t>
      </w:r>
    </w:p>
    <w:p w14:paraId="465C2B12" w14:textId="77777777" w:rsidR="00BA5F26" w:rsidRPr="00A871EF" w:rsidRDefault="00BA5F26" w:rsidP="00A871EF">
      <w:pPr>
        <w:pStyle w:val="Rubrik2"/>
      </w:pPr>
      <w:r w:rsidRPr="00A871EF">
        <w:t>Ansvar</w:t>
      </w:r>
    </w:p>
    <w:p w14:paraId="58ED2DA0" w14:textId="77777777" w:rsidR="00BA5F26" w:rsidRDefault="00BA5F26" w:rsidP="00A871EF">
      <w:pPr>
        <w:rPr>
          <w:szCs w:val="20"/>
        </w:rPr>
      </w:pPr>
      <w:r>
        <w:t xml:space="preserve">Läkare och </w:t>
      </w:r>
      <w:r w:rsidRPr="00B55D3D">
        <w:t>sjuksköterskor som arbetar på Tryckkammarenheten ansvarar för a</w:t>
      </w:r>
      <w:r>
        <w:t xml:space="preserve">tt arbeta utefter denna rutin. Vårdenhetschef och </w:t>
      </w:r>
      <w:r w:rsidRPr="00B55D3D">
        <w:t>vårdenhetsöverläkare ansvarar för att rutinen är känd och följs. Verksamhetschefen ansvarar för att rutinen finns och följer gällande författningar och lagar</w:t>
      </w:r>
    </w:p>
    <w:p w14:paraId="1DFC3608" w14:textId="77777777" w:rsidR="00BA5F26" w:rsidRPr="00DB45DD" w:rsidRDefault="00BA5F26" w:rsidP="00BA5F26">
      <w:pPr>
        <w:rPr>
          <w:rFonts w:ascii="Arial" w:hAnsi="Arial" w:cs="Arial"/>
          <w:color w:val="000080"/>
          <w:sz w:val="20"/>
          <w:szCs w:val="20"/>
        </w:rPr>
      </w:pP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7C149AA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in;height:18pt" o:ole="">
            <v:imagedata r:id="rId17" o:title=""/>
          </v:shape>
          <o:OLEObject Type="Embed" ProgID="Forms.HTML:Hidden.1" ShapeID="_x0000_i1025" DrawAspect="Content" ObjectID="_1769426820" r:id="rId18"/>
        </w:object>
      </w: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3D7DB669">
          <v:shape id="_x0000_i1026" type="#_x0000_t75" style="width:1in;height:18pt" o:ole="">
            <v:imagedata r:id="rId19" o:title=""/>
          </v:shape>
          <o:OLEObject Type="Embed" ProgID="Forms.HTML:Hidden.1" ShapeID="_x0000_i1026" DrawAspect="Content" ObjectID="_1769426821" r:id="rId20"/>
        </w:object>
      </w: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1ACBA766">
          <v:shape id="_x0000_i1027" type="#_x0000_t75" style="width:1in;height:18pt" o:ole="">
            <v:imagedata r:id="rId21" o:title=""/>
          </v:shape>
          <o:OLEObject Type="Embed" ProgID="Forms.HTML:Hidden.1" ShapeID="_x0000_i1027" DrawAspect="Content" ObjectID="_1769426822" r:id="rId22"/>
        </w:object>
      </w: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11E1B1F3">
          <v:shape id="_x0000_i1028" type="#_x0000_t75" style="width:1in;height:18pt" o:ole="">
            <v:imagedata r:id="rId23" o:title=""/>
          </v:shape>
          <o:OLEObject Type="Embed" ProgID="Forms.HTML:Hidden.1" ShapeID="_x0000_i1028" DrawAspect="Content" ObjectID="_1769426823" r:id="rId24"/>
        </w:object>
      </w: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1A746C1B">
          <v:shape id="_x0000_i1029" type="#_x0000_t75" style="width:1in;height:18pt" o:ole="">
            <v:imagedata r:id="rId25" o:title=""/>
          </v:shape>
          <o:OLEObject Type="Embed" ProgID="Forms.HTML:Hidden.1" ShapeID="_x0000_i1029" DrawAspect="Content" ObjectID="_1769426824" r:id="rId26"/>
        </w:object>
      </w: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7F63FD74">
          <v:shape id="_x0000_i1030" type="#_x0000_t75" style="width:1in;height:18pt" o:ole="">
            <v:imagedata r:id="rId27" o:title=""/>
          </v:shape>
          <o:OLEObject Type="Embed" ProgID="Forms.HTML:Hidden.1" ShapeID="_x0000_i1030" DrawAspect="Content" ObjectID="_1769426825" r:id="rId28"/>
        </w:object>
      </w: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39FF4D71">
          <v:shape id="_x0000_i1031" type="#_x0000_t75" style="width:1in;height:18pt" o:ole="">
            <v:imagedata r:id="rId29" o:title=""/>
          </v:shape>
          <o:OLEObject Type="Embed" ProgID="Forms.HTML:Hidden.1" ShapeID="_x0000_i1031" DrawAspect="Content" ObjectID="_1769426826" r:id="rId30"/>
        </w:object>
      </w: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124ABD19">
          <v:shape id="_x0000_i1032" type="#_x0000_t75" style="width:1in;height:18pt" o:ole="">
            <v:imagedata r:id="rId31" o:title=""/>
          </v:shape>
          <o:OLEObject Type="Embed" ProgID="Forms.HTML:Hidden.1" ShapeID="_x0000_i1032" DrawAspect="Content" ObjectID="_1769426827" r:id="rId32"/>
        </w:object>
      </w: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584521C7">
          <v:shape id="_x0000_i1033" type="#_x0000_t75" style="width:1in;height:18pt" o:ole="">
            <v:imagedata r:id="rId33" o:title=""/>
          </v:shape>
          <o:OLEObject Type="Embed" ProgID="Forms.HTML:Hidden.1" ShapeID="_x0000_i1033" DrawAspect="Content" ObjectID="_1769426828" r:id="rId34"/>
        </w:object>
      </w: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6F2DA3E2">
          <v:shape id="_x0000_i1034" type="#_x0000_t75" style="width:1in;height:18pt" o:ole="">
            <v:imagedata r:id="rId35" o:title=""/>
          </v:shape>
          <o:OLEObject Type="Embed" ProgID="Forms.HTML:Hidden.1" ShapeID="_x0000_i1034" DrawAspect="Content" ObjectID="_1769426829" r:id="rId36"/>
        </w:object>
      </w: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44F51814">
          <v:shape id="_x0000_i1035" type="#_x0000_t75" style="width:1in;height:18pt" o:ole="">
            <v:imagedata r:id="rId17" o:title=""/>
          </v:shape>
          <o:OLEObject Type="Embed" ProgID="Forms.HTML:Hidden.1" ShapeID="_x0000_i1035" DrawAspect="Content" ObjectID="_1769426830" r:id="rId37"/>
        </w:object>
      </w:r>
      <w:r w:rsidRPr="00DB45DD">
        <w:rPr>
          <w:rFonts w:ascii="Arial" w:hAnsi="Arial" w:cs="Arial"/>
          <w:noProof/>
          <w:vanish/>
          <w:color w:val="000080"/>
          <w:sz w:val="20"/>
          <w:szCs w:val="20"/>
        </w:rPr>
        <w:object w:dxaOrig="1440" w:dyaOrig="360" w14:anchorId="09A97E3A">
          <v:shape id="_x0000_i1036" type="#_x0000_t75" style="width:1in;height:18pt" o:ole="">
            <v:imagedata r:id="rId38" o:title=""/>
          </v:shape>
          <o:OLEObject Type="Embed" ProgID="Forms.HTML:Hidden.1" ShapeID="_x0000_i1036" DrawAspect="Content" ObjectID="_1769426831" r:id="rId39"/>
        </w:object>
      </w:r>
    </w:p>
    <w:p w14:paraId="0C974295" w14:textId="77777777" w:rsidR="00BA5F26" w:rsidRPr="00A871EF" w:rsidRDefault="00BA5F26" w:rsidP="00A871EF">
      <w:pPr>
        <w:pStyle w:val="Rubrik2"/>
      </w:pPr>
      <w:r w:rsidRPr="00A871EF">
        <w:t>Uppföljning och utvärdering</w:t>
      </w:r>
    </w:p>
    <w:p w14:paraId="75B7F0BD" w14:textId="7F687AC3" w:rsidR="00BA5F26" w:rsidRPr="00DB45DD" w:rsidRDefault="00BA5F26" w:rsidP="00A871EF">
      <w:r w:rsidRPr="00DB45DD">
        <w:t xml:space="preserve">Vårdenhetsöverläkaren har ansvaret för att rutinen följs upp, utvärderas och revideras. Medvetet avsteg från rutinen dokumenteras i Melior om rutinen är kopplad till patient. Övriga avvikelser från rutin rapporteras i </w:t>
      </w:r>
      <w:proofErr w:type="spellStart"/>
      <w:r w:rsidRPr="00DB45DD">
        <w:t>MedControl</w:t>
      </w:r>
      <w:proofErr w:type="spellEnd"/>
      <w:r w:rsidRPr="00DB45DD">
        <w:t xml:space="preserve"> PRO.</w:t>
      </w:r>
    </w:p>
    <w:p w14:paraId="2C9B6D23" w14:textId="77777777" w:rsidR="00BA5F26" w:rsidRPr="00A871EF" w:rsidRDefault="00BA5F26" w:rsidP="00A871EF">
      <w:pPr>
        <w:pStyle w:val="Rubrik2"/>
      </w:pPr>
      <w:r w:rsidRPr="00A871EF">
        <w:lastRenderedPageBreak/>
        <w:t>Kunskapsöversikt</w:t>
      </w:r>
    </w:p>
    <w:p w14:paraId="61B68F89" w14:textId="77777777" w:rsidR="00BA5F26" w:rsidRPr="00E55725" w:rsidRDefault="00BA5F26" w:rsidP="00A871EF">
      <w:pPr>
        <w:rPr>
          <w:b/>
          <w:bCs/>
        </w:rPr>
      </w:pPr>
      <w:r w:rsidRPr="00E100CF">
        <w:br/>
        <w:t xml:space="preserve">Anderson B et al. </w:t>
      </w:r>
      <w:proofErr w:type="spellStart"/>
      <w:r w:rsidRPr="00E100CF">
        <w:rPr>
          <w:lang w:val="en-GB"/>
        </w:rPr>
        <w:t>Hyperoxic</w:t>
      </w:r>
      <w:proofErr w:type="spellEnd"/>
      <w:r w:rsidRPr="00E100CF">
        <w:rPr>
          <w:lang w:val="en-GB"/>
        </w:rPr>
        <w:t xml:space="preserve"> myopia, Tr Am </w:t>
      </w:r>
      <w:proofErr w:type="spellStart"/>
      <w:r w:rsidRPr="00E100CF">
        <w:rPr>
          <w:lang w:val="en-GB"/>
        </w:rPr>
        <w:t>Ophth</w:t>
      </w:r>
      <w:proofErr w:type="spellEnd"/>
      <w:r w:rsidRPr="00E100CF">
        <w:rPr>
          <w:lang w:val="en-GB"/>
        </w:rPr>
        <w:t xml:space="preserve"> Soc 1978; 76:116-122.</w:t>
      </w:r>
    </w:p>
    <w:p w14:paraId="33AD60F9" w14:textId="77777777" w:rsidR="00BA5F26" w:rsidRPr="00E55725" w:rsidRDefault="00BA5F26" w:rsidP="00A871EF">
      <w:pPr>
        <w:rPr>
          <w:lang w:val="en-GB"/>
        </w:rPr>
      </w:pPr>
    </w:p>
    <w:p w14:paraId="1D6E0102" w14:textId="77777777" w:rsidR="00BA5F26" w:rsidRPr="00E100CF" w:rsidRDefault="00BA5F26" w:rsidP="00A871EF">
      <w:r w:rsidRPr="00E100CF">
        <w:t xml:space="preserve">Ayata A, et al. Influence of hyperbaric oxygen therapy on central corneal thickness. Ophthalmic Res 2012; 47: </w:t>
      </w:r>
      <w:proofErr w:type="gramStart"/>
      <w:r w:rsidRPr="00E100CF">
        <w:t>19-22</w:t>
      </w:r>
      <w:proofErr w:type="gramEnd"/>
      <w:r w:rsidRPr="00E100CF">
        <w:t>.</w:t>
      </w:r>
    </w:p>
    <w:p w14:paraId="20296752" w14:textId="77777777" w:rsidR="00BA5F26" w:rsidRPr="00E100CF" w:rsidRDefault="00BA5F26" w:rsidP="00A871EF"/>
    <w:p w14:paraId="6F6D741A" w14:textId="77777777" w:rsidR="00BA5F26" w:rsidRPr="00E100CF" w:rsidRDefault="00BA5F26" w:rsidP="00A871EF">
      <w:r w:rsidRPr="00E100CF">
        <w:t xml:space="preserve">Evanger K et al. Ocular refractive changes in patients receiving hyperbaric oxygen administered by oronasal </w:t>
      </w:r>
      <w:proofErr w:type="gramStart"/>
      <w:r w:rsidRPr="00E100CF">
        <w:t>mask or</w:t>
      </w:r>
      <w:proofErr w:type="gramEnd"/>
      <w:r w:rsidRPr="00E100CF">
        <w:t xml:space="preserve"> hood. Acta ophthalmologica Scandinavica  2004; 82: </w:t>
      </w:r>
      <w:proofErr w:type="gramStart"/>
      <w:r w:rsidRPr="00E100CF">
        <w:t>449-453</w:t>
      </w:r>
      <w:proofErr w:type="gramEnd"/>
      <w:r w:rsidRPr="00E100CF">
        <w:t>.</w:t>
      </w:r>
    </w:p>
    <w:p w14:paraId="550BF5F1" w14:textId="77777777" w:rsidR="00BA5F26" w:rsidRPr="00E100CF" w:rsidRDefault="00BA5F26" w:rsidP="00A871EF"/>
    <w:p w14:paraId="46E6F8FD" w14:textId="77777777" w:rsidR="00BA5F26" w:rsidRDefault="00BA5F26" w:rsidP="00A871EF">
      <w:r w:rsidRPr="00E100CF">
        <w:t xml:space="preserve">Fledelius HC et al. Refractive change during hyperbaric oxygen therapy. A clinical trial including ultrasound oculometry. Acta ophthalmologica Scandinavica 2002; 80: </w:t>
      </w:r>
      <w:proofErr w:type="gramStart"/>
      <w:r w:rsidRPr="00E100CF">
        <w:t>188-190</w:t>
      </w:r>
      <w:proofErr w:type="gramEnd"/>
      <w:r w:rsidRPr="00E100CF">
        <w:t>.</w:t>
      </w:r>
    </w:p>
    <w:p w14:paraId="25EAE4F8" w14:textId="77777777" w:rsidR="00BA5F26" w:rsidRPr="00E100CF" w:rsidRDefault="00BA5F26" w:rsidP="00A871EF"/>
    <w:p w14:paraId="3F5EB684" w14:textId="77777777" w:rsidR="00BA5F26" w:rsidRPr="00E100CF" w:rsidRDefault="00BA5F26" w:rsidP="00A871EF">
      <w:r w:rsidRPr="00E100CF">
        <w:t xml:space="preserve">Palmquist BM et al.Nuclear cataract and myopia during hyperbaric oxygen therapy. The British journal of ophthalmology 1984; 68: </w:t>
      </w:r>
      <w:proofErr w:type="gramStart"/>
      <w:r w:rsidRPr="00E100CF">
        <w:t>113-117</w:t>
      </w:r>
      <w:proofErr w:type="gramEnd"/>
      <w:r w:rsidRPr="00E100CF">
        <w:t>.</w:t>
      </w:r>
    </w:p>
    <w:p w14:paraId="2F8CB72D" w14:textId="77777777" w:rsidR="00BA5F26" w:rsidRPr="00E100CF" w:rsidRDefault="00BA5F26" w:rsidP="00A871EF"/>
    <w:p w14:paraId="445C0F4A" w14:textId="77777777" w:rsidR="00BA5F26" w:rsidRDefault="00BA5F26" w:rsidP="00A871EF">
      <w:proofErr w:type="spellStart"/>
      <w:r>
        <w:t>Riedl</w:t>
      </w:r>
      <w:proofErr w:type="spellEnd"/>
      <w:r>
        <w:t xml:space="preserve">, Philip et al. </w:t>
      </w:r>
      <w:proofErr w:type="spellStart"/>
      <w:r w:rsidRPr="00244EDA">
        <w:t>Myopic</w:t>
      </w:r>
      <w:proofErr w:type="spellEnd"/>
      <w:r>
        <w:rPr>
          <w:rFonts w:ascii="AdvTimes-b" w:hAnsi="AdvTimes-b" w:cs="AdvTimes-b"/>
          <w:sz w:val="48"/>
          <w:szCs w:val="48"/>
        </w:rPr>
        <w:t xml:space="preserve"> </w:t>
      </w:r>
      <w:proofErr w:type="spellStart"/>
      <w:r w:rsidRPr="00244EDA">
        <w:t>shift</w:t>
      </w:r>
      <w:proofErr w:type="spellEnd"/>
      <w:r w:rsidRPr="00244EDA">
        <w:t xml:space="preserve"> and lens </w:t>
      </w:r>
      <w:proofErr w:type="spellStart"/>
      <w:r w:rsidRPr="00244EDA">
        <w:t>turbidity</w:t>
      </w:r>
      <w:proofErr w:type="spellEnd"/>
      <w:r w:rsidRPr="00244EDA">
        <w:t xml:space="preserve"> </w:t>
      </w:r>
      <w:proofErr w:type="spellStart"/>
      <w:r w:rsidRPr="00244EDA">
        <w:t>following</w:t>
      </w:r>
      <w:proofErr w:type="spellEnd"/>
      <w:r>
        <w:t xml:space="preserve"> </w:t>
      </w:r>
      <w:proofErr w:type="spellStart"/>
      <w:r w:rsidRPr="00244EDA">
        <w:t>hyperbaric</w:t>
      </w:r>
      <w:proofErr w:type="spellEnd"/>
      <w:r w:rsidRPr="00244EDA">
        <w:t xml:space="preserve"> oxygen </w:t>
      </w:r>
      <w:proofErr w:type="spellStart"/>
      <w:r w:rsidRPr="00244EDA">
        <w:t>therapy</w:t>
      </w:r>
      <w:proofErr w:type="spellEnd"/>
      <w:r w:rsidRPr="00244EDA">
        <w:t xml:space="preserve"> – a </w:t>
      </w:r>
      <w:proofErr w:type="spellStart"/>
      <w:r w:rsidRPr="00244EDA">
        <w:t>prospective</w:t>
      </w:r>
      <w:proofErr w:type="spellEnd"/>
      <w:r w:rsidRPr="00244EDA">
        <w:t>,</w:t>
      </w:r>
      <w:r>
        <w:t xml:space="preserve"> </w:t>
      </w:r>
      <w:r w:rsidRPr="00244EDA">
        <w:t xml:space="preserve">longitudinal, </w:t>
      </w:r>
      <w:proofErr w:type="spellStart"/>
      <w:r w:rsidRPr="00244EDA">
        <w:t>observational</w:t>
      </w:r>
      <w:proofErr w:type="spellEnd"/>
      <w:r w:rsidRPr="00244EDA">
        <w:t xml:space="preserve"> </w:t>
      </w:r>
      <w:proofErr w:type="spellStart"/>
      <w:r w:rsidRPr="00244EDA">
        <w:t>cohort</w:t>
      </w:r>
      <w:proofErr w:type="spellEnd"/>
      <w:r w:rsidRPr="00244EDA">
        <w:t xml:space="preserve"> </w:t>
      </w:r>
      <w:proofErr w:type="spellStart"/>
      <w:r w:rsidRPr="00244EDA">
        <w:t>study</w:t>
      </w:r>
      <w:proofErr w:type="spellEnd"/>
      <w:r>
        <w:t xml:space="preserve">.  </w:t>
      </w:r>
      <w:r w:rsidRPr="00244EDA">
        <w:t xml:space="preserve">Acta </w:t>
      </w:r>
      <w:proofErr w:type="spellStart"/>
      <w:r w:rsidRPr="00244EDA">
        <w:t>ophtalmologica</w:t>
      </w:r>
      <w:proofErr w:type="spellEnd"/>
      <w:r w:rsidRPr="00244EDA">
        <w:t xml:space="preserve"> 2019;</w:t>
      </w:r>
      <w:r w:rsidRPr="00244EDA">
        <w:rPr>
          <w:rFonts w:ascii="Segoe UI" w:hAnsi="Segoe UI" w:cs="Segoe UI"/>
          <w:color w:val="5B616B"/>
        </w:rPr>
        <w:t xml:space="preserve"> </w:t>
      </w:r>
      <w:r w:rsidRPr="00244EDA">
        <w:t>Sep;97(6):</w:t>
      </w:r>
      <w:proofErr w:type="gramStart"/>
      <w:r w:rsidRPr="00244EDA">
        <w:t>596-</w:t>
      </w:r>
      <w:r>
        <w:t>6</w:t>
      </w:r>
      <w:r w:rsidRPr="00244EDA">
        <w:t>02</w:t>
      </w:r>
      <w:proofErr w:type="gramEnd"/>
      <w:r w:rsidRPr="00244EDA">
        <w:t>.</w:t>
      </w:r>
    </w:p>
    <w:p w14:paraId="1AC370D6" w14:textId="77777777" w:rsidR="00BA5F26" w:rsidRPr="00244EDA" w:rsidRDefault="00BA5F26" w:rsidP="00A871EF"/>
    <w:p w14:paraId="56CC8B3F" w14:textId="77777777" w:rsidR="00BA5F26" w:rsidRPr="00E100CF" w:rsidRDefault="00BA5F26" w:rsidP="00A871EF">
      <w:r w:rsidRPr="00E100CF">
        <w:t>Tran V et al. Proliferative retinopathy during hyperbaric oxygen treatment. Diving and hyperbaric medicine 2017; 47: 203.</w:t>
      </w:r>
    </w:p>
    <w:bookmarkEnd w:id="0"/>
    <w:p w14:paraId="76B9F95B" w14:textId="33137B92" w:rsidR="00536A5A" w:rsidRPr="005A6E30" w:rsidRDefault="00536A5A" w:rsidP="00536A5A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</w:p>
    <w:sectPr w:rsidR="00536A5A" w:rsidRPr="005A6E30" w:rsidSect="007903F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5EDB59" w14:textId="77777777" w:rsidR="00363B23" w:rsidRDefault="00363B23">
      <w:r>
        <w:separator/>
      </w:r>
    </w:p>
  </w:endnote>
  <w:endnote w:type="continuationSeparator" w:id="0">
    <w:p w14:paraId="4FBFAB8C" w14:textId="77777777" w:rsidR="00363B23" w:rsidRDefault="00363B23">
      <w:r>
        <w:continuationSeparator/>
      </w:r>
    </w:p>
  </w:endnote>
  <w:endnote w:type="continuationNotice" w:id="1">
    <w:p w14:paraId="32748B5E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dvTimes-b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99C39" w14:textId="77777777" w:rsidR="00363B23" w:rsidRDefault="00363B23"/>
  </w:footnote>
  <w:footnote w:type="continuationSeparator" w:id="0">
    <w:p w14:paraId="04D6CD36" w14:textId="77777777" w:rsidR="00363B23" w:rsidRDefault="00363B23">
      <w:r>
        <w:continuationSeparator/>
      </w:r>
    </w:p>
  </w:footnote>
  <w:footnote w:type="continuationNotice" w:id="1">
    <w:p w14:paraId="59D4C004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6340807">
    <w:abstractNumId w:val="18"/>
  </w:num>
  <w:num w:numId="2" w16cid:durableId="2017033271">
    <w:abstractNumId w:val="15"/>
  </w:num>
  <w:num w:numId="3" w16cid:durableId="2115010468">
    <w:abstractNumId w:val="0"/>
  </w:num>
  <w:num w:numId="4" w16cid:durableId="983314856">
    <w:abstractNumId w:val="6"/>
  </w:num>
  <w:num w:numId="5" w16cid:durableId="811405807">
    <w:abstractNumId w:val="16"/>
  </w:num>
  <w:num w:numId="6" w16cid:durableId="1040594549">
    <w:abstractNumId w:val="2"/>
  </w:num>
  <w:num w:numId="7" w16cid:durableId="2119255075">
    <w:abstractNumId w:val="12"/>
  </w:num>
  <w:num w:numId="8" w16cid:durableId="856768685">
    <w:abstractNumId w:val="9"/>
  </w:num>
  <w:num w:numId="9" w16cid:durableId="521629101">
    <w:abstractNumId w:val="1"/>
  </w:num>
  <w:num w:numId="10" w16cid:durableId="1099719827">
    <w:abstractNumId w:val="1"/>
  </w:num>
  <w:num w:numId="11" w16cid:durableId="2134790000">
    <w:abstractNumId w:val="3"/>
  </w:num>
  <w:num w:numId="12" w16cid:durableId="62533943">
    <w:abstractNumId w:val="4"/>
  </w:num>
  <w:num w:numId="13" w16cid:durableId="1900894367">
    <w:abstractNumId w:val="14"/>
  </w:num>
  <w:num w:numId="14" w16cid:durableId="1935165775">
    <w:abstractNumId w:val="10"/>
  </w:num>
  <w:num w:numId="15" w16cid:durableId="551308429">
    <w:abstractNumId w:val="7"/>
  </w:num>
  <w:num w:numId="16" w16cid:durableId="852958260">
    <w:abstractNumId w:val="13"/>
  </w:num>
  <w:num w:numId="17" w16cid:durableId="1182890327">
    <w:abstractNumId w:val="5"/>
  </w:num>
  <w:num w:numId="18" w16cid:durableId="386496450">
    <w:abstractNumId w:val="11"/>
  </w:num>
  <w:num w:numId="19" w16cid:durableId="110635062">
    <w:abstractNumId w:val="17"/>
  </w:num>
  <w:num w:numId="20" w16cid:durableId="19772949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83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5B31"/>
    <w:rsid w:val="000A4C35"/>
    <w:rsid w:val="000A611A"/>
    <w:rsid w:val="000B12D9"/>
    <w:rsid w:val="000B3913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D55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789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E30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34C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3F9"/>
    <w:rsid w:val="007917BA"/>
    <w:rsid w:val="007A54DF"/>
    <w:rsid w:val="007A56F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FC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07D3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1EF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174C8"/>
    <w:rsid w:val="00B318CA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E10"/>
    <w:rsid w:val="00BA0066"/>
    <w:rsid w:val="00BA5F2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ACB"/>
    <w:rsid w:val="00FD3C70"/>
    <w:rsid w:val="00FD6820"/>
    <w:rsid w:val="00FE12D8"/>
    <w:rsid w:val="00FF7C02"/>
    <w:rsid w:val="024801E3"/>
    <w:rsid w:val="11B1C720"/>
    <w:rsid w:val="5B8A11F3"/>
    <w:rsid w:val="647B2B65"/>
    <w:rsid w:val="6B2CF8ED"/>
    <w:rsid w:val="75E6726E"/>
    <w:rsid w:val="7B8164A7"/>
    <w:rsid w:val="7E5C1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26FABE29-E5FB-4234-ABDD-2B28E2B42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2D7789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2D778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EndNoteBibliography">
    <w:name w:val="EndNote Bibliography"/>
    <w:basedOn w:val="Normal"/>
    <w:link w:val="EndNoteBibliographyChar"/>
    <w:rsid w:val="00BA5F26"/>
    <w:pPr>
      <w:spacing w:after="160" w:line="240" w:lineRule="auto"/>
      <w:ind w:left="0" w:right="0"/>
    </w:pPr>
    <w:rPr>
      <w:rFonts w:ascii="Calibri" w:eastAsia="Calibri" w:hAnsi="Calibri"/>
      <w:noProof/>
      <w:sz w:val="22"/>
      <w:szCs w:val="22"/>
      <w:lang w:val="en-US" w:eastAsia="en-US"/>
    </w:rPr>
  </w:style>
  <w:style w:type="character" w:customStyle="1" w:styleId="EndNoteBibliographyChar">
    <w:name w:val="EndNote Bibliography Char"/>
    <w:link w:val="EndNoteBibliography"/>
    <w:rsid w:val="00BA5F26"/>
    <w:rPr>
      <w:rFonts w:ascii="Calibri" w:eastAsia="Calibri" w:hAnsi="Calibri"/>
      <w:noProof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oleObject" Target="embeddings/oleObject1.bin" Id="rId18" /><Relationship Type="http://schemas.openxmlformats.org/officeDocument/2006/relationships/oleObject" Target="embeddings/oleObject5.bin" Id="rId26" /><Relationship Type="http://schemas.openxmlformats.org/officeDocument/2006/relationships/oleObject" Target="embeddings/oleObject12.bin" Id="rId39" /><Relationship Type="http://schemas.openxmlformats.org/officeDocument/2006/relationships/image" Target="media/image5.wmf" Id="rId21" /><Relationship Type="http://schemas.openxmlformats.org/officeDocument/2006/relationships/oleObject" Target="embeddings/oleObject9.bin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wmf" Id="rId17" /><Relationship Type="http://schemas.openxmlformats.org/officeDocument/2006/relationships/image" Target="media/image7.wmf" Id="rId25" /><Relationship Type="http://schemas.openxmlformats.org/officeDocument/2006/relationships/image" Target="media/image11.wmf" Id="rId33" /><Relationship Type="http://schemas.openxmlformats.org/officeDocument/2006/relationships/image" Target="media/image13.wmf" Id="rId38" /><Relationship Type="http://schemas.openxmlformats.org/officeDocument/2006/relationships/footer" Target="footer3.xml" Id="rId16" /><Relationship Type="http://schemas.openxmlformats.org/officeDocument/2006/relationships/oleObject" Target="embeddings/oleObject2.bin" Id="rId20" /><Relationship Type="http://schemas.openxmlformats.org/officeDocument/2006/relationships/image" Target="media/image9.wmf" Id="rId29" /><Relationship Type="http://schemas.openxmlformats.org/officeDocument/2006/relationships/theme" Target="theme/theme1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oleObject" Target="embeddings/oleObject4.bin" Id="rId24" /><Relationship Type="http://schemas.openxmlformats.org/officeDocument/2006/relationships/oleObject" Target="embeddings/oleObject8.bin" Id="rId32" /><Relationship Type="http://schemas.openxmlformats.org/officeDocument/2006/relationships/oleObject" Target="embeddings/oleObject11.bin" Id="rId37" /><Relationship Type="http://schemas.openxmlformats.org/officeDocument/2006/relationships/fontTable" Target="fontTable.xml" Id="rId40" /><Relationship Type="http://schemas.openxmlformats.org/officeDocument/2006/relationships/header" Target="header2.xml" Id="rId15" /><Relationship Type="http://schemas.openxmlformats.org/officeDocument/2006/relationships/image" Target="media/image6.wmf" Id="rId23" /><Relationship Type="http://schemas.openxmlformats.org/officeDocument/2006/relationships/oleObject" Target="embeddings/oleObject6.bin" Id="rId28" /><Relationship Type="http://schemas.openxmlformats.org/officeDocument/2006/relationships/oleObject" Target="embeddings/oleObject10.bin" Id="rId36" /><Relationship Type="http://schemas.openxmlformats.org/officeDocument/2006/relationships/footnotes" Target="footnotes.xml" Id="rId10" /><Relationship Type="http://schemas.openxmlformats.org/officeDocument/2006/relationships/image" Target="media/image4.wmf" Id="rId19" /><Relationship Type="http://schemas.openxmlformats.org/officeDocument/2006/relationships/image" Target="media/image10.wmf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oleObject" Target="embeddings/oleObject3.bin" Id="rId22" /><Relationship Type="http://schemas.openxmlformats.org/officeDocument/2006/relationships/image" Target="media/image8.wmf" Id="rId27" /><Relationship Type="http://schemas.openxmlformats.org/officeDocument/2006/relationships/oleObject" Target="embeddings/oleObject7.bin" Id="rId30" /><Relationship Type="http://schemas.openxmlformats.org/officeDocument/2006/relationships/image" Target="media/image12.wmf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557</Words>
  <Characters>3888</Characters>
  <Application>Microsoft Office Word</Application>
  <DocSecurity>0</DocSecurity>
  <Lines>32</Lines>
  <Paragraphs>8</Paragraphs>
  <ScaleCrop>false</ScaleCrop>
  <Manager/>
  <Company/>
  <LinksUpToDate>false</LinksUpToDate>
  <CharactersWithSpaces>4437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Synförändringar under HBO</dc:title>
  <dc:subject/>
  <dc:creator>patrik.jens.johansson@vgregion.se</dc:creator>
  <keywords/>
  <lastModifiedBy>Matilda Johansson</lastModifiedBy>
  <revision>13</revision>
  <lastPrinted>2016-03-31T01:56:00.0000000Z</lastPrinted>
  <dcterms:created xsi:type="dcterms:W3CDTF">2022-05-06T02:56:00.0000000Z</dcterms:created>
  <dcterms:modified xsi:type="dcterms:W3CDTF">2024-02-14T13:40:00.0000000Z</dcterms:modified>
</coreProperties>
</file>