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C33049" w14:textId="77777777" w:rsidR="006058B9" w:rsidRDefault="006058B9" w:rsidP="00F35B05">
      <w:pPr>
        <w:pStyle w:val="Rubrik2"/>
        <w:sectPr w:rsidR="006058B9" w:rsidSect="006058B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920212F" w14:textId="77777777" w:rsidR="006058B9" w:rsidRPr="006058B9" w:rsidRDefault="006058B9" w:rsidP="006058B9">
      <w:pPr>
        <w:spacing w:after="0" w:line="240" w:lineRule="auto"/>
        <w:ind w:left="0" w:right="0"/>
        <w:rPr>
          <w:rFonts w:ascii="Arial" w:hAnsi="Arial" w:cs="Arial"/>
          <w:sz w:val="20"/>
        </w:rPr>
      </w:pPr>
    </w:p>
    <w:p w14:paraId="15A4ADF5" w14:textId="1B30A953" w:rsidR="00715763" w:rsidRDefault="00715763" w:rsidP="00715763">
      <w:pPr>
        <w:pStyle w:val="Rubrik1"/>
      </w:pPr>
      <w:r>
        <w:t>Gabapentin för perioperativ smärtlinding</w:t>
      </w:r>
    </w:p>
    <w:p w14:paraId="50A5D88C" w14:textId="0B2B428C" w:rsidR="006058B9" w:rsidRPr="006058B9" w:rsidRDefault="006058B9" w:rsidP="00715763">
      <w:pPr>
        <w:pStyle w:val="MellanrubrikVGR"/>
      </w:pPr>
      <w:r w:rsidRPr="006058B9">
        <w:t>Denna rutin gäller för</w:t>
      </w:r>
    </w:p>
    <w:p w14:paraId="05714FD9" w14:textId="77777777" w:rsidR="006058B9" w:rsidRDefault="006058B9" w:rsidP="00715763">
      <w:r w:rsidRPr="006058B9">
        <w:t xml:space="preserve">SU/Östra, Operation1 och 2 </w:t>
      </w:r>
    </w:p>
    <w:p w14:paraId="6BE65477" w14:textId="77777777" w:rsidR="00096F3E" w:rsidRPr="006058B9" w:rsidRDefault="00096F3E" w:rsidP="00715763"/>
    <w:p w14:paraId="6710FB44" w14:textId="77777777" w:rsidR="006058B9" w:rsidRPr="006058B9" w:rsidRDefault="006058B9" w:rsidP="00715763">
      <w:pPr>
        <w:pStyle w:val="Rubrik2"/>
      </w:pPr>
      <w:r w:rsidRPr="006058B9">
        <w:t>Syfte</w:t>
      </w:r>
    </w:p>
    <w:p w14:paraId="11844BD4" w14:textId="77777777" w:rsidR="006058B9" w:rsidRDefault="006058B9" w:rsidP="00715763">
      <w:r w:rsidRPr="006058B9">
        <w:t xml:space="preserve">Smärtlindring vid operationer hos patienter med långvarig smärtproblematik. </w:t>
      </w:r>
    </w:p>
    <w:p w14:paraId="75BCEC3F" w14:textId="77777777" w:rsidR="00096F3E" w:rsidRPr="006058B9" w:rsidRDefault="00096F3E" w:rsidP="00715763"/>
    <w:p w14:paraId="1B5DBB9D" w14:textId="77777777" w:rsidR="006058B9" w:rsidRPr="006058B9" w:rsidRDefault="006058B9" w:rsidP="00715763">
      <w:pPr>
        <w:pStyle w:val="Rubrik2"/>
      </w:pPr>
      <w:r w:rsidRPr="006058B9">
        <w:t>Ansvar</w:t>
      </w:r>
    </w:p>
    <w:p w14:paraId="75F34754" w14:textId="77777777" w:rsidR="006058B9" w:rsidRDefault="006058B9" w:rsidP="00715763">
      <w:r w:rsidRPr="006058B9">
        <w:t xml:space="preserve">Vid preoperativ bedömning identifieras patienter med långvarig smärtproblematik. Premedicinering med Gabapentin kan vara aktuellt och ska diskuteras med patient av ansvarig anestesiolog.  </w:t>
      </w:r>
    </w:p>
    <w:p w14:paraId="430DC574" w14:textId="77777777" w:rsidR="00096F3E" w:rsidRPr="006058B9" w:rsidRDefault="00096F3E" w:rsidP="00715763"/>
    <w:p w14:paraId="110464CB" w14:textId="77777777" w:rsidR="006058B9" w:rsidRPr="006058B9" w:rsidRDefault="006058B9" w:rsidP="00715763">
      <w:pPr>
        <w:pStyle w:val="Rubrik3"/>
      </w:pPr>
      <w:r w:rsidRPr="006058B9">
        <w:t>Indikationer:</w:t>
      </w:r>
    </w:p>
    <w:p w14:paraId="709B7C36" w14:textId="3B649F8C" w:rsidR="006058B9" w:rsidRPr="006058B9" w:rsidRDefault="006058B9" w:rsidP="00715763">
      <w:pPr>
        <w:pStyle w:val="Punktlista"/>
      </w:pPr>
      <w:r w:rsidRPr="006058B9">
        <w:t>långvarig smärta i anamnes</w:t>
      </w:r>
    </w:p>
    <w:p w14:paraId="17F913DD" w14:textId="09504B11" w:rsidR="006058B9" w:rsidRPr="006058B9" w:rsidRDefault="006058B9" w:rsidP="00715763">
      <w:pPr>
        <w:pStyle w:val="Punktlista"/>
      </w:pPr>
      <w:r w:rsidRPr="006058B9">
        <w:t xml:space="preserve">förväntad postoperativ smärtproblematik </w:t>
      </w:r>
    </w:p>
    <w:p w14:paraId="497BBCA8" w14:textId="3FEF38C7" w:rsidR="006058B9" w:rsidRPr="006058B9" w:rsidRDefault="006058B9" w:rsidP="00715763">
      <w:pPr>
        <w:pStyle w:val="Punktlista"/>
      </w:pPr>
      <w:r w:rsidRPr="006058B9">
        <w:t>missbruk/bruk(opioid, cannabis, mm) i anamnes</w:t>
      </w:r>
    </w:p>
    <w:p w14:paraId="2B015BCA" w14:textId="6864A594" w:rsidR="006058B9" w:rsidRPr="006058B9" w:rsidRDefault="006058B9" w:rsidP="00715763">
      <w:pPr>
        <w:pStyle w:val="Punktlista"/>
      </w:pPr>
      <w:r w:rsidRPr="006058B9">
        <w:t>begränsade möjligheter för smärtlindring, liksom: kontraindikation för paracetamol och COX-hämmare</w:t>
      </w:r>
    </w:p>
    <w:p w14:paraId="6E2B174B" w14:textId="77777777" w:rsidR="006058B9" w:rsidRPr="006058B9" w:rsidRDefault="006058B9" w:rsidP="00715763">
      <w:pPr>
        <w:pStyle w:val="Punktlista"/>
      </w:pPr>
      <w:r w:rsidRPr="006058B9">
        <w:t>Patient som redan står på gabapentin eller pregabalin bör fortsätta med sin ordinarie medicin, en dosökning med 25-50%.</w:t>
      </w:r>
    </w:p>
    <w:p w14:paraId="062979F5" w14:textId="77777777" w:rsidR="006058B9" w:rsidRPr="006058B9" w:rsidRDefault="006058B9" w:rsidP="00715763">
      <w:pPr>
        <w:pStyle w:val="Rubrik3"/>
      </w:pPr>
      <w:r w:rsidRPr="006058B9">
        <w:lastRenderedPageBreak/>
        <w:t xml:space="preserve">Kontraindikationer: </w:t>
      </w:r>
    </w:p>
    <w:p w14:paraId="00385A17" w14:textId="0DAF1697" w:rsidR="006058B9" w:rsidRPr="006058B9" w:rsidRDefault="006058B9" w:rsidP="00715763">
      <w:pPr>
        <w:pStyle w:val="Punktlista"/>
      </w:pPr>
      <w:r w:rsidRPr="006058B9">
        <w:t>överkänslighet mot det aktiva innehållsämnet eller mot något hjälpämne</w:t>
      </w:r>
    </w:p>
    <w:p w14:paraId="0CE4CCAC" w14:textId="22C105AC" w:rsidR="006058B9" w:rsidRPr="006058B9" w:rsidRDefault="006058B9" w:rsidP="00715763">
      <w:pPr>
        <w:pStyle w:val="Punktlista"/>
      </w:pPr>
      <w:r w:rsidRPr="006058B9">
        <w:t>graviditet</w:t>
      </w:r>
    </w:p>
    <w:p w14:paraId="408C8B52" w14:textId="351FFCDD" w:rsidR="006058B9" w:rsidRPr="006058B9" w:rsidRDefault="006058B9" w:rsidP="00715763">
      <w:pPr>
        <w:pStyle w:val="Punktlista"/>
      </w:pPr>
      <w:r w:rsidRPr="006058B9">
        <w:t>pankreatit</w:t>
      </w:r>
    </w:p>
    <w:p w14:paraId="0CF9C828" w14:textId="4A246113" w:rsidR="00096F3E" w:rsidRPr="006058B9" w:rsidRDefault="006058B9" w:rsidP="00096F3E">
      <w:pPr>
        <w:pStyle w:val="Punktlista"/>
      </w:pPr>
      <w:r w:rsidRPr="006058B9">
        <w:t>njursvikt vid måttlig njursvikt kan gabapentin övervägas.</w:t>
      </w:r>
    </w:p>
    <w:p w14:paraId="568FB7B4" w14:textId="77777777" w:rsidR="006058B9" w:rsidRPr="006058B9" w:rsidRDefault="006058B9" w:rsidP="00715763">
      <w:pPr>
        <w:pStyle w:val="Rubrik3"/>
      </w:pPr>
      <w:r w:rsidRPr="006058B9">
        <w:t>Biverkningar:</w:t>
      </w:r>
    </w:p>
    <w:p w14:paraId="62876681" w14:textId="77777777" w:rsidR="006058B9" w:rsidRPr="006058B9" w:rsidRDefault="006058B9" w:rsidP="00715763">
      <w:r w:rsidRPr="006058B9">
        <w:t>somnolens, yrsel, ataxi, hypotoni</w:t>
      </w:r>
    </w:p>
    <w:p w14:paraId="63265C86" w14:textId="77777777" w:rsidR="006058B9" w:rsidRPr="006058B9" w:rsidRDefault="006058B9" w:rsidP="006058B9">
      <w:pPr>
        <w:spacing w:after="240" w:line="240" w:lineRule="auto"/>
        <w:ind w:left="0" w:right="0"/>
        <w:rPr>
          <w:b/>
        </w:rPr>
      </w:pPr>
    </w:p>
    <w:p w14:paraId="51B85D4A" w14:textId="77777777" w:rsidR="006058B9" w:rsidRDefault="006058B9" w:rsidP="00715763">
      <w:pPr>
        <w:pStyle w:val="Rubrik3"/>
      </w:pPr>
      <w:r w:rsidRPr="006058B9">
        <w:rPr>
          <w:b/>
        </w:rPr>
        <w:t>Premedicinering</w:t>
      </w:r>
      <w:r w:rsidRPr="006058B9">
        <w:t xml:space="preserve"> (”protective premedication”) hos vuxna:</w:t>
      </w:r>
    </w:p>
    <w:p w14:paraId="23E36CDE" w14:textId="77777777" w:rsidR="0050170B" w:rsidRDefault="0050170B" w:rsidP="0050170B"/>
    <w:tbl>
      <w:tblPr>
        <w:tblStyle w:val="Tabellrutnt"/>
        <w:tblW w:w="7650" w:type="dxa"/>
        <w:tblInd w:w="992" w:type="dxa"/>
        <w:tblBorders>
          <w:top w:val="single" w:sz="4" w:space="0" w:color="004971" w:themeColor="accent1" w:themeShade="BF"/>
          <w:left w:val="single" w:sz="4" w:space="0" w:color="004971" w:themeColor="accent1" w:themeShade="BF"/>
          <w:bottom w:val="single" w:sz="4" w:space="0" w:color="004971" w:themeColor="accent1" w:themeShade="BF"/>
          <w:right w:val="single" w:sz="4" w:space="0" w:color="004971" w:themeColor="accent1" w:themeShade="BF"/>
          <w:insideH w:val="single" w:sz="4" w:space="0" w:color="004971" w:themeColor="accent1" w:themeShade="BF"/>
          <w:insideV w:val="single" w:sz="4" w:space="0" w:color="004971" w:themeColor="accent1" w:themeShade="BF"/>
        </w:tblBorders>
        <w:tblLayout w:type="fixed"/>
        <w:tblLook w:val="04A0" w:firstRow="1" w:lastRow="0" w:firstColumn="1" w:lastColumn="0" w:noHBand="0" w:noVBand="1"/>
      </w:tblPr>
      <w:tblGrid>
        <w:gridCol w:w="704"/>
        <w:gridCol w:w="1134"/>
        <w:gridCol w:w="1276"/>
        <w:gridCol w:w="1276"/>
        <w:gridCol w:w="850"/>
        <w:gridCol w:w="2410"/>
      </w:tblGrid>
      <w:tr w:rsidR="00C0239E" w:rsidRPr="00C0239E" w14:paraId="7710534F" w14:textId="77777777" w:rsidTr="0025394B">
        <w:tc>
          <w:tcPr>
            <w:tcW w:w="704" w:type="dxa"/>
            <w:shd w:val="clear" w:color="auto" w:fill="FFFFFF" w:themeFill="background1"/>
            <w:vAlign w:val="center"/>
          </w:tcPr>
          <w:p w14:paraId="17DB491A" w14:textId="7E177821" w:rsidR="0053254E" w:rsidRPr="00C0239E" w:rsidRDefault="0053254E" w:rsidP="001710F6">
            <w:pPr>
              <w:ind w:left="0" w:right="0"/>
              <w:jc w:val="center"/>
              <w:rPr>
                <w:rFonts w:asciiTheme="majorHAnsi" w:hAnsiTheme="majorHAnsi" w:cstheme="majorHAnsi"/>
                <w:b/>
                <w:bCs/>
                <w:sz w:val="26"/>
                <w:szCs w:val="26"/>
              </w:rPr>
            </w:pPr>
          </w:p>
        </w:tc>
        <w:tc>
          <w:tcPr>
            <w:tcW w:w="1134" w:type="dxa"/>
            <w:shd w:val="clear" w:color="auto" w:fill="0070C0"/>
            <w:vAlign w:val="center"/>
          </w:tcPr>
          <w:p w14:paraId="52903659" w14:textId="75EBE788" w:rsidR="0053254E" w:rsidRPr="00C0239E" w:rsidRDefault="0053254E" w:rsidP="001710F6">
            <w:pPr>
              <w:ind w:left="0" w:right="0"/>
              <w:jc w:val="center"/>
              <w:rPr>
                <w:rFonts w:asciiTheme="majorHAnsi" w:hAnsiTheme="majorHAnsi" w:cstheme="majorHAnsi"/>
                <w:b/>
                <w:bCs/>
                <w:sz w:val="26"/>
                <w:szCs w:val="26"/>
              </w:rPr>
            </w:pPr>
            <w:r w:rsidRPr="004675CB">
              <w:rPr>
                <w:rFonts w:asciiTheme="majorHAnsi" w:hAnsiTheme="majorHAnsi" w:cstheme="majorHAnsi"/>
                <w:b/>
                <w:bCs/>
                <w:color w:val="FFFFFF" w:themeColor="background1"/>
                <w:sz w:val="26"/>
                <w:szCs w:val="26"/>
              </w:rPr>
              <w:t>V</w:t>
            </w:r>
            <w:r w:rsidR="00531D6C" w:rsidRPr="004675CB">
              <w:rPr>
                <w:rFonts w:asciiTheme="majorHAnsi" w:hAnsiTheme="majorHAnsi" w:cstheme="majorHAnsi"/>
                <w:b/>
                <w:bCs/>
                <w:color w:val="FFFFFF" w:themeColor="background1"/>
                <w:sz w:val="26"/>
                <w:szCs w:val="26"/>
              </w:rPr>
              <w:t>IKT</w:t>
            </w:r>
          </w:p>
        </w:tc>
        <w:tc>
          <w:tcPr>
            <w:tcW w:w="1276" w:type="dxa"/>
            <w:shd w:val="clear" w:color="auto" w:fill="FFFFFF" w:themeFill="background1"/>
            <w:vAlign w:val="center"/>
          </w:tcPr>
          <w:p w14:paraId="7C75511E" w14:textId="75F421F9" w:rsidR="0053254E" w:rsidRPr="00C0239E" w:rsidRDefault="0053254E" w:rsidP="001710F6">
            <w:pPr>
              <w:ind w:left="0" w:right="0"/>
              <w:jc w:val="center"/>
              <w:rPr>
                <w:rFonts w:asciiTheme="majorHAnsi" w:hAnsiTheme="majorHAnsi" w:cstheme="majorHAnsi"/>
                <w:b/>
                <w:bCs/>
                <w:sz w:val="26"/>
                <w:szCs w:val="26"/>
              </w:rPr>
            </w:pPr>
          </w:p>
        </w:tc>
        <w:tc>
          <w:tcPr>
            <w:tcW w:w="1276" w:type="dxa"/>
            <w:shd w:val="clear" w:color="auto" w:fill="0070C0"/>
            <w:vAlign w:val="center"/>
          </w:tcPr>
          <w:p w14:paraId="0181CE40" w14:textId="1C2890F6" w:rsidR="0053254E" w:rsidRPr="00C0239E" w:rsidRDefault="0053254E" w:rsidP="001710F6">
            <w:pPr>
              <w:ind w:left="0" w:right="0"/>
              <w:jc w:val="center"/>
              <w:rPr>
                <w:rFonts w:asciiTheme="majorHAnsi" w:hAnsiTheme="majorHAnsi" w:cstheme="majorHAnsi"/>
                <w:b/>
                <w:bCs/>
                <w:sz w:val="26"/>
                <w:szCs w:val="26"/>
              </w:rPr>
            </w:pPr>
            <w:r w:rsidRPr="004675CB">
              <w:rPr>
                <w:rFonts w:asciiTheme="majorHAnsi" w:hAnsiTheme="majorHAnsi" w:cstheme="majorHAnsi"/>
                <w:b/>
                <w:bCs/>
                <w:color w:val="FFFFFF" w:themeColor="background1"/>
                <w:sz w:val="26"/>
                <w:szCs w:val="26"/>
              </w:rPr>
              <w:t>Å</w:t>
            </w:r>
            <w:r w:rsidR="00531D6C" w:rsidRPr="004675CB">
              <w:rPr>
                <w:rFonts w:asciiTheme="majorHAnsi" w:hAnsiTheme="majorHAnsi" w:cstheme="majorHAnsi"/>
                <w:b/>
                <w:bCs/>
                <w:color w:val="FFFFFF" w:themeColor="background1"/>
                <w:sz w:val="26"/>
                <w:szCs w:val="26"/>
              </w:rPr>
              <w:t>LDER</w:t>
            </w:r>
          </w:p>
        </w:tc>
        <w:tc>
          <w:tcPr>
            <w:tcW w:w="850" w:type="dxa"/>
            <w:shd w:val="clear" w:color="auto" w:fill="FFFFFF" w:themeFill="background1"/>
            <w:vAlign w:val="center"/>
          </w:tcPr>
          <w:p w14:paraId="0D0EF2FF" w14:textId="02B8EA82" w:rsidR="0053254E" w:rsidRPr="00C0239E" w:rsidRDefault="0053254E" w:rsidP="001710F6">
            <w:pPr>
              <w:ind w:left="0" w:right="0"/>
              <w:jc w:val="center"/>
              <w:rPr>
                <w:rFonts w:asciiTheme="majorHAnsi" w:hAnsiTheme="majorHAnsi" w:cstheme="majorHAnsi"/>
                <w:b/>
                <w:bCs/>
                <w:sz w:val="26"/>
                <w:szCs w:val="26"/>
              </w:rPr>
            </w:pPr>
          </w:p>
        </w:tc>
        <w:tc>
          <w:tcPr>
            <w:tcW w:w="2410" w:type="dxa"/>
            <w:shd w:val="clear" w:color="auto" w:fill="0070C0"/>
            <w:vAlign w:val="center"/>
          </w:tcPr>
          <w:p w14:paraId="6BD21F86" w14:textId="0BFDA155" w:rsidR="0053254E" w:rsidRPr="00C0239E" w:rsidRDefault="0053254E" w:rsidP="001710F6">
            <w:pPr>
              <w:ind w:left="0" w:right="0"/>
              <w:jc w:val="center"/>
              <w:rPr>
                <w:rFonts w:asciiTheme="majorHAnsi" w:hAnsiTheme="majorHAnsi" w:cstheme="majorHAnsi"/>
                <w:b/>
                <w:bCs/>
                <w:sz w:val="26"/>
                <w:szCs w:val="26"/>
              </w:rPr>
            </w:pPr>
            <w:r w:rsidRPr="004675CB">
              <w:rPr>
                <w:rFonts w:asciiTheme="majorHAnsi" w:hAnsiTheme="majorHAnsi" w:cstheme="majorHAnsi"/>
                <w:b/>
                <w:bCs/>
                <w:color w:val="FFFFFF" w:themeColor="background1"/>
                <w:sz w:val="26"/>
                <w:szCs w:val="26"/>
              </w:rPr>
              <w:t>G</w:t>
            </w:r>
            <w:r w:rsidR="00531D6C" w:rsidRPr="004675CB">
              <w:rPr>
                <w:rFonts w:asciiTheme="majorHAnsi" w:hAnsiTheme="majorHAnsi" w:cstheme="majorHAnsi"/>
                <w:b/>
                <w:bCs/>
                <w:color w:val="FFFFFF" w:themeColor="background1"/>
                <w:sz w:val="26"/>
                <w:szCs w:val="26"/>
              </w:rPr>
              <w:t>ABAPENTIN</w:t>
            </w:r>
          </w:p>
        </w:tc>
      </w:tr>
      <w:tr w:rsidR="0025394B" w14:paraId="755336F7" w14:textId="77777777" w:rsidTr="0025394B">
        <w:tc>
          <w:tcPr>
            <w:tcW w:w="704" w:type="dxa"/>
            <w:shd w:val="clear" w:color="auto" w:fill="0070C0"/>
            <w:vAlign w:val="center"/>
          </w:tcPr>
          <w:p w14:paraId="4858FE33" w14:textId="7C030E17" w:rsidR="0053254E" w:rsidRPr="0053254E" w:rsidRDefault="002F2D27" w:rsidP="00C0239E">
            <w:pPr>
              <w:tabs>
                <w:tab w:val="left" w:pos="166"/>
              </w:tabs>
              <w:ind w:left="0" w:right="0"/>
              <w:jc w:val="center"/>
              <w:rPr>
                <w:color w:val="FFFFFF" w:themeColor="background1"/>
              </w:rPr>
            </w:pPr>
            <w:r w:rsidRPr="0053254E">
              <w:rPr>
                <w:rFonts w:asciiTheme="majorHAnsi" w:hAnsiTheme="majorHAnsi" w:cstheme="majorHAnsi"/>
                <w:b/>
                <w:bCs/>
                <w:color w:val="FFFFFF" w:themeColor="background1"/>
                <w:sz w:val="26"/>
                <w:szCs w:val="26"/>
              </w:rPr>
              <w:t>Om</w:t>
            </w:r>
          </w:p>
        </w:tc>
        <w:tc>
          <w:tcPr>
            <w:tcW w:w="1134" w:type="dxa"/>
            <w:vAlign w:val="center"/>
          </w:tcPr>
          <w:p w14:paraId="191CD826" w14:textId="199E68B5" w:rsidR="0053254E" w:rsidRDefault="0053254E" w:rsidP="00C0239E">
            <w:pPr>
              <w:ind w:left="0" w:right="0"/>
              <w:jc w:val="center"/>
            </w:pPr>
            <w:r w:rsidRPr="006058B9">
              <w:t>≥</w:t>
            </w:r>
            <w:r>
              <w:t xml:space="preserve"> 80</w:t>
            </w:r>
          </w:p>
        </w:tc>
        <w:tc>
          <w:tcPr>
            <w:tcW w:w="1276" w:type="dxa"/>
            <w:shd w:val="clear" w:color="auto" w:fill="0070C0"/>
            <w:vAlign w:val="center"/>
          </w:tcPr>
          <w:p w14:paraId="04B604FD" w14:textId="7F7F8F76" w:rsidR="0053254E" w:rsidRPr="0053254E" w:rsidRDefault="001710F6" w:rsidP="00C0239E">
            <w:pPr>
              <w:ind w:left="0" w:right="0"/>
              <w:jc w:val="center"/>
              <w:rPr>
                <w:rFonts w:asciiTheme="majorHAnsi" w:hAnsiTheme="majorHAnsi" w:cstheme="majorHAnsi"/>
                <w:b/>
                <w:bCs/>
                <w:color w:val="FFFFFF" w:themeColor="background1"/>
                <w:sz w:val="26"/>
                <w:szCs w:val="26"/>
              </w:rPr>
            </w:pPr>
            <w:r>
              <w:rPr>
                <w:rFonts w:asciiTheme="majorHAnsi" w:hAnsiTheme="majorHAnsi" w:cstheme="majorHAnsi"/>
                <w:b/>
                <w:bCs/>
                <w:color w:val="FFFFFF" w:themeColor="background1"/>
                <w:sz w:val="26"/>
                <w:szCs w:val="26"/>
              </w:rPr>
              <w:t>O</w:t>
            </w:r>
            <w:r w:rsidR="002F2D27">
              <w:rPr>
                <w:rFonts w:asciiTheme="majorHAnsi" w:hAnsiTheme="majorHAnsi" w:cstheme="majorHAnsi"/>
                <w:b/>
                <w:bCs/>
                <w:color w:val="FFFFFF" w:themeColor="background1"/>
                <w:sz w:val="26"/>
                <w:szCs w:val="26"/>
              </w:rPr>
              <w:t>ch</w:t>
            </w:r>
          </w:p>
        </w:tc>
        <w:tc>
          <w:tcPr>
            <w:tcW w:w="1276" w:type="dxa"/>
            <w:vAlign w:val="center"/>
          </w:tcPr>
          <w:p w14:paraId="029CF9AF" w14:textId="12A4AF3B" w:rsidR="0053254E" w:rsidRDefault="0053254E" w:rsidP="00C0239E">
            <w:pPr>
              <w:ind w:left="0" w:right="0"/>
              <w:jc w:val="center"/>
            </w:pPr>
            <w:r w:rsidRPr="006058B9">
              <w:t>≤</w:t>
            </w:r>
            <w:r>
              <w:t xml:space="preserve"> 65</w:t>
            </w:r>
          </w:p>
        </w:tc>
        <w:tc>
          <w:tcPr>
            <w:tcW w:w="850" w:type="dxa"/>
            <w:shd w:val="clear" w:color="auto" w:fill="0070C0"/>
            <w:vAlign w:val="center"/>
          </w:tcPr>
          <w:p w14:paraId="1EE8ABD2" w14:textId="21386C0D" w:rsidR="0053254E" w:rsidRPr="002F2D27" w:rsidRDefault="001710F6" w:rsidP="00C0239E">
            <w:pPr>
              <w:ind w:left="0" w:right="0"/>
              <w:jc w:val="center"/>
              <w:rPr>
                <w:rFonts w:asciiTheme="majorHAnsi" w:hAnsiTheme="majorHAnsi" w:cstheme="majorHAnsi"/>
                <w:b/>
                <w:bCs/>
                <w:sz w:val="26"/>
                <w:szCs w:val="26"/>
              </w:rPr>
            </w:pPr>
            <w:r>
              <w:rPr>
                <w:rFonts w:asciiTheme="majorHAnsi" w:hAnsiTheme="majorHAnsi" w:cstheme="majorHAnsi"/>
                <w:b/>
                <w:bCs/>
                <w:color w:val="FFFFFF" w:themeColor="background1"/>
                <w:sz w:val="26"/>
                <w:szCs w:val="26"/>
              </w:rPr>
              <w:t>G</w:t>
            </w:r>
            <w:r w:rsidR="002F2D27" w:rsidRPr="002F2D27">
              <w:rPr>
                <w:rFonts w:asciiTheme="majorHAnsi" w:hAnsiTheme="majorHAnsi" w:cstheme="majorHAnsi"/>
                <w:b/>
                <w:bCs/>
                <w:color w:val="FFFFFF" w:themeColor="background1"/>
                <w:sz w:val="26"/>
                <w:szCs w:val="26"/>
              </w:rPr>
              <w:t>e</w:t>
            </w:r>
          </w:p>
        </w:tc>
        <w:tc>
          <w:tcPr>
            <w:tcW w:w="2410" w:type="dxa"/>
          </w:tcPr>
          <w:p w14:paraId="1673A81B" w14:textId="2996F2AD" w:rsidR="0053254E" w:rsidRDefault="0053254E" w:rsidP="00402D6A">
            <w:pPr>
              <w:ind w:left="0" w:right="0"/>
            </w:pPr>
            <w:r>
              <w:t>1500 mg</w:t>
            </w:r>
          </w:p>
          <w:p w14:paraId="5B2353D0" w14:textId="22A418B2" w:rsidR="0053254E" w:rsidRDefault="0053254E" w:rsidP="00402D6A">
            <w:pPr>
              <w:ind w:left="0" w:right="0"/>
            </w:pPr>
            <w:r>
              <w:t>(5 kapslar 300 mg)</w:t>
            </w:r>
          </w:p>
        </w:tc>
      </w:tr>
      <w:tr w:rsidR="0025394B" w14:paraId="3EC774DB" w14:textId="77777777" w:rsidTr="0025394B">
        <w:tc>
          <w:tcPr>
            <w:tcW w:w="704" w:type="dxa"/>
            <w:shd w:val="clear" w:color="auto" w:fill="0070C0"/>
            <w:vAlign w:val="center"/>
          </w:tcPr>
          <w:p w14:paraId="1470A1DC" w14:textId="69485363" w:rsidR="0053254E" w:rsidRPr="0053254E" w:rsidRDefault="0053254E" w:rsidP="00C0239E">
            <w:pPr>
              <w:tabs>
                <w:tab w:val="left" w:pos="166"/>
              </w:tabs>
              <w:ind w:left="0" w:right="0"/>
              <w:jc w:val="center"/>
              <w:rPr>
                <w:rFonts w:asciiTheme="majorHAnsi" w:hAnsiTheme="majorHAnsi" w:cstheme="majorHAnsi"/>
                <w:b/>
                <w:bCs/>
                <w:color w:val="FFFFFF" w:themeColor="background1"/>
                <w:sz w:val="26"/>
                <w:szCs w:val="26"/>
              </w:rPr>
            </w:pPr>
            <w:r w:rsidRPr="0053254E">
              <w:rPr>
                <w:rFonts w:asciiTheme="majorHAnsi" w:hAnsiTheme="majorHAnsi" w:cstheme="majorHAnsi"/>
                <w:b/>
                <w:bCs/>
                <w:color w:val="FFFFFF" w:themeColor="background1"/>
                <w:sz w:val="26"/>
                <w:szCs w:val="26"/>
              </w:rPr>
              <w:t>Om</w:t>
            </w:r>
          </w:p>
        </w:tc>
        <w:tc>
          <w:tcPr>
            <w:tcW w:w="1134" w:type="dxa"/>
            <w:vAlign w:val="center"/>
          </w:tcPr>
          <w:p w14:paraId="3FFE3FC7" w14:textId="1E275873" w:rsidR="0053254E" w:rsidRDefault="0053254E" w:rsidP="00C0239E">
            <w:pPr>
              <w:ind w:left="0" w:right="143"/>
              <w:jc w:val="center"/>
            </w:pPr>
            <w:r>
              <w:t>&lt; 80</w:t>
            </w:r>
          </w:p>
        </w:tc>
        <w:tc>
          <w:tcPr>
            <w:tcW w:w="1276" w:type="dxa"/>
            <w:shd w:val="clear" w:color="auto" w:fill="0070C0"/>
            <w:vAlign w:val="center"/>
          </w:tcPr>
          <w:p w14:paraId="7E355CC3" w14:textId="79069F98" w:rsidR="0053254E" w:rsidRPr="0053254E" w:rsidRDefault="001710F6" w:rsidP="00C0239E">
            <w:pPr>
              <w:ind w:left="0" w:right="0"/>
              <w:jc w:val="center"/>
              <w:rPr>
                <w:rFonts w:asciiTheme="majorHAnsi" w:hAnsiTheme="majorHAnsi" w:cstheme="majorHAnsi"/>
                <w:b/>
                <w:bCs/>
                <w:color w:val="FFFFFF" w:themeColor="background1"/>
                <w:sz w:val="26"/>
                <w:szCs w:val="26"/>
              </w:rPr>
            </w:pPr>
            <w:r>
              <w:rPr>
                <w:rFonts w:asciiTheme="majorHAnsi" w:hAnsiTheme="majorHAnsi" w:cstheme="majorHAnsi"/>
                <w:b/>
                <w:bCs/>
                <w:color w:val="FFFFFF" w:themeColor="background1"/>
                <w:sz w:val="26"/>
                <w:szCs w:val="26"/>
              </w:rPr>
              <w:t>O</w:t>
            </w:r>
            <w:r w:rsidR="0053254E" w:rsidRPr="0053254E">
              <w:rPr>
                <w:rFonts w:asciiTheme="majorHAnsi" w:hAnsiTheme="majorHAnsi" w:cstheme="majorHAnsi"/>
                <w:b/>
                <w:bCs/>
                <w:color w:val="FFFFFF" w:themeColor="background1"/>
                <w:sz w:val="26"/>
                <w:szCs w:val="26"/>
              </w:rPr>
              <w:t>ch</w:t>
            </w:r>
          </w:p>
        </w:tc>
        <w:tc>
          <w:tcPr>
            <w:tcW w:w="1276" w:type="dxa"/>
            <w:vAlign w:val="center"/>
          </w:tcPr>
          <w:p w14:paraId="17E17A61" w14:textId="521E2F16" w:rsidR="0053254E" w:rsidRDefault="0053254E" w:rsidP="00C0239E">
            <w:pPr>
              <w:ind w:left="0" w:right="0"/>
              <w:jc w:val="center"/>
            </w:pPr>
            <w:r w:rsidRPr="006058B9">
              <w:t>≤</w:t>
            </w:r>
            <w:r>
              <w:t xml:space="preserve"> 65</w:t>
            </w:r>
          </w:p>
        </w:tc>
        <w:tc>
          <w:tcPr>
            <w:tcW w:w="850" w:type="dxa"/>
            <w:shd w:val="clear" w:color="auto" w:fill="0070C0"/>
            <w:vAlign w:val="center"/>
          </w:tcPr>
          <w:p w14:paraId="3A8CAF67" w14:textId="6D10B053" w:rsidR="0053254E" w:rsidRPr="0053254E" w:rsidRDefault="001710F6" w:rsidP="00C0239E">
            <w:pPr>
              <w:ind w:left="0" w:right="0"/>
              <w:jc w:val="center"/>
              <w:rPr>
                <w:rFonts w:asciiTheme="majorHAnsi" w:hAnsiTheme="majorHAnsi" w:cstheme="majorHAnsi"/>
                <w:b/>
                <w:bCs/>
                <w:sz w:val="26"/>
                <w:szCs w:val="26"/>
              </w:rPr>
            </w:pPr>
            <w:r>
              <w:rPr>
                <w:rFonts w:asciiTheme="majorHAnsi" w:hAnsiTheme="majorHAnsi" w:cstheme="majorHAnsi"/>
                <w:b/>
                <w:bCs/>
                <w:color w:val="FFFFFF" w:themeColor="background1"/>
                <w:sz w:val="26"/>
                <w:szCs w:val="26"/>
              </w:rPr>
              <w:t>G</w:t>
            </w:r>
            <w:r w:rsidR="0053254E" w:rsidRPr="0053254E">
              <w:rPr>
                <w:rFonts w:asciiTheme="majorHAnsi" w:hAnsiTheme="majorHAnsi" w:cstheme="majorHAnsi"/>
                <w:b/>
                <w:bCs/>
                <w:color w:val="FFFFFF" w:themeColor="background1"/>
                <w:sz w:val="26"/>
                <w:szCs w:val="26"/>
              </w:rPr>
              <w:t>e</w:t>
            </w:r>
          </w:p>
        </w:tc>
        <w:tc>
          <w:tcPr>
            <w:tcW w:w="2410" w:type="dxa"/>
          </w:tcPr>
          <w:p w14:paraId="19515061" w14:textId="4571D1DC" w:rsidR="0053254E" w:rsidRDefault="0053254E" w:rsidP="00402D6A">
            <w:pPr>
              <w:ind w:left="0" w:right="0"/>
            </w:pPr>
            <w:r>
              <w:t>900 mg</w:t>
            </w:r>
          </w:p>
          <w:p w14:paraId="4020A0D9" w14:textId="0C542269" w:rsidR="0053254E" w:rsidRDefault="0053254E" w:rsidP="00402D6A">
            <w:pPr>
              <w:ind w:left="0" w:right="0"/>
            </w:pPr>
            <w:r>
              <w:t>(3 kapslar 300 mg)</w:t>
            </w:r>
          </w:p>
        </w:tc>
      </w:tr>
      <w:tr w:rsidR="0053254E" w14:paraId="35A64D7F" w14:textId="77777777" w:rsidTr="0025394B">
        <w:tc>
          <w:tcPr>
            <w:tcW w:w="704" w:type="dxa"/>
            <w:shd w:val="clear" w:color="auto" w:fill="0070C0"/>
            <w:vAlign w:val="center"/>
          </w:tcPr>
          <w:p w14:paraId="04DACF1A" w14:textId="428A12B4" w:rsidR="0053254E" w:rsidRPr="002F2D27" w:rsidRDefault="002F2D27" w:rsidP="00C0239E">
            <w:pPr>
              <w:ind w:left="0" w:right="30"/>
              <w:jc w:val="center"/>
              <w:rPr>
                <w:rFonts w:asciiTheme="majorHAnsi" w:hAnsiTheme="majorHAnsi" w:cstheme="majorHAnsi"/>
                <w:b/>
                <w:bCs/>
                <w:color w:val="FFFFFF" w:themeColor="background1"/>
                <w:sz w:val="26"/>
                <w:szCs w:val="26"/>
              </w:rPr>
            </w:pPr>
            <w:r w:rsidRPr="002F2D27">
              <w:rPr>
                <w:rFonts w:asciiTheme="majorHAnsi" w:hAnsiTheme="majorHAnsi" w:cstheme="majorHAnsi"/>
                <w:b/>
                <w:bCs/>
                <w:color w:val="FFFFFF" w:themeColor="background1"/>
                <w:sz w:val="26"/>
                <w:szCs w:val="26"/>
              </w:rPr>
              <w:t>Om</w:t>
            </w:r>
          </w:p>
        </w:tc>
        <w:tc>
          <w:tcPr>
            <w:tcW w:w="1134" w:type="dxa"/>
            <w:vAlign w:val="center"/>
          </w:tcPr>
          <w:p w14:paraId="5947CE3E" w14:textId="74B91259" w:rsidR="0053254E" w:rsidRDefault="0053254E" w:rsidP="00C0239E">
            <w:pPr>
              <w:ind w:left="0" w:right="1"/>
              <w:jc w:val="center"/>
            </w:pPr>
            <w:r w:rsidRPr="006058B9">
              <w:t>≤</w:t>
            </w:r>
            <w:r>
              <w:t xml:space="preserve"> 50</w:t>
            </w:r>
          </w:p>
        </w:tc>
        <w:tc>
          <w:tcPr>
            <w:tcW w:w="1276" w:type="dxa"/>
            <w:shd w:val="clear" w:color="auto" w:fill="0070C0"/>
            <w:vAlign w:val="center"/>
          </w:tcPr>
          <w:p w14:paraId="443A6976" w14:textId="50FFC5C5" w:rsidR="0053254E" w:rsidRPr="00531D6C" w:rsidRDefault="001710F6" w:rsidP="00C0239E">
            <w:pPr>
              <w:ind w:left="0" w:right="0"/>
              <w:jc w:val="center"/>
              <w:rPr>
                <w:rFonts w:asciiTheme="majorHAnsi" w:hAnsiTheme="majorHAnsi" w:cstheme="majorHAnsi"/>
                <w:b/>
                <w:bCs/>
                <w:color w:val="FFFFFF" w:themeColor="background1"/>
                <w:sz w:val="26"/>
                <w:szCs w:val="26"/>
              </w:rPr>
            </w:pPr>
            <w:r>
              <w:rPr>
                <w:rFonts w:asciiTheme="majorHAnsi" w:hAnsiTheme="majorHAnsi" w:cstheme="majorHAnsi"/>
                <w:b/>
                <w:bCs/>
                <w:color w:val="FFFFFF" w:themeColor="background1"/>
                <w:sz w:val="26"/>
                <w:szCs w:val="26"/>
              </w:rPr>
              <w:t>O</w:t>
            </w:r>
            <w:r w:rsidR="002F2D27" w:rsidRPr="00531D6C">
              <w:rPr>
                <w:rFonts w:asciiTheme="majorHAnsi" w:hAnsiTheme="majorHAnsi" w:cstheme="majorHAnsi"/>
                <w:b/>
                <w:bCs/>
                <w:color w:val="FFFFFF" w:themeColor="background1"/>
                <w:sz w:val="26"/>
                <w:szCs w:val="26"/>
              </w:rPr>
              <w:t>ch/eller</w:t>
            </w:r>
          </w:p>
        </w:tc>
        <w:tc>
          <w:tcPr>
            <w:tcW w:w="1276" w:type="dxa"/>
            <w:vAlign w:val="center"/>
          </w:tcPr>
          <w:p w14:paraId="32C00A66" w14:textId="74282C5A" w:rsidR="0053254E" w:rsidRDefault="0053254E" w:rsidP="00C0239E">
            <w:pPr>
              <w:ind w:left="0" w:right="0"/>
              <w:jc w:val="center"/>
            </w:pPr>
            <w:r>
              <w:t>&gt; 65</w:t>
            </w:r>
          </w:p>
        </w:tc>
        <w:tc>
          <w:tcPr>
            <w:tcW w:w="850" w:type="dxa"/>
            <w:shd w:val="clear" w:color="auto" w:fill="0070C0"/>
            <w:vAlign w:val="center"/>
          </w:tcPr>
          <w:p w14:paraId="41100A41" w14:textId="7E8F2E64" w:rsidR="0053254E" w:rsidRPr="002F2D27" w:rsidRDefault="001710F6" w:rsidP="00C0239E">
            <w:pPr>
              <w:ind w:left="0" w:right="0"/>
              <w:jc w:val="center"/>
              <w:rPr>
                <w:rFonts w:asciiTheme="majorHAnsi" w:hAnsiTheme="majorHAnsi" w:cstheme="majorHAnsi"/>
                <w:b/>
                <w:bCs/>
                <w:sz w:val="26"/>
                <w:szCs w:val="26"/>
              </w:rPr>
            </w:pPr>
            <w:r>
              <w:rPr>
                <w:rFonts w:asciiTheme="majorHAnsi" w:hAnsiTheme="majorHAnsi" w:cstheme="majorHAnsi"/>
                <w:b/>
                <w:bCs/>
                <w:color w:val="FFFFFF" w:themeColor="background1"/>
                <w:sz w:val="26"/>
                <w:szCs w:val="26"/>
              </w:rPr>
              <w:t>G</w:t>
            </w:r>
            <w:r w:rsidR="002F2D27" w:rsidRPr="002F2D27">
              <w:rPr>
                <w:rFonts w:asciiTheme="majorHAnsi" w:hAnsiTheme="majorHAnsi" w:cstheme="majorHAnsi"/>
                <w:b/>
                <w:bCs/>
                <w:color w:val="FFFFFF" w:themeColor="background1"/>
                <w:sz w:val="26"/>
                <w:szCs w:val="26"/>
              </w:rPr>
              <w:t>e</w:t>
            </w:r>
          </w:p>
        </w:tc>
        <w:tc>
          <w:tcPr>
            <w:tcW w:w="2410" w:type="dxa"/>
          </w:tcPr>
          <w:p w14:paraId="47F137A3" w14:textId="2A9213D8" w:rsidR="0053254E" w:rsidRDefault="0053254E" w:rsidP="00402D6A">
            <w:pPr>
              <w:ind w:left="0" w:right="0"/>
            </w:pPr>
            <w:r>
              <w:t>600 mg</w:t>
            </w:r>
          </w:p>
          <w:p w14:paraId="0C5BB7C9" w14:textId="12B8BD09" w:rsidR="0053254E" w:rsidRDefault="0053254E" w:rsidP="00402D6A">
            <w:pPr>
              <w:ind w:left="0" w:right="0"/>
            </w:pPr>
            <w:r>
              <w:t>(2 kapslar 300 mg)</w:t>
            </w:r>
          </w:p>
        </w:tc>
      </w:tr>
    </w:tbl>
    <w:p w14:paraId="7A0251B4" w14:textId="77777777" w:rsidR="0050170B" w:rsidRPr="0050170B" w:rsidRDefault="0050170B" w:rsidP="0050170B"/>
    <w:p w14:paraId="04A0D8F0" w14:textId="77777777" w:rsidR="006058B9" w:rsidRPr="006058B9" w:rsidRDefault="006058B9" w:rsidP="00715763">
      <w:r w:rsidRPr="006058B9">
        <w:t>Gabapentin kan kombineras med paracetamol, COX- hämmare, opioider och blockader.</w:t>
      </w:r>
    </w:p>
    <w:p w14:paraId="29AF19AC" w14:textId="77777777" w:rsidR="006058B9" w:rsidRPr="006058B9" w:rsidRDefault="006058B9" w:rsidP="00715763">
      <w:r w:rsidRPr="006058B9">
        <w:t xml:space="preserve">Opioidsparande effekt syns vid singeldos gabapentin i samband med premedicinering. I ett antal artiklar diskuteras användandet av gabapentin även under postoperativ vård t.o.m. postop dag 2. Om detta är aktuellt fortsatt dosering med en tredje del av preoperativa dosen var åttonde timme. </w:t>
      </w:r>
    </w:p>
    <w:p w14:paraId="3D78B4F3" w14:textId="77777777" w:rsidR="006058B9" w:rsidRDefault="006058B9" w:rsidP="00715763">
      <w:r w:rsidRPr="006058B9">
        <w:t>Obs! Om patienten inte har fått gabapentin vid premedicinering, tveksam effekt vid postop insatt gabapentin. </w:t>
      </w:r>
    </w:p>
    <w:p w14:paraId="48685C18" w14:textId="77777777" w:rsidR="00096F3E" w:rsidRPr="006058B9" w:rsidRDefault="00096F3E" w:rsidP="00715763"/>
    <w:p w14:paraId="5AC2A378" w14:textId="77777777" w:rsidR="006058B9" w:rsidRPr="006058B9" w:rsidRDefault="006058B9" w:rsidP="002F2D27">
      <w:pPr>
        <w:pStyle w:val="Rubrik2"/>
      </w:pPr>
      <w:r w:rsidRPr="006058B9">
        <w:lastRenderedPageBreak/>
        <w:t>Uppföljning och utvärdering</w:t>
      </w:r>
    </w:p>
    <w:p w14:paraId="78062096" w14:textId="77777777" w:rsidR="006058B9" w:rsidRDefault="006058B9" w:rsidP="002F2D27">
      <w:r w:rsidRPr="006058B9">
        <w:t>Akutsmärtteamet följer upp patienter med komplicerad smärtproblematik regelbundet, återkopplas direkt till ansvarig anestesiolog och periodvis till VÖL på smärtenheten</w:t>
      </w:r>
    </w:p>
    <w:p w14:paraId="6990B4E1" w14:textId="77777777" w:rsidR="00096F3E" w:rsidRPr="006058B9" w:rsidRDefault="00096F3E" w:rsidP="002F2D27"/>
    <w:p w14:paraId="1E1D0D36" w14:textId="77777777" w:rsidR="006058B9" w:rsidRPr="006058B9" w:rsidRDefault="006058B9" w:rsidP="002F2D27">
      <w:pPr>
        <w:pStyle w:val="Rubrik2"/>
        <w:rPr>
          <w:lang w:val="en-GB"/>
        </w:rPr>
      </w:pPr>
      <w:r w:rsidRPr="006058B9">
        <w:rPr>
          <w:lang w:val="en-GB"/>
        </w:rPr>
        <w:t>Kunskapsöversikt</w:t>
      </w:r>
    </w:p>
    <w:p w14:paraId="5B9087B0" w14:textId="1257FE13" w:rsidR="006058B9" w:rsidRPr="006058B9" w:rsidRDefault="006058B9" w:rsidP="002F2D27">
      <w:pPr>
        <w:pStyle w:val="Punktlista"/>
        <w:rPr>
          <w:lang w:val="en-GB"/>
        </w:rPr>
      </w:pPr>
      <w:r w:rsidRPr="006058B9">
        <w:rPr>
          <w:lang w:val="en-GB"/>
        </w:rPr>
        <w:t>Wall and Melzack’s Textbook of Pain. 2006, page 641, 649.</w:t>
      </w:r>
    </w:p>
    <w:p w14:paraId="52B2582F" w14:textId="54BADDFE" w:rsidR="006058B9" w:rsidRPr="006058B9" w:rsidRDefault="006058B9" w:rsidP="002F2D27">
      <w:pPr>
        <w:pStyle w:val="Punktlista"/>
        <w:rPr>
          <w:lang w:val="en-GB"/>
        </w:rPr>
      </w:pPr>
      <w:r w:rsidRPr="006058B9">
        <w:rPr>
          <w:lang w:val="en-GB"/>
        </w:rPr>
        <w:t>Acta Anaesthesiologica Scandinavica: 2004, 48: sid 1130 -1136.</w:t>
      </w:r>
    </w:p>
    <w:p w14:paraId="1EEDD679" w14:textId="1FE330DE" w:rsidR="006058B9" w:rsidRPr="006058B9" w:rsidRDefault="006058B9" w:rsidP="002F2D27">
      <w:pPr>
        <w:pStyle w:val="Punktlista"/>
        <w:rPr>
          <w:lang w:val="en-GB"/>
        </w:rPr>
      </w:pPr>
      <w:r w:rsidRPr="006058B9">
        <w:rPr>
          <w:lang w:val="en-GB"/>
        </w:rPr>
        <w:t>Biomedicine &amp; Pharmacotherapy 60, 2006, page 336 –340.</w:t>
      </w:r>
    </w:p>
    <w:p w14:paraId="254999CE" w14:textId="77777777" w:rsidR="006058B9" w:rsidRPr="006058B9" w:rsidRDefault="006058B9" w:rsidP="006058B9">
      <w:pPr>
        <w:spacing w:after="240" w:line="240" w:lineRule="auto"/>
        <w:ind w:left="0" w:right="0"/>
      </w:pPr>
    </w:p>
    <w:p w14:paraId="139E3002" w14:textId="77777777" w:rsidR="006058B9" w:rsidRPr="006058B9" w:rsidRDefault="006058B9" w:rsidP="006058B9">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6058B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FA46F7" w14:textId="77777777" w:rsidR="00342BB7" w:rsidRDefault="00342BB7">
      <w:r>
        <w:separator/>
      </w:r>
    </w:p>
  </w:endnote>
  <w:endnote w:type="continuationSeparator" w:id="0">
    <w:p w14:paraId="3F47EED0" w14:textId="77777777" w:rsidR="00342BB7" w:rsidRDefault="00342BB7">
      <w:r>
        <w:continuationSeparator/>
      </w:r>
    </w:p>
  </w:endnote>
  <w:endnote w:type="continuationNotice" w:id="1">
    <w:p w14:paraId="6069802E" w14:textId="77777777" w:rsidR="00342BB7" w:rsidRDefault="00342BB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3AA97" w14:textId="77777777" w:rsidR="00342BB7" w:rsidRDefault="00342BB7"/>
  </w:footnote>
  <w:footnote w:type="continuationSeparator" w:id="0">
    <w:p w14:paraId="5416DC71" w14:textId="77777777" w:rsidR="00342BB7" w:rsidRDefault="00342BB7">
      <w:r>
        <w:continuationSeparator/>
      </w:r>
    </w:p>
  </w:footnote>
  <w:footnote w:type="continuationNotice" w:id="1">
    <w:p w14:paraId="6B379EB0" w14:textId="77777777" w:rsidR="00342BB7" w:rsidRDefault="00342BB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7016183">
    <w:abstractNumId w:val="17"/>
  </w:num>
  <w:num w:numId="2" w16cid:durableId="1385372911">
    <w:abstractNumId w:val="14"/>
  </w:num>
  <w:num w:numId="3" w16cid:durableId="1228032865">
    <w:abstractNumId w:val="0"/>
  </w:num>
  <w:num w:numId="4" w16cid:durableId="1336113019">
    <w:abstractNumId w:val="6"/>
  </w:num>
  <w:num w:numId="5" w16cid:durableId="1565675474">
    <w:abstractNumId w:val="15"/>
  </w:num>
  <w:num w:numId="6" w16cid:durableId="348526855">
    <w:abstractNumId w:val="2"/>
  </w:num>
  <w:num w:numId="7" w16cid:durableId="1180849678">
    <w:abstractNumId w:val="11"/>
  </w:num>
  <w:num w:numId="8" w16cid:durableId="182403141">
    <w:abstractNumId w:val="8"/>
  </w:num>
  <w:num w:numId="9" w16cid:durableId="1734310444">
    <w:abstractNumId w:val="1"/>
  </w:num>
  <w:num w:numId="10" w16cid:durableId="664169483">
    <w:abstractNumId w:val="1"/>
  </w:num>
  <w:num w:numId="11" w16cid:durableId="820266123">
    <w:abstractNumId w:val="3"/>
  </w:num>
  <w:num w:numId="12" w16cid:durableId="785387909">
    <w:abstractNumId w:val="4"/>
  </w:num>
  <w:num w:numId="13" w16cid:durableId="1659772774">
    <w:abstractNumId w:val="13"/>
  </w:num>
  <w:num w:numId="14" w16cid:durableId="1158111901">
    <w:abstractNumId w:val="9"/>
  </w:num>
  <w:num w:numId="15" w16cid:durableId="1824539585">
    <w:abstractNumId w:val="7"/>
  </w:num>
  <w:num w:numId="16" w16cid:durableId="845435718">
    <w:abstractNumId w:val="12"/>
  </w:num>
  <w:num w:numId="17" w16cid:durableId="1183125435">
    <w:abstractNumId w:val="5"/>
  </w:num>
  <w:num w:numId="18" w16cid:durableId="1370183591">
    <w:abstractNumId w:val="10"/>
  </w:num>
  <w:num w:numId="19" w16cid:durableId="164731500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0965"/>
    <w:rsid w:val="00084024"/>
    <w:rsid w:val="0009062C"/>
    <w:rsid w:val="00095368"/>
    <w:rsid w:val="000954C4"/>
    <w:rsid w:val="00096F3E"/>
    <w:rsid w:val="000A4C35"/>
    <w:rsid w:val="000A611A"/>
    <w:rsid w:val="000B12D9"/>
    <w:rsid w:val="000B4536"/>
    <w:rsid w:val="000B7715"/>
    <w:rsid w:val="000E463B"/>
    <w:rsid w:val="000E5A7E"/>
    <w:rsid w:val="000F43A3"/>
    <w:rsid w:val="000F7681"/>
    <w:rsid w:val="00103031"/>
    <w:rsid w:val="001044FE"/>
    <w:rsid w:val="001139D4"/>
    <w:rsid w:val="00125F7E"/>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10F6"/>
    <w:rsid w:val="00181FDC"/>
    <w:rsid w:val="001860B9"/>
    <w:rsid w:val="00186F2B"/>
    <w:rsid w:val="001874D6"/>
    <w:rsid w:val="0019632A"/>
    <w:rsid w:val="001A4E7C"/>
    <w:rsid w:val="001A7FAC"/>
    <w:rsid w:val="001B762C"/>
    <w:rsid w:val="001C4D0A"/>
    <w:rsid w:val="001C5FEF"/>
    <w:rsid w:val="00211487"/>
    <w:rsid w:val="00211D91"/>
    <w:rsid w:val="00217DEC"/>
    <w:rsid w:val="00235B57"/>
    <w:rsid w:val="00250F24"/>
    <w:rsid w:val="002523C5"/>
    <w:rsid w:val="0025380B"/>
    <w:rsid w:val="0025394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2D27"/>
    <w:rsid w:val="002F568B"/>
    <w:rsid w:val="002F7818"/>
    <w:rsid w:val="003066D0"/>
    <w:rsid w:val="00311401"/>
    <w:rsid w:val="003203D7"/>
    <w:rsid w:val="00320F86"/>
    <w:rsid w:val="00324171"/>
    <w:rsid w:val="00326C24"/>
    <w:rsid w:val="00337F99"/>
    <w:rsid w:val="00342BB7"/>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2D6A"/>
    <w:rsid w:val="00404948"/>
    <w:rsid w:val="00406BEA"/>
    <w:rsid w:val="00413A60"/>
    <w:rsid w:val="004230F7"/>
    <w:rsid w:val="0043167E"/>
    <w:rsid w:val="0043409A"/>
    <w:rsid w:val="00443C1E"/>
    <w:rsid w:val="00446255"/>
    <w:rsid w:val="00451935"/>
    <w:rsid w:val="00460ED0"/>
    <w:rsid w:val="00465651"/>
    <w:rsid w:val="004675CB"/>
    <w:rsid w:val="00470CE7"/>
    <w:rsid w:val="00470F4F"/>
    <w:rsid w:val="00472482"/>
    <w:rsid w:val="00480DC7"/>
    <w:rsid w:val="004876F6"/>
    <w:rsid w:val="0049236A"/>
    <w:rsid w:val="00492718"/>
    <w:rsid w:val="004A355D"/>
    <w:rsid w:val="004A4970"/>
    <w:rsid w:val="004B2183"/>
    <w:rsid w:val="004B2A01"/>
    <w:rsid w:val="004C2340"/>
    <w:rsid w:val="004C2559"/>
    <w:rsid w:val="004D7BA3"/>
    <w:rsid w:val="004F4518"/>
    <w:rsid w:val="004F4C62"/>
    <w:rsid w:val="00501433"/>
    <w:rsid w:val="0050170B"/>
    <w:rsid w:val="00505F43"/>
    <w:rsid w:val="00511CC4"/>
    <w:rsid w:val="00531D6C"/>
    <w:rsid w:val="00531E60"/>
    <w:rsid w:val="0053254E"/>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8B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2856"/>
    <w:rsid w:val="006C5048"/>
    <w:rsid w:val="006C6A4B"/>
    <w:rsid w:val="006C779F"/>
    <w:rsid w:val="006D01F5"/>
    <w:rsid w:val="006D0CFB"/>
    <w:rsid w:val="006D30C0"/>
    <w:rsid w:val="006D7535"/>
    <w:rsid w:val="006E450B"/>
    <w:rsid w:val="006F0D7E"/>
    <w:rsid w:val="00710B77"/>
    <w:rsid w:val="00715763"/>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4B1C"/>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4DE9"/>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239E"/>
    <w:rsid w:val="00C02FAA"/>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7503"/>
    <w:rsid w:val="00DD2BE0"/>
    <w:rsid w:val="00DE4447"/>
    <w:rsid w:val="00DE5DA2"/>
    <w:rsid w:val="00DF0033"/>
    <w:rsid w:val="00DF42CE"/>
    <w:rsid w:val="00E026BF"/>
    <w:rsid w:val="00E07B1B"/>
    <w:rsid w:val="00E11853"/>
    <w:rsid w:val="00E5229A"/>
    <w:rsid w:val="00E52A86"/>
    <w:rsid w:val="00E54B47"/>
    <w:rsid w:val="00E553BF"/>
    <w:rsid w:val="00E55D93"/>
    <w:rsid w:val="00E61294"/>
    <w:rsid w:val="00E6217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4025"/>
    <w:rsid w:val="00F5135F"/>
    <w:rsid w:val="00F51F78"/>
    <w:rsid w:val="00F86F47"/>
    <w:rsid w:val="00F90B64"/>
    <w:rsid w:val="00FB2F0F"/>
    <w:rsid w:val="00FB5086"/>
    <w:rsid w:val="00FB5411"/>
    <w:rsid w:val="00FB6392"/>
    <w:rsid w:val="00FB67A3"/>
    <w:rsid w:val="00FC291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070965"/>
    <w:rPr>
      <w:sz w:val="16"/>
      <w:szCs w:val="16"/>
    </w:rPr>
  </w:style>
  <w:style w:type="paragraph" w:styleId="Kommentarer">
    <w:name w:val="annotation text"/>
    <w:basedOn w:val="Normal"/>
    <w:link w:val="KommentarerChar"/>
    <w:uiPriority w:val="99"/>
    <w:unhideWhenUsed/>
    <w:rsid w:val="00070965"/>
    <w:pPr>
      <w:spacing w:line="240" w:lineRule="auto"/>
    </w:pPr>
    <w:rPr>
      <w:sz w:val="20"/>
      <w:szCs w:val="20"/>
    </w:rPr>
  </w:style>
  <w:style w:type="character" w:customStyle="1" w:styleId="KommentarerChar">
    <w:name w:val="Kommentarer Char"/>
    <w:basedOn w:val="Standardstycketeckensnitt"/>
    <w:link w:val="Kommentarer"/>
    <w:uiPriority w:val="99"/>
    <w:rsid w:val="00070965"/>
  </w:style>
  <w:style w:type="paragraph" w:styleId="Kommentarsmne">
    <w:name w:val="annotation subject"/>
    <w:basedOn w:val="Kommentarer"/>
    <w:next w:val="Kommentarer"/>
    <w:link w:val="KommentarsmneChar"/>
    <w:uiPriority w:val="99"/>
    <w:semiHidden/>
    <w:unhideWhenUsed/>
    <w:rsid w:val="00070965"/>
    <w:rPr>
      <w:b/>
      <w:bCs/>
    </w:rPr>
  </w:style>
  <w:style w:type="character" w:customStyle="1" w:styleId="KommentarsmneChar">
    <w:name w:val="Kommentarsämne Char"/>
    <w:basedOn w:val="KommentarerChar"/>
    <w:link w:val="Kommentarsmne"/>
    <w:uiPriority w:val="99"/>
    <w:semiHidden/>
    <w:rsid w:val="0007096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32</TotalTime>
  <Pages>3</Pages>
  <Words>325</Words>
  <Characters>1726</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2047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Gabapentin för perioperativ smärtlindring</dc:title>
  <dc:subject/>
  <dc:creator>patrik.jens.johansson@vgregion.se</dc:creator>
  <keywords/>
  <lastModifiedBy>Matilda Johansson</lastModifiedBy>
  <revision>28</revision>
  <lastPrinted>2016-03-31T10:56:00.0000000Z</lastPrinted>
  <dcterms:created xsi:type="dcterms:W3CDTF">2022-05-06T11:43:00.0000000Z</dcterms:created>
  <dcterms:modified xsi:type="dcterms:W3CDTF">2024-03-04T13:34:00.0000000Z</dcterms:modified>
</coreProperties>
</file>