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557D93" w:rsidR="009A32ED" w:rsidP="6C9BDD5F" w:rsidRDefault="001C4636" w14:paraId="11BC1DCA" w14:textId="65417B1F">
      <w:pPr>
        <w:pStyle w:val="Omslagsrubrik"/>
      </w:pPr>
      <w:bookmarkStart w:name="_Toc321146591" w:id="0"/>
      <w:r w:rsidR="009F7DA2">
        <w:rPr/>
        <w:t>Neuromuskulär mon</w:t>
      </w:r>
      <w:r w:rsidR="00CA76D5">
        <w:rPr/>
        <w:t>itorering och reversering</w:t>
      </w:r>
      <w:bookmarkEnd w:id="0"/>
    </w:p>
    <w:p w:rsidR="14433811" w:rsidP="6C9BDD5F" w:rsidRDefault="14433811" w14:paraId="61244549" w14:textId="3C5D4CBC">
      <w:pPr>
        <w:pStyle w:val="Heading2"/>
        <w:keepNext w:val="1"/>
        <w:keepLines w:val="1"/>
        <w:rPr>
          <w:rFonts w:ascii="Verdana" w:hAnsi="Verdana" w:eastAsia="Verdana" w:cs="Verdana"/>
          <w:b w:val="0"/>
          <w:bCs w:val="0"/>
          <w:i w:val="0"/>
          <w:iCs w:val="0"/>
          <w:caps w:val="0"/>
          <w:smallCaps w:val="0"/>
          <w:noProof w:val="0"/>
          <w:color w:val="000000" w:themeColor="text2" w:themeTint="FF" w:themeShade="FF"/>
          <w:sz w:val="40"/>
          <w:szCs w:val="40"/>
          <w:lang w:val="sv-SE"/>
        </w:rPr>
      </w:pPr>
      <w:r w:rsidRPr="6C9BDD5F" w:rsidR="14433811">
        <w:rPr>
          <w:noProof w:val="0"/>
          <w:lang w:val="sv-SE"/>
        </w:rPr>
        <w:t>Förändringar sedan föregående version</w:t>
      </w:r>
    </w:p>
    <w:p w:rsidR="14433811" w:rsidP="6C9BDD5F" w:rsidRDefault="14433811" w14:paraId="7BBE39CA" w14:textId="1D00C892">
      <w:pPr>
        <w:spacing w:after="0" w:line="240" w:lineRule="auto"/>
        <w:ind w:right="-143"/>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14433811">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Omfattande uppdatering. Rekommendation för Sugammadex som förstahandsval för reversering av rokuroniums neuromuskulära blockad. </w:t>
      </w:r>
    </w:p>
    <w:p w:rsidR="14433811" w:rsidP="6C9BDD5F" w:rsidRDefault="14433811" w14:paraId="74CA27E5" w14:textId="513D0915">
      <w:pPr>
        <w:pStyle w:val="Heading2"/>
        <w:rPr>
          <w:rFonts w:ascii="Verdana" w:hAnsi="Verdana" w:eastAsia="Verdana" w:cs="Verdana"/>
          <w:b w:val="0"/>
          <w:bCs w:val="0"/>
          <w:i w:val="0"/>
          <w:iCs w:val="0"/>
          <w:caps w:val="0"/>
          <w:smallCaps w:val="0"/>
          <w:noProof w:val="0"/>
          <w:color w:val="000000" w:themeColor="text2" w:themeTint="FF" w:themeShade="FF"/>
          <w:sz w:val="40"/>
          <w:szCs w:val="40"/>
          <w:lang w:val="sv-SE"/>
        </w:rPr>
      </w:pPr>
      <w:r w:rsidRPr="6C9BDD5F" w:rsidR="14433811">
        <w:rPr>
          <w:noProof w:val="0"/>
          <w:lang w:val="sv-SE"/>
        </w:rPr>
        <w:t>Syfte</w:t>
      </w:r>
    </w:p>
    <w:p w:rsidR="14433811" w:rsidP="6C9BDD5F" w:rsidRDefault="14433811" w14:paraId="3249A216" w14:textId="5CAD046A">
      <w:pPr>
        <w:spacing w:after="0" w:line="240" w:lineRule="auto"/>
        <w:ind w:right="-143"/>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14433811">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Att säkerställa god och enhetlig arbetsrutin för övervakning av patienter som fått Rokuronium, förenligt med gällande europeisk rekommendation. För barn vgs. Rutin</w:t>
      </w:r>
    </w:p>
    <w:p w:rsidR="14433811" w:rsidP="6C9BDD5F" w:rsidRDefault="14433811" w14:paraId="7D6AF2AB" w14:textId="1439761C">
      <w:pPr>
        <w:spacing w:after="0" w:line="240" w:lineRule="auto"/>
        <w:ind w:right="-143"/>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hyperlink r:id="R8793bec87a9a457e">
        <w:r w:rsidRPr="6C9BDD5F" w:rsidR="14433811">
          <w:rPr>
            <w:rStyle w:val="Hyperlink"/>
            <w:rFonts w:ascii="Times New Roman" w:hAnsi="Times New Roman" w:eastAsia="Times New Roman" w:cs="Times New Roman"/>
            <w:b w:val="0"/>
            <w:bCs w:val="0"/>
            <w:i w:val="0"/>
            <w:iCs w:val="0"/>
            <w:caps w:val="0"/>
            <w:smallCaps w:val="0"/>
            <w:strike w:val="0"/>
            <w:dstrike w:val="0"/>
            <w:noProof w:val="0"/>
            <w:sz w:val="24"/>
            <w:szCs w:val="24"/>
            <w:lang w:val="sv-SE"/>
          </w:rPr>
          <w:t>Muskelrelaxantia och reversering, användning på Op1 Barn</w:t>
        </w:r>
      </w:hyperlink>
    </w:p>
    <w:p w:rsidR="6C9BDD5F" w:rsidP="6C9BDD5F" w:rsidRDefault="6C9BDD5F" w14:paraId="20F32FF4" w14:textId="6D7CF537">
      <w:pPr>
        <w:spacing w:after="0" w:line="240" w:lineRule="auto"/>
        <w:ind w:right="-143"/>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0D336DDA" w:rsidP="6C9BDD5F" w:rsidRDefault="0D336DDA" w14:paraId="0DF1FE17" w14:textId="0BA0802E">
      <w:pPr>
        <w:pStyle w:val="Heading2"/>
        <w:rPr>
          <w:noProof w:val="0"/>
          <w:lang w:val="sv-SE"/>
        </w:rPr>
      </w:pPr>
      <w:r w:rsidRPr="6C9BDD5F" w:rsidR="0D336DDA">
        <w:rPr>
          <w:noProof w:val="0"/>
          <w:lang w:val="sv-SE"/>
        </w:rPr>
        <w:t>Innehållsförteckning</w:t>
      </w:r>
    </w:p>
    <w:sdt>
      <w:sdtPr>
        <w:id w:val="1957822752"/>
        <w:docPartObj>
          <w:docPartGallery w:val="Table of Contents"/>
          <w:docPartUnique/>
        </w:docPartObj>
      </w:sdtPr>
      <w:sdtContent>
        <w:p w:rsidR="6C9BDD5F" w:rsidP="6C9BDD5F" w:rsidRDefault="6C9BDD5F" w14:paraId="578318A0" w14:textId="1EB55D02">
          <w:pPr>
            <w:pStyle w:val="TOC2"/>
            <w:tabs>
              <w:tab w:val="right" w:leader="dot" w:pos="8910"/>
            </w:tabs>
            <w:bidi w:val="0"/>
            <w:rPr>
              <w:rStyle w:val="Hyperlink"/>
            </w:rPr>
          </w:pPr>
          <w:r>
            <w:fldChar w:fldCharType="begin"/>
          </w:r>
          <w:r>
            <w:instrText xml:space="preserve">TOC \o "1-9" \z \u \h</w:instrText>
          </w:r>
          <w:r>
            <w:fldChar w:fldCharType="separate"/>
          </w:r>
          <w:hyperlink w:anchor="_Toc1586453748">
            <w:r w:rsidRPr="6C9BDD5F" w:rsidR="6C9BDD5F">
              <w:rPr>
                <w:rStyle w:val="Hyperlink"/>
              </w:rPr>
              <w:t>Arbetsbeskrivning</w:t>
            </w:r>
            <w:r>
              <w:tab/>
            </w:r>
            <w:r>
              <w:fldChar w:fldCharType="begin"/>
            </w:r>
            <w:r>
              <w:instrText xml:space="preserve">PAGEREF _Toc1586453748 \h</w:instrText>
            </w:r>
            <w:r>
              <w:fldChar w:fldCharType="separate"/>
            </w:r>
            <w:r w:rsidRPr="6C9BDD5F" w:rsidR="6C9BDD5F">
              <w:rPr>
                <w:rStyle w:val="Hyperlink"/>
              </w:rPr>
              <w:t>1</w:t>
            </w:r>
            <w:r>
              <w:fldChar w:fldCharType="end"/>
            </w:r>
          </w:hyperlink>
        </w:p>
        <w:p w:rsidR="6C9BDD5F" w:rsidP="6C9BDD5F" w:rsidRDefault="6C9BDD5F" w14:paraId="04BE39AC" w14:textId="59774D84">
          <w:pPr>
            <w:pStyle w:val="TOC3"/>
            <w:tabs>
              <w:tab w:val="right" w:leader="dot" w:pos="8910"/>
            </w:tabs>
            <w:bidi w:val="0"/>
            <w:rPr>
              <w:rStyle w:val="Hyperlink"/>
            </w:rPr>
          </w:pPr>
          <w:hyperlink w:anchor="_Toc1584748318">
            <w:r w:rsidRPr="6C9BDD5F" w:rsidR="6C9BDD5F">
              <w:rPr>
                <w:rStyle w:val="Hyperlink"/>
              </w:rPr>
              <w:t>Teoretiska principer av monitorering</w:t>
            </w:r>
            <w:r>
              <w:tab/>
            </w:r>
            <w:r>
              <w:fldChar w:fldCharType="begin"/>
            </w:r>
            <w:r>
              <w:instrText xml:space="preserve">PAGEREF _Toc1584748318 \h</w:instrText>
            </w:r>
            <w:r>
              <w:fldChar w:fldCharType="separate"/>
            </w:r>
            <w:r w:rsidRPr="6C9BDD5F" w:rsidR="6C9BDD5F">
              <w:rPr>
                <w:rStyle w:val="Hyperlink"/>
              </w:rPr>
              <w:t>1</w:t>
            </w:r>
            <w:r>
              <w:fldChar w:fldCharType="end"/>
            </w:r>
          </w:hyperlink>
        </w:p>
        <w:p w:rsidR="6C9BDD5F" w:rsidP="6C9BDD5F" w:rsidRDefault="6C9BDD5F" w14:paraId="10E099FD" w14:textId="24C65C86">
          <w:pPr>
            <w:pStyle w:val="TOC3"/>
            <w:tabs>
              <w:tab w:val="right" w:leader="dot" w:pos="8910"/>
            </w:tabs>
            <w:bidi w:val="0"/>
            <w:rPr>
              <w:rStyle w:val="Hyperlink"/>
            </w:rPr>
          </w:pPr>
          <w:hyperlink w:anchor="_Toc1182680079">
            <w:r w:rsidRPr="6C9BDD5F" w:rsidR="6C9BDD5F">
              <w:rPr>
                <w:rStyle w:val="Hyperlink"/>
              </w:rPr>
              <w:t>Mättekniker: AMG vs. EMG</w:t>
            </w:r>
            <w:r>
              <w:tab/>
            </w:r>
            <w:r>
              <w:fldChar w:fldCharType="begin"/>
            </w:r>
            <w:r>
              <w:instrText xml:space="preserve">PAGEREF _Toc1182680079 \h</w:instrText>
            </w:r>
            <w:r>
              <w:fldChar w:fldCharType="separate"/>
            </w:r>
            <w:r w:rsidRPr="6C9BDD5F" w:rsidR="6C9BDD5F">
              <w:rPr>
                <w:rStyle w:val="Hyperlink"/>
              </w:rPr>
              <w:t>3</w:t>
            </w:r>
            <w:r>
              <w:fldChar w:fldCharType="end"/>
            </w:r>
          </w:hyperlink>
        </w:p>
        <w:p w:rsidR="6C9BDD5F" w:rsidP="6C9BDD5F" w:rsidRDefault="6C9BDD5F" w14:paraId="59DE1F03" w14:textId="07CD94E9">
          <w:pPr>
            <w:pStyle w:val="TOC3"/>
            <w:tabs>
              <w:tab w:val="right" w:leader="dot" w:pos="8910"/>
            </w:tabs>
            <w:bidi w:val="0"/>
            <w:rPr>
              <w:rStyle w:val="Hyperlink"/>
            </w:rPr>
          </w:pPr>
          <w:hyperlink w:anchor="_Toc229232474">
            <w:r w:rsidRPr="6C9BDD5F" w:rsidR="6C9BDD5F">
              <w:rPr>
                <w:rStyle w:val="Hyperlink"/>
              </w:rPr>
              <w:t>Muskelrelaxantia</w:t>
            </w:r>
            <w:r>
              <w:tab/>
            </w:r>
            <w:r>
              <w:fldChar w:fldCharType="begin"/>
            </w:r>
            <w:r>
              <w:instrText xml:space="preserve">PAGEREF _Toc229232474 \h</w:instrText>
            </w:r>
            <w:r>
              <w:fldChar w:fldCharType="separate"/>
            </w:r>
            <w:r w:rsidRPr="6C9BDD5F" w:rsidR="6C9BDD5F">
              <w:rPr>
                <w:rStyle w:val="Hyperlink"/>
              </w:rPr>
              <w:t>5</w:t>
            </w:r>
            <w:r>
              <w:fldChar w:fldCharType="end"/>
            </w:r>
          </w:hyperlink>
        </w:p>
        <w:p w:rsidR="6C9BDD5F" w:rsidP="6C9BDD5F" w:rsidRDefault="6C9BDD5F" w14:paraId="28943F7B" w14:textId="72B41D3B">
          <w:pPr>
            <w:pStyle w:val="TOC3"/>
            <w:tabs>
              <w:tab w:val="right" w:leader="dot" w:pos="8910"/>
            </w:tabs>
            <w:bidi w:val="0"/>
            <w:rPr>
              <w:rStyle w:val="Hyperlink"/>
            </w:rPr>
          </w:pPr>
          <w:hyperlink w:anchor="_Toc844840427">
            <w:r w:rsidRPr="6C9BDD5F" w:rsidR="6C9BDD5F">
              <w:rPr>
                <w:rStyle w:val="Hyperlink"/>
              </w:rPr>
              <w:t>Huvudprinciper för vardagsbruk</w:t>
            </w:r>
            <w:r>
              <w:tab/>
            </w:r>
            <w:r>
              <w:fldChar w:fldCharType="begin"/>
            </w:r>
            <w:r>
              <w:instrText xml:space="preserve">PAGEREF _Toc844840427 \h</w:instrText>
            </w:r>
            <w:r>
              <w:fldChar w:fldCharType="separate"/>
            </w:r>
            <w:r w:rsidRPr="6C9BDD5F" w:rsidR="6C9BDD5F">
              <w:rPr>
                <w:rStyle w:val="Hyperlink"/>
              </w:rPr>
              <w:t>6</w:t>
            </w:r>
            <w:r>
              <w:fldChar w:fldCharType="end"/>
            </w:r>
          </w:hyperlink>
        </w:p>
        <w:p w:rsidR="6C9BDD5F" w:rsidP="6C9BDD5F" w:rsidRDefault="6C9BDD5F" w14:paraId="660A3433" w14:textId="4C0C629A">
          <w:pPr>
            <w:pStyle w:val="TOC3"/>
            <w:tabs>
              <w:tab w:val="right" w:leader="dot" w:pos="8910"/>
            </w:tabs>
            <w:bidi w:val="0"/>
            <w:rPr>
              <w:rStyle w:val="Hyperlink"/>
            </w:rPr>
          </w:pPr>
          <w:hyperlink w:anchor="_Toc1090721757">
            <w:r w:rsidRPr="6C9BDD5F" w:rsidR="6C9BDD5F">
              <w:rPr>
                <w:rStyle w:val="Hyperlink"/>
              </w:rPr>
              <w:t>Reversering</w:t>
            </w:r>
            <w:r>
              <w:tab/>
            </w:r>
            <w:r>
              <w:fldChar w:fldCharType="begin"/>
            </w:r>
            <w:r>
              <w:instrText xml:space="preserve">PAGEREF _Toc1090721757 \h</w:instrText>
            </w:r>
            <w:r>
              <w:fldChar w:fldCharType="separate"/>
            </w:r>
            <w:r w:rsidRPr="6C9BDD5F" w:rsidR="6C9BDD5F">
              <w:rPr>
                <w:rStyle w:val="Hyperlink"/>
              </w:rPr>
              <w:t>7</w:t>
            </w:r>
            <w:r>
              <w:fldChar w:fldCharType="end"/>
            </w:r>
          </w:hyperlink>
        </w:p>
        <w:p w:rsidR="6C9BDD5F" w:rsidP="6C9BDD5F" w:rsidRDefault="6C9BDD5F" w14:paraId="798A933A" w14:textId="72EA1FA0">
          <w:pPr>
            <w:pStyle w:val="TOC2"/>
            <w:tabs>
              <w:tab w:val="right" w:leader="dot" w:pos="8910"/>
            </w:tabs>
            <w:bidi w:val="0"/>
            <w:rPr>
              <w:rStyle w:val="Hyperlink"/>
            </w:rPr>
          </w:pPr>
          <w:hyperlink w:anchor="_Toc1246736237">
            <w:r w:rsidRPr="6C9BDD5F" w:rsidR="6C9BDD5F">
              <w:rPr>
                <w:rStyle w:val="Hyperlink"/>
              </w:rPr>
              <w:t>Referenser</w:t>
            </w:r>
            <w:r>
              <w:tab/>
            </w:r>
            <w:r>
              <w:fldChar w:fldCharType="begin"/>
            </w:r>
            <w:r>
              <w:instrText xml:space="preserve">PAGEREF _Toc1246736237 \h</w:instrText>
            </w:r>
            <w:r>
              <w:fldChar w:fldCharType="separate"/>
            </w:r>
            <w:r w:rsidRPr="6C9BDD5F" w:rsidR="6C9BDD5F">
              <w:rPr>
                <w:rStyle w:val="Hyperlink"/>
              </w:rPr>
              <w:t>8</w:t>
            </w:r>
            <w:r>
              <w:fldChar w:fldCharType="end"/>
            </w:r>
          </w:hyperlink>
        </w:p>
        <w:p w:rsidR="6C9BDD5F" w:rsidP="6C9BDD5F" w:rsidRDefault="6C9BDD5F" w14:paraId="32850ABA" w14:textId="482B351A">
          <w:pPr>
            <w:pStyle w:val="TOC2"/>
            <w:tabs>
              <w:tab w:val="right" w:leader="dot" w:pos="8910"/>
            </w:tabs>
            <w:bidi w:val="0"/>
            <w:rPr>
              <w:rStyle w:val="Hyperlink"/>
            </w:rPr>
          </w:pPr>
          <w:hyperlink w:anchor="_Toc1883688750">
            <w:r w:rsidRPr="6C9BDD5F" w:rsidR="6C9BDD5F">
              <w:rPr>
                <w:rStyle w:val="Hyperlink"/>
              </w:rPr>
              <w:t>Granskare</w:t>
            </w:r>
            <w:r>
              <w:tab/>
            </w:r>
            <w:r>
              <w:fldChar w:fldCharType="begin"/>
            </w:r>
            <w:r>
              <w:instrText xml:space="preserve">PAGEREF _Toc1883688750 \h</w:instrText>
            </w:r>
            <w:r>
              <w:fldChar w:fldCharType="separate"/>
            </w:r>
            <w:r w:rsidRPr="6C9BDD5F" w:rsidR="6C9BDD5F">
              <w:rPr>
                <w:rStyle w:val="Hyperlink"/>
              </w:rPr>
              <w:t>9</w:t>
            </w:r>
            <w:r>
              <w:fldChar w:fldCharType="end"/>
            </w:r>
          </w:hyperlink>
          <w:r>
            <w:fldChar w:fldCharType="end"/>
          </w:r>
        </w:p>
      </w:sdtContent>
    </w:sdt>
    <w:p w:rsidR="6C9BDD5F" w:rsidRDefault="6C9BDD5F" w14:paraId="78E34D8D" w14:textId="132ACEE8"/>
    <w:p w:rsidR="336AA8C9" w:rsidP="6C9BDD5F" w:rsidRDefault="336AA8C9" w14:paraId="3DF3956D" w14:textId="513D9F29">
      <w:pPr>
        <w:pStyle w:val="Heading2"/>
        <w:spacing w:after="0" w:line="240" w:lineRule="auto"/>
        <w:ind w:right="-143"/>
        <w:rPr>
          <w:rFonts w:ascii="Verdana" w:hAnsi="Verdana" w:eastAsia="Verdana" w:cs="Verdana"/>
          <w:b w:val="0"/>
          <w:bCs w:val="0"/>
          <w:i w:val="0"/>
          <w:iCs w:val="0"/>
          <w:caps w:val="0"/>
          <w:smallCaps w:val="0"/>
          <w:noProof w:val="0"/>
          <w:color w:val="000000" w:themeColor="text2" w:themeTint="FF" w:themeShade="FF"/>
          <w:sz w:val="40"/>
          <w:szCs w:val="40"/>
          <w:lang w:val="sv-SE"/>
        </w:rPr>
      </w:pPr>
      <w:bookmarkStart w:name="_Toc1586453748" w:id="760449825"/>
      <w:r w:rsidRPr="6C9BDD5F" w:rsidR="336AA8C9">
        <w:rPr>
          <w:rFonts w:ascii="Verdana" w:hAnsi="Verdana" w:eastAsia="Verdana" w:cs="Verdana"/>
          <w:b w:val="0"/>
          <w:bCs w:val="0"/>
          <w:i w:val="0"/>
          <w:iCs w:val="0"/>
          <w:caps w:val="0"/>
          <w:smallCaps w:val="0"/>
          <w:noProof w:val="0"/>
          <w:color w:val="000000" w:themeColor="text2" w:themeTint="FF" w:themeShade="FF"/>
          <w:sz w:val="40"/>
          <w:szCs w:val="40"/>
          <w:lang w:val="sv-SE"/>
        </w:rPr>
        <w:t>Arbetsbeskrivning</w:t>
      </w:r>
      <w:bookmarkEnd w:id="760449825"/>
    </w:p>
    <w:p w:rsidR="336AA8C9" w:rsidP="6C9BDD5F" w:rsidRDefault="336AA8C9" w14:paraId="280F459C" w14:textId="480C9845">
      <w:pPr>
        <w:pStyle w:val="Heading3"/>
        <w:keepNext w:val="1"/>
        <w:keepLines w:val="1"/>
        <w:spacing w:before="240" w:after="40" w:line="240" w:lineRule="auto"/>
        <w:ind w:right="868"/>
        <w:rPr>
          <w:rFonts w:ascii="Verdana" w:hAnsi="Verdana" w:eastAsia="Verdana" w:cs="Verdana"/>
          <w:b w:val="0"/>
          <w:bCs w:val="0"/>
          <w:i w:val="0"/>
          <w:iCs w:val="0"/>
          <w:caps w:val="0"/>
          <w:smallCaps w:val="0"/>
          <w:noProof w:val="0"/>
          <w:color w:val="000000" w:themeColor="text2" w:themeTint="FF" w:themeShade="FF"/>
          <w:sz w:val="36"/>
          <w:szCs w:val="36"/>
          <w:lang w:val="sv-SE"/>
        </w:rPr>
      </w:pPr>
      <w:bookmarkStart w:name="_Toc1584748318" w:id="765059321"/>
      <w:r w:rsidRPr="6C9BDD5F" w:rsidR="336AA8C9">
        <w:rPr>
          <w:rFonts w:ascii="Verdana" w:hAnsi="Verdana" w:eastAsia="Verdana" w:cs="Verdana"/>
          <w:b w:val="0"/>
          <w:bCs w:val="0"/>
          <w:i w:val="0"/>
          <w:iCs w:val="0"/>
          <w:caps w:val="0"/>
          <w:smallCaps w:val="0"/>
          <w:noProof w:val="0"/>
          <w:color w:val="000000" w:themeColor="text2" w:themeTint="FF" w:themeShade="FF"/>
          <w:sz w:val="36"/>
          <w:szCs w:val="36"/>
          <w:lang w:val="sv-SE"/>
        </w:rPr>
        <w:t>Teoretiska principer av monitorering</w:t>
      </w:r>
      <w:bookmarkEnd w:id="765059321"/>
    </w:p>
    <w:p w:rsidR="336AA8C9" w:rsidP="6C9BDD5F" w:rsidRDefault="336AA8C9" w14:paraId="2BF3099D" w14:textId="7D0A8134">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Vid stimulering av en perifer motorisk nerv med en elektrisk kvadratimpuls genereras ett muskulärt svar enligt "allt eller inget"-principen. Kontraktionskraften och intensiteten korrelerar med antalet effektivt stimulerade muskelfibrer. Vid adekvat supramaximal stimulus rekryteras samtliga innerverade muskelfibrer, vilket resulterar i ett maximalt motoriskt svar.</w:t>
      </w:r>
    </w:p>
    <w:p w:rsidR="336AA8C9" w:rsidP="6C9BDD5F" w:rsidRDefault="336AA8C9" w14:paraId="5BBDAA58" w14:textId="1E826BD4">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Inom neuromuskulär monitorering förordas användning</w:t>
      </w:r>
      <w:r w:rsidRPr="6C9BDD5F" w:rsidR="547A457A">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av </w:t>
      </w:r>
      <w:r w:rsidRPr="6C9BDD5F" w:rsidR="547A457A">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supramaximala</w:t>
      </w:r>
      <w:r w:rsidRPr="6C9BDD5F" w:rsidR="547A457A">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 xml:space="preserve"> stimuli</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 xml:space="preserve"> </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(nivåer 15–20 % över det tröskelvärde där maximalt svar uppnås) för att säkerställa reproducerbara mätvärden och minimera artefakter. Vid kalibrering nyttjar</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monitorn </w:t>
      </w:r>
      <w:r w:rsidRPr="6C9BDD5F" w:rsidR="336AA8C9">
        <w:rPr>
          <w:rFonts w:ascii="Times New Roman" w:hAnsi="Times New Roman" w:eastAsia="Times New Roman" w:cs="Times New Roman"/>
          <w:b w:val="0"/>
          <w:bCs w:val="0"/>
          <w:i w:val="1"/>
          <w:iCs w:val="1"/>
          <w:caps w:val="0"/>
          <w:smallCaps w:val="0"/>
          <w:noProof w:val="0"/>
          <w:color w:val="000000" w:themeColor="text2" w:themeTint="FF" w:themeShade="FF"/>
          <w:sz w:val="24"/>
          <w:szCs w:val="24"/>
          <w:lang w:val="sv-SE"/>
        </w:rPr>
        <w:t>single</w:t>
      </w:r>
      <w:r w:rsidRPr="6C9BDD5F" w:rsidR="336AA8C9">
        <w:rPr>
          <w:rFonts w:ascii="Times New Roman" w:hAnsi="Times New Roman" w:eastAsia="Times New Roman" w:cs="Times New Roman"/>
          <w:b w:val="0"/>
          <w:bCs w:val="0"/>
          <w:i w:val="1"/>
          <w:iCs w:val="1"/>
          <w:caps w:val="0"/>
          <w:smallCaps w:val="0"/>
          <w:noProof w:val="0"/>
          <w:color w:val="000000" w:themeColor="text2" w:themeTint="FF" w:themeShade="FF"/>
          <w:sz w:val="24"/>
          <w:szCs w:val="24"/>
          <w:lang w:val="sv-SE"/>
        </w:rPr>
        <w:t xml:space="preserve"> </w:t>
      </w:r>
      <w:r w:rsidRPr="6C9BDD5F" w:rsidR="336AA8C9">
        <w:rPr>
          <w:rFonts w:ascii="Times New Roman" w:hAnsi="Times New Roman" w:eastAsia="Times New Roman" w:cs="Times New Roman"/>
          <w:b w:val="0"/>
          <w:bCs w:val="0"/>
          <w:i w:val="1"/>
          <w:iCs w:val="1"/>
          <w:caps w:val="0"/>
          <w:smallCaps w:val="0"/>
          <w:noProof w:val="0"/>
          <w:color w:val="000000" w:themeColor="text2" w:themeTint="FF" w:themeShade="FF"/>
          <w:sz w:val="24"/>
          <w:szCs w:val="24"/>
          <w:lang w:val="sv-SE"/>
        </w:rPr>
        <w:t>twitch</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-stimulering för att fastställa optimal strömstyrka.</w:t>
      </w:r>
    </w:p>
    <w:p w:rsidR="336AA8C9" w:rsidP="6C9BDD5F" w:rsidRDefault="336AA8C9" w14:paraId="172F5480" w14:textId="37A4A788">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Single</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twitch</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stimulering kan användas för att utvärdera</w:t>
      </w:r>
      <w:r w:rsidRPr="6C9BDD5F" w:rsidR="6E13C04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depolariserande  </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muskelrelaxantia</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succinylkolin</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effekt.</w:t>
      </w:r>
    </w:p>
    <w:p w:rsidR="336AA8C9" w:rsidP="6C9BDD5F" w:rsidRDefault="336AA8C9" w14:paraId="39A688D3" w14:textId="25E58A60">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Vid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Train-Of-Four (TOF)</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-stimulering avges fyra sekventiella impulser för att inducera muskelkontraktioner. Vid tilltagande icke-depolariserande neuromuskulär blockad ses en gradvis reduktion av amplituden i de efterföljande svaren i förhållande till det första, ett fenomen benämnt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fade</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TOF-ratio (TOFR)</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definieras som kvoten mellan den fjärde (T4) och den första (T1) kontraktionens amplitud och uttrycks som ett decimaltal eller i procent.</w:t>
      </w:r>
    </w:p>
    <w:p w:rsidR="6C9BDD5F" w:rsidP="6C9BDD5F" w:rsidRDefault="6C9BDD5F" w14:paraId="0E252B03" w14:textId="6F30A292">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336AA8C9" w:rsidP="6C9BDD5F" w:rsidRDefault="336AA8C9" w14:paraId="5D91934A" w14:textId="27277B6B">
      <w:pPr>
        <w:spacing w:after="120" w:line="288" w:lineRule="auto"/>
        <w:ind w:right="868"/>
        <w:jc w:val="center"/>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336AA8C9">
        <w:drawing>
          <wp:inline wp14:editId="003AACE3" wp14:anchorId="6FAEF037">
            <wp:extent cx="1143000" cy="2019300"/>
            <wp:effectExtent l="0" t="0" r="0" b="0"/>
            <wp:docPr id="360718606" name="drawing" title="A képen szöveg, kütyü, Elektronikus eszköz, multimédia látható&#10;&#10;Előfordulhat, hogy az AI által létrehozott tartalom helytelen."/>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360718606" name="Picture 360718606"/>
                    <pic:cNvPicPr/>
                  </pic:nvPicPr>
                  <pic:blipFill>
                    <a:blip xmlns:r="http://schemas.openxmlformats.org/officeDocument/2006/relationships" r:embed="rId478781068">
                      <a:extLst>
                        <a:ext uri="{28A0092B-C50C-407E-A947-70E740481C1C}">
                          <a14:useLocalDpi xmlns:a14="http://schemas.microsoft.com/office/drawing/2010/main"/>
                        </a:ext>
                      </a:extLst>
                    </a:blip>
                    <a:stretch>
                      <a:fillRect/>
                    </a:stretch>
                  </pic:blipFill>
                  <pic:spPr>
                    <a:xfrm>
                      <a:off x="0" y="0"/>
                      <a:ext cx="1143000" cy="2019300"/>
                    </a:xfrm>
                    <a:prstGeom prst="rect">
                      <a:avLst/>
                    </a:prstGeom>
                  </pic:spPr>
                </pic:pic>
              </a:graphicData>
            </a:graphic>
          </wp:inline>
        </w:drawing>
      </w:r>
    </w:p>
    <w:p w:rsidR="6C9BDD5F" w:rsidP="6C9BDD5F" w:rsidRDefault="6C9BDD5F" w14:paraId="1D20D5B9" w14:textId="54641F8A">
      <w:pPr>
        <w:pStyle w:val="Normal"/>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6C9BDD5F" w:rsidP="6C9BDD5F" w:rsidRDefault="6C9BDD5F" w14:paraId="7B721363" w14:textId="0EF9A09D">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6328C5B0" w:rsidP="6C9BDD5F" w:rsidRDefault="6328C5B0" w14:paraId="0D53D801" w14:textId="53DEBFB6">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6328C5B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I</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takt med fördjupad blockad försvinner svaren i omvänd ordning. Antalet detekterbara kontraktioner –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TOF-</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count</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 xml:space="preserve"> (TOFC)</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 fungerar som en indikator på blockadens intensitet.</w:t>
      </w:r>
    </w:p>
    <w:p w:rsidR="336AA8C9" w:rsidP="6C9BDD5F" w:rsidRDefault="336AA8C9" w14:paraId="43A7D8FA" w14:textId="75393890">
      <w:pPr>
        <w:spacing w:after="120" w:line="288" w:lineRule="auto"/>
        <w:ind w:right="868"/>
        <w:jc w:val="center"/>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336AA8C9">
        <w:drawing>
          <wp:inline wp14:editId="382CA31D" wp14:anchorId="3CEC3892">
            <wp:extent cx="1009650" cy="1581150"/>
            <wp:effectExtent l="0" t="0" r="0" b="0"/>
            <wp:docPr id="1205540659" name="drawing" title="A képen szöveg, Elektronikus eszköz, kütyü, multimédia látható&#10;&#10;Előfordulhat, hogy az AI által létrehozott tartalom helytelen."/>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205540659" name="Picture 1205540659"/>
                    <pic:cNvPicPr/>
                  </pic:nvPicPr>
                  <pic:blipFill>
                    <a:blip xmlns:r="http://schemas.openxmlformats.org/officeDocument/2006/relationships" r:embed="rId1926052849">
                      <a:extLst>
                        <a:ext uri="{28A0092B-C50C-407E-A947-70E740481C1C}">
                          <a14:useLocalDpi xmlns:a14="http://schemas.microsoft.com/office/drawing/2010/main"/>
                        </a:ext>
                      </a:extLst>
                    </a:blip>
                    <a:stretch>
                      <a:fillRect/>
                    </a:stretch>
                  </pic:blipFill>
                  <pic:spPr>
                    <a:xfrm>
                      <a:off x="0" y="0"/>
                      <a:ext cx="1009650" cy="1581150"/>
                    </a:xfrm>
                    <a:prstGeom prst="rect">
                      <a:avLst/>
                    </a:prstGeom>
                  </pic:spPr>
                </pic:pic>
              </a:graphicData>
            </a:graphic>
          </wp:inline>
        </w:drawing>
      </w:r>
    </w:p>
    <w:p w:rsidR="336AA8C9" w:rsidP="6C9BDD5F" w:rsidRDefault="336AA8C9" w14:paraId="58C3B90E" w14:textId="048F8BBB">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Vid djup neuromuskulär blockad (TOFC 0) kan graden av muskelavslappning kvantifieras via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Post-Tetanic Count (PTC)</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p>
    <w:p w:rsidR="336AA8C9" w:rsidP="6C9BDD5F" w:rsidRDefault="336AA8C9" w14:paraId="74E08D9A" w14:textId="2669F0CF">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Vid tetanisk stimulering appliceras 50 Hz under 5 sekunder, följt av en 3 sekunders paus innan single twitch-stimulering återupptas. Antalet svar efter den tetaniska impulsen utgör PTC-värdet. Som klinisk riktlinje gäller att vid PTC 1 förväntas återkomst av det första TOF-svaret efter ca 30 minuter; ett högre PTC-värde indikerar en snabbare regress av blockaden. Då tetanisk stimulering inducerar en transient lokal potentiering bör TOF-monitorering pausas i minst 2 minuter efter utförd PTC-mätning för att undvika falskt positiva värden.</w:t>
      </w:r>
    </w:p>
    <w:p w:rsidR="6C9BDD5F" w:rsidP="6C9BDD5F" w:rsidRDefault="6C9BDD5F" w14:paraId="570EBDC0" w14:textId="5A632A2D">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336AA8C9" w:rsidP="6C9BDD5F" w:rsidRDefault="336AA8C9" w14:paraId="0D521690" w14:textId="7D57F3C3">
      <w:pPr>
        <w:keepNext w:val="1"/>
        <w:keepLines w:val="1"/>
        <w:spacing w:before="240" w:after="40" w:line="240" w:lineRule="auto"/>
        <w:ind w:right="868"/>
        <w:jc w:val="center"/>
        <w:rPr>
          <w:rFonts w:ascii="Verdana" w:hAnsi="Verdana" w:eastAsia="Verdana" w:cs="Verdana"/>
          <w:b w:val="0"/>
          <w:bCs w:val="0"/>
          <w:i w:val="0"/>
          <w:iCs w:val="0"/>
          <w:caps w:val="0"/>
          <w:smallCaps w:val="0"/>
          <w:noProof w:val="0"/>
          <w:color w:val="000000" w:themeColor="text2" w:themeTint="FF" w:themeShade="FF"/>
          <w:sz w:val="36"/>
          <w:szCs w:val="36"/>
          <w:lang w:val="sv-SE"/>
        </w:rPr>
      </w:pPr>
      <w:r w:rsidR="336AA8C9">
        <w:drawing>
          <wp:inline wp14:editId="71CA30D3" wp14:anchorId="795B6100">
            <wp:extent cx="1066800" cy="1866900"/>
            <wp:effectExtent l="0" t="0" r="0" b="0"/>
            <wp:docPr id="578509777" name="drawing" title="A képen szöveg, kütyü, Elektronikus eszköz, Kommunikációs eszköz látható&#10;&#10;Előfordulhat, hogy az AI által létrehozott tartalom helytelen."/>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578509777" name="Picture 578509777"/>
                    <pic:cNvPicPr/>
                  </pic:nvPicPr>
                  <pic:blipFill>
                    <a:blip xmlns:r="http://schemas.openxmlformats.org/officeDocument/2006/relationships" r:embed="rId1134638177">
                      <a:extLst>
                        <a:ext uri="{28A0092B-C50C-407E-A947-70E740481C1C}">
                          <a14:useLocalDpi xmlns:a14="http://schemas.microsoft.com/office/drawing/2010/main"/>
                        </a:ext>
                      </a:extLst>
                    </a:blip>
                    <a:stretch>
                      <a:fillRect/>
                    </a:stretch>
                  </pic:blipFill>
                  <pic:spPr>
                    <a:xfrm>
                      <a:off x="0" y="0"/>
                      <a:ext cx="1066800" cy="1866900"/>
                    </a:xfrm>
                    <a:prstGeom prst="rect">
                      <a:avLst/>
                    </a:prstGeom>
                  </pic:spPr>
                </pic:pic>
              </a:graphicData>
            </a:graphic>
          </wp:inline>
        </w:drawing>
      </w:r>
    </w:p>
    <w:p w:rsidR="336AA8C9" w:rsidP="6C9BDD5F" w:rsidRDefault="336AA8C9" w14:paraId="4B0B8125" w14:textId="2874280E">
      <w:pPr>
        <w:pStyle w:val="Heading3"/>
        <w:keepNext w:val="1"/>
        <w:keepLines w:val="1"/>
        <w:spacing w:before="240" w:after="40" w:line="240" w:lineRule="auto"/>
        <w:ind w:right="868"/>
        <w:rPr>
          <w:rFonts w:ascii="Verdana" w:hAnsi="Verdana" w:eastAsia="Verdana" w:cs="Verdana"/>
          <w:b w:val="0"/>
          <w:bCs w:val="0"/>
          <w:i w:val="0"/>
          <w:iCs w:val="0"/>
          <w:caps w:val="0"/>
          <w:smallCaps w:val="0"/>
          <w:noProof w:val="0"/>
          <w:color w:val="000000" w:themeColor="text2" w:themeTint="FF" w:themeShade="FF"/>
          <w:sz w:val="36"/>
          <w:szCs w:val="36"/>
          <w:lang w:val="sv-SE"/>
        </w:rPr>
      </w:pPr>
      <w:bookmarkStart w:name="_Toc1182680079" w:id="656814620"/>
      <w:r w:rsidRPr="6C9BDD5F" w:rsidR="336AA8C9">
        <w:rPr>
          <w:rFonts w:ascii="Verdana" w:hAnsi="Verdana" w:eastAsia="Verdana" w:cs="Verdana"/>
          <w:b w:val="0"/>
          <w:bCs w:val="0"/>
          <w:i w:val="0"/>
          <w:iCs w:val="0"/>
          <w:caps w:val="0"/>
          <w:smallCaps w:val="0"/>
          <w:noProof w:val="0"/>
          <w:color w:val="000000" w:themeColor="text2" w:themeTint="FF" w:themeShade="FF"/>
          <w:sz w:val="36"/>
          <w:szCs w:val="36"/>
          <w:lang w:val="sv-SE"/>
        </w:rPr>
        <w:t>Mättekniker: AMG vs. EMG</w:t>
      </w:r>
      <w:bookmarkEnd w:id="656814620"/>
      <w:r w:rsidRPr="6C9BDD5F" w:rsidR="336AA8C9">
        <w:rPr>
          <w:rFonts w:ascii="Verdana" w:hAnsi="Verdana" w:eastAsia="Verdana" w:cs="Verdana"/>
          <w:b w:val="0"/>
          <w:bCs w:val="0"/>
          <w:i w:val="0"/>
          <w:iCs w:val="0"/>
          <w:caps w:val="0"/>
          <w:smallCaps w:val="0"/>
          <w:noProof w:val="0"/>
          <w:color w:val="000000" w:themeColor="text2" w:themeTint="FF" w:themeShade="FF"/>
          <w:sz w:val="36"/>
          <w:szCs w:val="36"/>
          <w:lang w:val="sv-SE"/>
        </w:rPr>
        <w:t xml:space="preserve"> </w:t>
      </w:r>
    </w:p>
    <w:p w:rsidR="336AA8C9" w:rsidP="6C9BDD5F" w:rsidRDefault="336AA8C9" w14:paraId="2ED99E5C" w14:textId="2202ED61">
      <w:pPr>
        <w:pStyle w:val="MellanrubrikVGR"/>
        <w:keepNext w:val="1"/>
        <w:keepLines w:val="1"/>
        <w:widowControl w:val="0"/>
        <w:spacing w:before="240" w:after="120" w:line="288" w:lineRule="auto"/>
        <w:ind w:right="868"/>
        <w:rPr>
          <w:rFonts w:ascii="Calibri" w:hAnsi="Calibri" w:eastAsia="Calibri" w:cs="Calibri"/>
          <w:b w:val="1"/>
          <w:bCs w:val="1"/>
          <w:i w:val="0"/>
          <w:iCs w:val="0"/>
          <w:caps w:val="0"/>
          <w:smallCaps w:val="0"/>
          <w:noProof w:val="0"/>
          <w:color w:val="000000" w:themeColor="text2" w:themeTint="FF" w:themeShade="FF"/>
          <w:sz w:val="26"/>
          <w:szCs w:val="26"/>
          <w:lang w:val="sv-SE"/>
        </w:rPr>
      </w:pPr>
      <w:r w:rsidRPr="6C9BDD5F" w:rsidR="336AA8C9">
        <w:rPr>
          <w:rFonts w:ascii="Calibri" w:hAnsi="Calibri" w:eastAsia="Calibri" w:cs="Calibri"/>
          <w:b w:val="1"/>
          <w:bCs w:val="1"/>
          <w:i w:val="0"/>
          <w:iCs w:val="0"/>
          <w:caps w:val="0"/>
          <w:smallCaps w:val="0"/>
          <w:noProof w:val="0"/>
          <w:color w:val="000000" w:themeColor="text2" w:themeTint="FF" w:themeShade="FF"/>
          <w:sz w:val="26"/>
          <w:szCs w:val="26"/>
          <w:lang w:val="sv-SE"/>
        </w:rPr>
        <w:t>Acceleromyografi (AMG)</w:t>
      </w:r>
    </w:p>
    <w:p w:rsidR="336AA8C9" w:rsidP="6C9BDD5F" w:rsidRDefault="336AA8C9" w14:paraId="338EEE72" w14:textId="648811A7">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Acceleromyografin mäter acceleration baserat på Newtons andra lag. En teknisk begränsning med AMG är risken för "reverse fade", där utgångsvärdet för TOF överstiger 100 %, vilket reducerar mätningens reliabilitet. För att optimera precisionen bör monitoreringen påbörjas preoperativt för att etablera ett referensvärde (normalisering). Om baslinjen exempelvis är 120 %, krävs ett normaliserat värde på minst 108 % (motsvarande 90 % av referensvärdet) för säker extubation.</w:t>
      </w:r>
    </w:p>
    <w:p w:rsidR="336AA8C9" w:rsidP="6C9BDD5F" w:rsidRDefault="336AA8C9" w14:paraId="35E2D52E" w14:textId="4AF1783C">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Vid utebliven kalibrering kan </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acceleromyografin</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ändå användas med 60mA stimulation, så monitorn kan användas nästan lika effektivt även utan den själva kalibreringen.</w:t>
      </w:r>
    </w:p>
    <w:p w:rsidR="6C9BDD5F" w:rsidRDefault="6C9BDD5F" w14:paraId="3BC4E66B" w14:textId="457A6E50">
      <w:r>
        <w:br w:type="page"/>
      </w:r>
    </w:p>
    <w:p w:rsidR="336AA8C9" w:rsidP="6C9BDD5F" w:rsidRDefault="336AA8C9" w14:paraId="4FDD0B3A" w14:textId="2EE8DD57">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1"/>
          <w:iCs w:val="1"/>
          <w:caps w:val="0"/>
          <w:smallCaps w:val="0"/>
          <w:noProof w:val="0"/>
          <w:color w:val="000000" w:themeColor="text2" w:themeTint="FF" w:themeShade="FF"/>
          <w:sz w:val="24"/>
          <w:szCs w:val="24"/>
          <w:lang w:val="sv-SE"/>
        </w:rPr>
        <w:t>TOF mätning på ulnarisnerven med acceleromyografi</w:t>
      </w:r>
    </w:p>
    <w:p w:rsidR="336AA8C9" w:rsidP="6C9BDD5F" w:rsidRDefault="336AA8C9" w14:paraId="535BA620" w14:textId="748B8BE5">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336AA8C9">
        <w:drawing>
          <wp:inline wp14:editId="19493873" wp14:anchorId="2279C436">
            <wp:extent cx="2990850" cy="2247900"/>
            <wp:effectExtent l="0" t="0" r="0" b="0"/>
            <wp:docPr id="2042532954"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042532954" name="Picture 2042532954"/>
                    <pic:cNvPicPr/>
                  </pic:nvPicPr>
                  <pic:blipFill>
                    <a:blip xmlns:r="http://schemas.openxmlformats.org/officeDocument/2006/relationships" r:embed="rId1395090151">
                      <a:extLst>
                        <a:ext uri="{28A0092B-C50C-407E-A947-70E740481C1C}">
                          <a14:useLocalDpi xmlns:a14="http://schemas.microsoft.com/office/drawing/2010/main"/>
                        </a:ext>
                      </a:extLst>
                    </a:blip>
                    <a:stretch>
                      <a:fillRect/>
                    </a:stretch>
                  </pic:blipFill>
                  <pic:spPr>
                    <a:xfrm>
                      <a:off x="0" y="0"/>
                      <a:ext cx="2990850" cy="2247900"/>
                    </a:xfrm>
                    <a:prstGeom prst="rect">
                      <a:avLst/>
                    </a:prstGeom>
                  </pic:spPr>
                </pic:pic>
              </a:graphicData>
            </a:graphic>
          </wp:inline>
        </w:drawing>
      </w:r>
    </w:p>
    <w:p w:rsidR="336AA8C9" w:rsidP="6C9BDD5F" w:rsidRDefault="336AA8C9" w14:paraId="5E8A21AD" w14:textId="1EDCE495">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N. ulnaris - m.adduktor pollicis</w:t>
      </w:r>
    </w:p>
    <w:p w:rsidR="336AA8C9" w:rsidP="6C9BDD5F" w:rsidRDefault="336AA8C9" w14:paraId="62BD905A" w14:textId="33FA895C">
      <w:pPr>
        <w:pStyle w:val="ListParagraph"/>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Förbered huden noggrant. Rengör med alkohollösning och gnugga. (hudtemp bör vara över 32 grader)</w:t>
      </w:r>
    </w:p>
    <w:p w:rsidR="336AA8C9" w:rsidP="6C9BDD5F" w:rsidRDefault="336AA8C9" w14:paraId="414FE32E" w14:textId="755EF457">
      <w:pPr>
        <w:pStyle w:val="ListParagraph"/>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Armen bör roteras utåt, tummen ska ha fri rörelse.</w:t>
      </w:r>
    </w:p>
    <w:p w:rsidR="336AA8C9" w:rsidP="6C9BDD5F" w:rsidRDefault="336AA8C9" w14:paraId="047AFCF9" w14:textId="47FCA39B">
      <w:pPr>
        <w:pStyle w:val="ListParagraph"/>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Accelerometern tejpas fast på insidan tummen. </w:t>
      </w:r>
    </w:p>
    <w:p w:rsidR="336AA8C9" w:rsidP="6C9BDD5F" w:rsidRDefault="336AA8C9" w14:paraId="591641D5" w14:textId="24EDB0C6">
      <w:pPr>
        <w:pStyle w:val="ListParagraph"/>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Elektroder enligt bild ovan med den svarta elektroden över ulnarisnerven strax proximalt om handleden. </w:t>
      </w:r>
    </w:p>
    <w:p w:rsidR="336AA8C9" w:rsidP="6C9BDD5F" w:rsidRDefault="336AA8C9" w14:paraId="1D72DEC5" w14:textId="23FDBAB7">
      <w:pPr>
        <w:pStyle w:val="ListParagraph"/>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Den röda elektroden placeras 2,5-4 cm (se bild) mellanrum till den svarta elektroden.</w:t>
      </w:r>
    </w:p>
    <w:p w:rsidR="336AA8C9" w:rsidP="6C9BDD5F" w:rsidRDefault="336AA8C9" w14:paraId="1FA22217" w14:textId="254BE93D">
      <w:pPr>
        <w:pStyle w:val="ListParagraph"/>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TOF värdet som uppmäts på tummen är en tillförlitlig indikator på patientens förmåga att hålla sin luftväg fri. (m.adduktor policis och m.genioglussos är lika känsliga mot muskelrelaxantia)</w:t>
      </w:r>
    </w:p>
    <w:p w:rsidR="336AA8C9" w:rsidP="6C9BDD5F" w:rsidRDefault="336AA8C9" w14:paraId="0BBF2B55" w14:textId="01222845">
      <w:pPr>
        <w:pStyle w:val="MellanrubrikVGR"/>
        <w:keepNext w:val="1"/>
        <w:keepLines w:val="1"/>
        <w:widowControl w:val="0"/>
        <w:spacing w:before="240" w:after="120" w:line="288" w:lineRule="auto"/>
        <w:ind w:right="868"/>
        <w:rPr>
          <w:rFonts w:ascii="Calibri" w:hAnsi="Calibri" w:eastAsia="Calibri" w:cs="Calibri"/>
          <w:b w:val="1"/>
          <w:bCs w:val="1"/>
          <w:i w:val="0"/>
          <w:iCs w:val="0"/>
          <w:caps w:val="0"/>
          <w:smallCaps w:val="0"/>
          <w:noProof w:val="0"/>
          <w:color w:val="000000" w:themeColor="text2" w:themeTint="FF" w:themeShade="FF"/>
          <w:sz w:val="26"/>
          <w:szCs w:val="26"/>
          <w:lang w:val="sv-SE"/>
        </w:rPr>
      </w:pPr>
      <w:r w:rsidRPr="6C9BDD5F" w:rsidR="336AA8C9">
        <w:rPr>
          <w:rFonts w:ascii="Calibri" w:hAnsi="Calibri" w:eastAsia="Calibri" w:cs="Calibri"/>
          <w:b w:val="1"/>
          <w:bCs w:val="1"/>
          <w:i w:val="0"/>
          <w:iCs w:val="0"/>
          <w:caps w:val="0"/>
          <w:smallCaps w:val="0"/>
          <w:noProof w:val="0"/>
          <w:color w:val="000000" w:themeColor="text2" w:themeTint="FF" w:themeShade="FF"/>
          <w:sz w:val="26"/>
          <w:szCs w:val="26"/>
          <w:lang w:val="sv-SE"/>
        </w:rPr>
        <w:t>Elektromyografi (TetraGraf)</w:t>
      </w:r>
    </w:p>
    <w:p w:rsidR="336AA8C9" w:rsidP="6C9BDD5F" w:rsidRDefault="336AA8C9" w14:paraId="4614AFA3" w14:textId="43CCE524">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Elektromyografin (EMG) registrerar den sammansatta aktionspotentialen (CMAP) i målmuskeln. Metoden är oberoende av muskelns rörelseomfång, vilket gör den mindre känslig för mekaniska störningar jämfört med AMG. EMG uppvisar en stabil baslinje kring 100 %, varför normalisering sällan är indicerad. TetraGrafen har en specialtryckt elektromyografisk elektrodmatris (TetraSens) som kan kopplas till handen på olika sätt (helst till tummen-bästa resultat). Tejpa på TetraSens både på underarmen och hypotenarområdet! Tryck “AUTO” knapp när patienten är nedsövd. Vid ”AUTO” mode utförs kalibration automatiskt under 30 sekunder och varefter TOF monitoreringen påbörjas direkt. </w:t>
      </w:r>
    </w:p>
    <w:p w:rsidR="6C9BDD5F" w:rsidP="6C9BDD5F" w:rsidRDefault="6C9BDD5F" w14:paraId="06EDDECB" w14:textId="390FF7A4">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336AA8C9" w:rsidP="6C9BDD5F" w:rsidRDefault="336AA8C9" w14:paraId="0EBC1788" w14:textId="152B7DD7">
      <w:pPr>
        <w:spacing w:after="120" w:line="288" w:lineRule="auto"/>
        <w:ind w:right="868"/>
        <w:jc w:val="center"/>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336AA8C9">
        <w:drawing>
          <wp:inline wp14:editId="2A6542CF" wp14:anchorId="35F6A101">
            <wp:extent cx="1333500" cy="2209800"/>
            <wp:effectExtent l="0" t="0" r="0" b="0"/>
            <wp:docPr id="1601561712" name="drawing" title="A képen szöveg, elektronika, kütyü, Elektronikus eszköz látható&#10;&#10;Előfordulhat, hogy az AI által létrehozott tartalom helytelen."/>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601561712" name="Picture 1601561712"/>
                    <pic:cNvPicPr/>
                  </pic:nvPicPr>
                  <pic:blipFill>
                    <a:blip xmlns:r="http://schemas.openxmlformats.org/officeDocument/2006/relationships" r:embed="rId2106065660">
                      <a:extLst>
                        <a:ext uri="{28A0092B-C50C-407E-A947-70E740481C1C}">
                          <a14:useLocalDpi xmlns:a14="http://schemas.microsoft.com/office/drawing/2010/main"/>
                        </a:ext>
                      </a:extLst>
                    </a:blip>
                    <a:stretch>
                      <a:fillRect/>
                    </a:stretch>
                  </pic:blipFill>
                  <pic:spPr>
                    <a:xfrm>
                      <a:off x="0" y="0"/>
                      <a:ext cx="1333500" cy="2209800"/>
                    </a:xfrm>
                    <a:prstGeom prst="rect">
                      <a:avLst/>
                    </a:prstGeom>
                  </pic:spPr>
                </pic:pic>
              </a:graphicData>
            </a:graphic>
          </wp:inline>
        </w:drawing>
      </w:r>
    </w:p>
    <w:p w:rsidR="6C9BDD5F" w:rsidP="6C9BDD5F" w:rsidRDefault="6C9BDD5F" w14:paraId="343AAB02" w14:textId="488BCC28">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336AA8C9" w:rsidP="6C9BDD5F" w:rsidRDefault="336AA8C9" w14:paraId="46CC8B4D" w14:textId="5784A85C">
      <w:pPr>
        <w:spacing w:after="120" w:line="240"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336AA8C9">
        <w:drawing>
          <wp:inline wp14:editId="2E171414" wp14:anchorId="3BDF3CC6">
            <wp:extent cx="4229100" cy="2781300"/>
            <wp:effectExtent l="0" t="0" r="0" b="0"/>
            <wp:docPr id="932935272" name="drawing" title="TetraGraph – Healthcare21"/>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932935272" name="Picture 932935272"/>
                    <pic:cNvPicPr/>
                  </pic:nvPicPr>
                  <pic:blipFill>
                    <a:blip xmlns:r="http://schemas.openxmlformats.org/officeDocument/2006/relationships" r:embed="rId1124494524">
                      <a:extLst>
                        <a:ext uri="{28A0092B-C50C-407E-A947-70E740481C1C}">
                          <a14:useLocalDpi xmlns:a14="http://schemas.microsoft.com/office/drawing/2010/main"/>
                        </a:ext>
                      </a:extLst>
                    </a:blip>
                    <a:stretch>
                      <a:fillRect/>
                    </a:stretch>
                  </pic:blipFill>
                  <pic:spPr>
                    <a:xfrm>
                      <a:off x="0" y="0"/>
                      <a:ext cx="4229100" cy="2781300"/>
                    </a:xfrm>
                    <a:prstGeom prst="rect">
                      <a:avLst/>
                    </a:prstGeom>
                  </pic:spPr>
                </pic:pic>
              </a:graphicData>
            </a:graphic>
          </wp:inline>
        </w:drawing>
      </w:r>
    </w:p>
    <w:p w:rsidR="336AA8C9" w:rsidP="6C9BDD5F" w:rsidRDefault="336AA8C9" w14:paraId="43C45E5B" w14:textId="339DAA01">
      <w:pPr>
        <w:pStyle w:val="Heading3"/>
        <w:keepNext w:val="1"/>
        <w:keepLines w:val="1"/>
        <w:spacing w:before="240" w:after="40" w:line="240" w:lineRule="auto"/>
        <w:ind w:right="868"/>
        <w:rPr>
          <w:rFonts w:ascii="Verdana" w:hAnsi="Verdana" w:eastAsia="Verdana" w:cs="Verdana"/>
          <w:b w:val="0"/>
          <w:bCs w:val="0"/>
          <w:i w:val="0"/>
          <w:iCs w:val="0"/>
          <w:caps w:val="0"/>
          <w:smallCaps w:val="0"/>
          <w:noProof w:val="0"/>
          <w:color w:val="000000" w:themeColor="text2" w:themeTint="FF" w:themeShade="FF"/>
          <w:sz w:val="36"/>
          <w:szCs w:val="36"/>
          <w:lang w:val="sv-SE"/>
        </w:rPr>
      </w:pPr>
      <w:bookmarkStart w:name="_Toc229232474" w:id="1182801088"/>
      <w:r w:rsidRPr="6C9BDD5F" w:rsidR="336AA8C9">
        <w:rPr>
          <w:rFonts w:ascii="Verdana" w:hAnsi="Verdana" w:eastAsia="Verdana" w:cs="Verdana"/>
          <w:b w:val="0"/>
          <w:bCs w:val="0"/>
          <w:i w:val="0"/>
          <w:iCs w:val="0"/>
          <w:caps w:val="0"/>
          <w:smallCaps w:val="0"/>
          <w:noProof w:val="0"/>
          <w:color w:val="000000" w:themeColor="text2" w:themeTint="FF" w:themeShade="FF"/>
          <w:sz w:val="36"/>
          <w:szCs w:val="36"/>
          <w:lang w:val="sv-SE"/>
        </w:rPr>
        <w:t>Muskelrelaxantia</w:t>
      </w:r>
      <w:bookmarkEnd w:id="1182801088"/>
    </w:p>
    <w:p w:rsidR="336AA8C9" w:rsidP="6C9BDD5F" w:rsidRDefault="336AA8C9" w14:paraId="11336F35" w14:textId="2E96E813">
      <w:pPr>
        <w:pStyle w:val="MellanrubrikVGR"/>
        <w:keepNext w:val="1"/>
        <w:keepLines w:val="1"/>
        <w:widowControl w:val="0"/>
        <w:spacing w:before="240" w:after="120" w:line="288" w:lineRule="auto"/>
        <w:ind w:right="868"/>
        <w:jc w:val="center"/>
        <w:rPr>
          <w:rFonts w:ascii="Calibri" w:hAnsi="Calibri" w:eastAsia="Calibri" w:cs="Calibri"/>
          <w:b w:val="1"/>
          <w:bCs w:val="1"/>
          <w:i w:val="0"/>
          <w:iCs w:val="0"/>
          <w:caps w:val="0"/>
          <w:smallCaps w:val="0"/>
          <w:noProof w:val="0"/>
          <w:color w:val="000000" w:themeColor="text2" w:themeTint="FF" w:themeShade="FF"/>
          <w:sz w:val="26"/>
          <w:szCs w:val="26"/>
          <w:lang w:val="sv-SE"/>
        </w:rPr>
      </w:pPr>
      <w:r w:rsidRPr="6C9BDD5F" w:rsidR="336AA8C9">
        <w:rPr>
          <w:rFonts w:ascii="Calibri" w:hAnsi="Calibri" w:eastAsia="Calibri" w:cs="Calibri"/>
          <w:b w:val="1"/>
          <w:bCs w:val="1"/>
          <w:i w:val="0"/>
          <w:iCs w:val="0"/>
          <w:caps w:val="0"/>
          <w:smallCaps w:val="0"/>
          <w:noProof w:val="0"/>
          <w:color w:val="000000" w:themeColor="text2" w:themeTint="FF" w:themeShade="FF"/>
          <w:sz w:val="26"/>
          <w:szCs w:val="26"/>
          <w:lang w:val="sv-SE"/>
        </w:rPr>
        <w:t>Depolariserande muskelrelaxantia- Succinylkolin</w:t>
      </w:r>
      <w:r w:rsidRPr="6C9BDD5F" w:rsidR="336AA8C9">
        <w:rPr>
          <w:rFonts w:ascii="Segoe UI" w:hAnsi="Segoe UI" w:eastAsia="Segoe UI" w:cs="Segoe UI"/>
          <w:b w:val="1"/>
          <w:bCs w:val="1"/>
          <w:i w:val="0"/>
          <w:iCs w:val="0"/>
          <w:caps w:val="0"/>
          <w:smallCaps w:val="0"/>
          <w:noProof w:val="0"/>
          <w:color w:val="17262F"/>
          <w:sz w:val="26"/>
          <w:szCs w:val="26"/>
          <w:lang w:val="sv-SE"/>
        </w:rPr>
        <w:t xml:space="preserve"> (</w:t>
      </w:r>
      <w:r w:rsidRPr="6C9BDD5F" w:rsidR="336AA8C9">
        <w:rPr>
          <w:rFonts w:ascii="Calibri" w:hAnsi="Calibri" w:eastAsia="Calibri" w:cs="Calibri"/>
          <w:b w:val="1"/>
          <w:bCs w:val="1"/>
          <w:i w:val="0"/>
          <w:iCs w:val="0"/>
          <w:caps w:val="0"/>
          <w:smallCaps w:val="0"/>
          <w:noProof w:val="0"/>
          <w:color w:val="000000" w:themeColor="text2" w:themeTint="FF" w:themeShade="FF"/>
          <w:sz w:val="26"/>
          <w:szCs w:val="26"/>
          <w:lang w:val="sv-SE"/>
        </w:rPr>
        <w:t>Celocurin 50 mg/ml)</w:t>
      </w:r>
    </w:p>
    <w:p w:rsidR="336AA8C9" w:rsidP="6C9BDD5F" w:rsidRDefault="336AA8C9" w14:paraId="56E0C2FE" w14:textId="6201AB61">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Succinylkolin består av två sammanfogade acetylkolinmolekyler som binder till de två α subenheter av nikotinerga acetilkolin receptorer och inducerar en allmän, desorganiserad muskelkontraktion, så kallad fascikulationer. Membranen blir oemottagliga för nya impulser, och därmed uppnås en kortvarig slapp muskelparalys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fas I block, desensitisationsblock</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Denna typ av blockad kan moniteras med single twitch stimulation.</w:t>
      </w:r>
    </w:p>
    <w:p w:rsidR="336AA8C9" w:rsidP="6C9BDD5F" w:rsidRDefault="336AA8C9" w14:paraId="0F8CAA27" w14:textId="68EE8E05">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Under fortsatt tillförsel av succinylkolin minskar den initiala depolarisationen av ändplattan och repolarisation av membranerna sker, vilket liknar bilden av ett kompetitivt block. Acetylkolin kan då ej depolarisera membranen så länge succinylkolin är närvarande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fas II block</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Även från fas II block bör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spontan återhämtning</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avvaktas.</w:t>
      </w:r>
    </w:p>
    <w:p w:rsidR="336AA8C9" w:rsidP="6C9BDD5F" w:rsidRDefault="336AA8C9" w14:paraId="676DC2CD" w14:textId="5FF9960D">
      <w:pPr>
        <w:pStyle w:val="ListParagraph"/>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Dosering: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1,0–1,5 mg/kg.</w:t>
      </w:r>
    </w:p>
    <w:p w:rsidR="336AA8C9" w:rsidP="6C9BDD5F" w:rsidRDefault="336AA8C9" w14:paraId="253088AD" w14:textId="4B6AF9FF">
      <w:pPr>
        <w:pStyle w:val="ListParagraph"/>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Anslagstid: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30–60 sekunder</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p>
    <w:p w:rsidR="336AA8C9" w:rsidP="6C9BDD5F" w:rsidRDefault="336AA8C9" w14:paraId="5C02437D" w14:textId="7C9C2AEC">
      <w:pPr>
        <w:pStyle w:val="ListParagraph"/>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Duration: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2–6 minuter</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p>
    <w:p w:rsidR="336AA8C9" w:rsidP="6C9BDD5F" w:rsidRDefault="336AA8C9" w14:paraId="44BBD12A" w14:textId="1766062C">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Succinylkolin hydrolyseras snabbt via plasmapseudokolinesteras. Pseudokolinesterasbrist (autosomal recessiv nedärvd typ eller förvärvad typ vid leversvikt/malnutrition) kan förlänga succinylkolinseffekt och leder till fas II block.  </w:t>
      </w:r>
    </w:p>
    <w:p w:rsidR="336AA8C9" w:rsidP="6C9BDD5F" w:rsidRDefault="336AA8C9" w14:paraId="1E478834" w14:textId="5571D5E5">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Kontraindikationer: Malign hypertermi, hyperkalemi, immobilisering, muskelsjukdomar samt brännskador (&gt;24h). </w:t>
      </w:r>
    </w:p>
    <w:p w:rsidR="336AA8C9" w:rsidP="6C9BDD5F" w:rsidRDefault="336AA8C9" w14:paraId="5E642686" w14:textId="074F4DFE">
      <w:pPr>
        <w:pStyle w:val="MellanrubrikVGR"/>
        <w:keepNext w:val="1"/>
        <w:keepLines w:val="1"/>
        <w:widowControl w:val="0"/>
        <w:spacing w:before="240" w:after="120" w:line="288" w:lineRule="auto"/>
        <w:ind w:right="868"/>
        <w:jc w:val="center"/>
        <w:rPr>
          <w:rFonts w:ascii="Calibri" w:hAnsi="Calibri" w:eastAsia="Calibri" w:cs="Calibri"/>
          <w:b w:val="1"/>
          <w:bCs w:val="1"/>
          <w:i w:val="0"/>
          <w:iCs w:val="0"/>
          <w:caps w:val="0"/>
          <w:smallCaps w:val="0"/>
          <w:noProof w:val="0"/>
          <w:color w:val="000000" w:themeColor="text2" w:themeTint="FF" w:themeShade="FF"/>
          <w:sz w:val="26"/>
          <w:szCs w:val="26"/>
          <w:lang w:val="sv-SE"/>
        </w:rPr>
      </w:pPr>
      <w:r w:rsidRPr="6C9BDD5F" w:rsidR="336AA8C9">
        <w:rPr>
          <w:rFonts w:ascii="Calibri" w:hAnsi="Calibri" w:eastAsia="Calibri" w:cs="Calibri"/>
          <w:b w:val="1"/>
          <w:bCs w:val="1"/>
          <w:i w:val="0"/>
          <w:iCs w:val="0"/>
          <w:caps w:val="0"/>
          <w:smallCaps w:val="0"/>
          <w:noProof w:val="0"/>
          <w:color w:val="000000" w:themeColor="text2" w:themeTint="FF" w:themeShade="FF"/>
          <w:sz w:val="26"/>
          <w:szCs w:val="26"/>
          <w:lang w:val="sv-SE"/>
        </w:rPr>
        <w:t>Ickedepolariserande, kompetitiv muskelrelaxantia</w:t>
      </w:r>
    </w:p>
    <w:p w:rsidR="336AA8C9" w:rsidP="6C9BDD5F" w:rsidRDefault="336AA8C9" w14:paraId="15F74604" w14:textId="6807CC35">
      <w:pPr>
        <w:pStyle w:val="MellanrubrikVGR"/>
        <w:keepNext w:val="1"/>
        <w:keepLines w:val="1"/>
        <w:widowControl w:val="0"/>
        <w:spacing w:before="240" w:after="120" w:line="288" w:lineRule="auto"/>
        <w:ind w:right="868"/>
        <w:rPr>
          <w:rFonts w:ascii="Calibri" w:hAnsi="Calibri" w:eastAsia="Calibri" w:cs="Calibri"/>
          <w:b w:val="1"/>
          <w:bCs w:val="1"/>
          <w:i w:val="0"/>
          <w:iCs w:val="0"/>
          <w:caps w:val="0"/>
          <w:smallCaps w:val="0"/>
          <w:noProof w:val="0"/>
          <w:color w:val="000000" w:themeColor="text2" w:themeTint="FF" w:themeShade="FF"/>
          <w:sz w:val="26"/>
          <w:szCs w:val="26"/>
          <w:lang w:val="sv-SE"/>
        </w:rPr>
      </w:pPr>
      <w:r w:rsidRPr="6C9BDD5F" w:rsidR="336AA8C9">
        <w:rPr>
          <w:rFonts w:ascii="Calibri" w:hAnsi="Calibri" w:eastAsia="Calibri" w:cs="Calibri"/>
          <w:b w:val="1"/>
          <w:bCs w:val="1"/>
          <w:i w:val="0"/>
          <w:iCs w:val="0"/>
          <w:caps w:val="0"/>
          <w:smallCaps w:val="0"/>
          <w:noProof w:val="0"/>
          <w:color w:val="000000" w:themeColor="text2" w:themeTint="FF" w:themeShade="FF"/>
          <w:sz w:val="26"/>
          <w:szCs w:val="26"/>
          <w:lang w:val="sv-SE"/>
        </w:rPr>
        <w:t>Rokuronium</w:t>
      </w:r>
    </w:p>
    <w:p w:rsidR="336AA8C9" w:rsidP="6C9BDD5F" w:rsidRDefault="336AA8C9" w14:paraId="77C3ED33" w14:textId="3AE9EC68">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Rokuroniumbromid är en steroidbaserad molekyl. </w:t>
      </w:r>
    </w:p>
    <w:p w:rsidR="336AA8C9" w:rsidP="6C9BDD5F" w:rsidRDefault="336AA8C9" w14:paraId="5E578F7A" w14:textId="01AB4205">
      <w:pPr>
        <w:pStyle w:val="ListParagraph"/>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Normal induktionsdos är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0,6 mg/kg</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efter denna dos är förväntad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 xml:space="preserve">anslagstid 1,5-2 minuter </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och verkningstid är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30-50 minuter</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p>
    <w:p w:rsidR="336AA8C9" w:rsidP="6C9BDD5F" w:rsidRDefault="336AA8C9" w14:paraId="13BEF040" w14:textId="3861D4DE">
      <w:pPr>
        <w:pStyle w:val="ListParagraph"/>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För RSI</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används en dos på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0,9–1,2 mg/kg</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vilket ger goda intubationsförhållanden inom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1 minut</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w:t>
      </w:r>
    </w:p>
    <w:p w:rsidR="336AA8C9" w:rsidP="6C9BDD5F" w:rsidRDefault="336AA8C9" w14:paraId="0F871450" w14:textId="196D83D7">
      <w:pPr>
        <w:pStyle w:val="ListParagraph"/>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På IVA kan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kontinuerlig infusion</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användas hos svårventilerade patienter med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0,3-0,6 mg/kg/t</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hastighet – TOF monitorering bör användas för att optimera doseringen.</w:t>
      </w:r>
    </w:p>
    <w:p w:rsidR="336AA8C9" w:rsidP="6C9BDD5F" w:rsidRDefault="336AA8C9" w14:paraId="41C2449E" w14:textId="5CF9B1AE">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Biverkningar: flush, hystamin frisättning, blodtrycksfall. Fördröjd effekt vid lever- och njursvikt.</w:t>
      </w:r>
    </w:p>
    <w:p w:rsidR="336AA8C9" w:rsidP="6C9BDD5F" w:rsidRDefault="336AA8C9" w14:paraId="26AC4ED8" w14:textId="27B79120">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För reversering är förstahandsval sugammadex</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Om TOFR är ≥20% kan neostigmin användas. (vgs nedan)</w:t>
      </w:r>
    </w:p>
    <w:p w:rsidR="336AA8C9" w:rsidP="6C9BDD5F" w:rsidRDefault="336AA8C9" w14:paraId="70A28D2F" w14:textId="50E8F260">
      <w:pPr>
        <w:pStyle w:val="MellanrubrikVGR"/>
        <w:keepNext w:val="1"/>
        <w:keepLines w:val="1"/>
        <w:widowControl w:val="0"/>
        <w:spacing w:before="240" w:after="120" w:line="288" w:lineRule="auto"/>
        <w:ind w:right="868"/>
        <w:rPr>
          <w:rFonts w:ascii="Calibri" w:hAnsi="Calibri" w:eastAsia="Calibri" w:cs="Calibri"/>
          <w:b w:val="1"/>
          <w:bCs w:val="1"/>
          <w:i w:val="0"/>
          <w:iCs w:val="0"/>
          <w:caps w:val="0"/>
          <w:smallCaps w:val="0"/>
          <w:noProof w:val="0"/>
          <w:color w:val="000000" w:themeColor="text2" w:themeTint="FF" w:themeShade="FF"/>
          <w:sz w:val="26"/>
          <w:szCs w:val="26"/>
          <w:lang w:val="sv-SE"/>
        </w:rPr>
      </w:pPr>
      <w:r w:rsidRPr="6C9BDD5F" w:rsidR="336AA8C9">
        <w:rPr>
          <w:rFonts w:ascii="Calibri" w:hAnsi="Calibri" w:eastAsia="Calibri" w:cs="Calibri"/>
          <w:b w:val="1"/>
          <w:bCs w:val="1"/>
          <w:i w:val="0"/>
          <w:iCs w:val="0"/>
          <w:caps w:val="0"/>
          <w:smallCaps w:val="0"/>
          <w:noProof w:val="0"/>
          <w:color w:val="000000" w:themeColor="text2" w:themeTint="FF" w:themeShade="FF"/>
          <w:sz w:val="26"/>
          <w:szCs w:val="26"/>
          <w:lang w:val="sv-SE"/>
        </w:rPr>
        <w:t>Atrakurium</w:t>
      </w:r>
    </w:p>
    <w:p w:rsidR="336AA8C9" w:rsidP="6C9BDD5F" w:rsidRDefault="336AA8C9" w14:paraId="65936F71" w14:textId="31A9E1D9">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Atrakuriumbezylat är en benzylisokinolindiester (icke-steroid).</w:t>
      </w:r>
    </w:p>
    <w:p w:rsidR="336AA8C9" w:rsidP="6C9BDD5F" w:rsidRDefault="336AA8C9" w14:paraId="388C7AE4" w14:textId="05E88A79">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Rekommenderad dos är</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 xml:space="preserve"> 0,5-0,6 mg/kg</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efter denna dos är förväntad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anslagstid 90 sekunder</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verkningstid är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20-35 minuter</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p>
    <w:p w:rsidR="336AA8C9" w:rsidP="6C9BDD5F" w:rsidRDefault="336AA8C9" w14:paraId="0D532975" w14:textId="5A8BD9EA">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Atrakurium genomgår spontan nedbrytning i plasma (Hofmann-eliminering), vilket inte är beroende av lever- eller njurfunktion.</w:t>
      </w:r>
    </w:p>
    <w:p w:rsidR="336AA8C9" w:rsidP="6C9BDD5F" w:rsidRDefault="336AA8C9" w14:paraId="3C47AD54" w14:textId="0F14EC23">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Biverkningar: hystamin frisättning, hypotension, flush, bronchospasm, krampfall (utlösta av metaboliten laudanosin).</w:t>
      </w:r>
    </w:p>
    <w:p w:rsidR="336AA8C9" w:rsidP="6C9BDD5F" w:rsidRDefault="336AA8C9" w14:paraId="4E0699F0" w14:textId="2AC2BD2C">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Reversering kan utföras med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neostigmin om TOFR är ≥20%.</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(vgs nedan)</w:t>
      </w:r>
    </w:p>
    <w:p w:rsidR="336AA8C9" w:rsidP="6C9BDD5F" w:rsidRDefault="336AA8C9" w14:paraId="3A1AF18C" w14:textId="215177D1">
      <w:pPr>
        <w:pStyle w:val="Heading3"/>
        <w:keepNext w:val="1"/>
        <w:keepLines w:val="1"/>
        <w:spacing w:before="240" w:after="40" w:line="240" w:lineRule="auto"/>
        <w:ind w:right="868"/>
        <w:rPr>
          <w:rFonts w:ascii="Verdana" w:hAnsi="Verdana" w:eastAsia="Verdana" w:cs="Verdana"/>
          <w:b w:val="0"/>
          <w:bCs w:val="0"/>
          <w:i w:val="0"/>
          <w:iCs w:val="0"/>
          <w:caps w:val="0"/>
          <w:smallCaps w:val="0"/>
          <w:noProof w:val="0"/>
          <w:color w:val="000000" w:themeColor="text2" w:themeTint="FF" w:themeShade="FF"/>
          <w:sz w:val="36"/>
          <w:szCs w:val="36"/>
          <w:lang w:val="sv-SE"/>
        </w:rPr>
      </w:pPr>
      <w:bookmarkStart w:name="_Toc844840427" w:id="1703462091"/>
      <w:r w:rsidRPr="6C9BDD5F" w:rsidR="336AA8C9">
        <w:rPr>
          <w:rFonts w:ascii="Verdana" w:hAnsi="Verdana" w:eastAsia="Verdana" w:cs="Verdana"/>
          <w:b w:val="0"/>
          <w:bCs w:val="0"/>
          <w:i w:val="0"/>
          <w:iCs w:val="0"/>
          <w:caps w:val="0"/>
          <w:smallCaps w:val="0"/>
          <w:noProof w:val="0"/>
          <w:color w:val="000000" w:themeColor="text2" w:themeTint="FF" w:themeShade="FF"/>
          <w:sz w:val="36"/>
          <w:szCs w:val="36"/>
          <w:lang w:val="sv-SE"/>
        </w:rPr>
        <w:t>Huvudprinciper för vardagsbruk</w:t>
      </w:r>
      <w:bookmarkEnd w:id="1703462091"/>
    </w:p>
    <w:p w:rsidR="336AA8C9" w:rsidP="6C9BDD5F" w:rsidRDefault="336AA8C9" w14:paraId="078457C8" w14:textId="53D98C9F">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Det rekommenderas starkt att muskelrelaxera patienten inför intubation för att minska risken för svår intubation eller larynxskador. Innan muskelrelaxantia ges bör monitoreringen startas (se ovan). Tiden som krävs för att uppnå adekvat muskelavslappning kan variera avsevärt beroende på dos, patientens cirkulation och muskelmassa.</w:t>
      </w:r>
    </w:p>
    <w:p w:rsidR="336AA8C9" w:rsidP="6C9BDD5F" w:rsidRDefault="336AA8C9" w14:paraId="06A264D6" w14:textId="1E8CAF2C">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Neuromuskulär monitorering bör fortsättas under hela operationen.</w:t>
      </w:r>
    </w:p>
    <w:p w:rsidR="336AA8C9" w:rsidP="6C9BDD5F" w:rsidRDefault="336AA8C9" w14:paraId="31460CD6" w14:textId="43245E06">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Kirurgisk relaxantia</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motsvarar med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måttlig</w:t>
      </w:r>
      <w:r w:rsidRPr="6C9BDD5F" w:rsidR="336AA8C9">
        <w:rPr>
          <w:rFonts w:ascii="Times New Roman" w:hAnsi="Times New Roman" w:eastAsia="Times New Roman" w:cs="Times New Roman"/>
          <w:b w:val="1"/>
          <w:bCs w:val="1"/>
          <w:i w:val="1"/>
          <w:iCs w:val="1"/>
          <w:caps w:val="0"/>
          <w:smallCaps w:val="0"/>
          <w:noProof w:val="0"/>
          <w:color w:val="000000" w:themeColor="text2" w:themeTint="FF" w:themeShade="FF"/>
          <w:sz w:val="24"/>
          <w:szCs w:val="24"/>
          <w:lang w:val="sv-SE"/>
        </w:rPr>
        <w:t xml:space="preserve">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TOFC 1-3</w:t>
      </w:r>
      <w:r w:rsidRPr="6C9BDD5F" w:rsidR="336AA8C9">
        <w:rPr>
          <w:rFonts w:ascii="Times New Roman" w:hAnsi="Times New Roman" w:eastAsia="Times New Roman" w:cs="Times New Roman"/>
          <w:b w:val="1"/>
          <w:bCs w:val="1"/>
          <w:i w:val="1"/>
          <w:iCs w:val="1"/>
          <w:caps w:val="0"/>
          <w:smallCaps w:val="0"/>
          <w:noProof w:val="0"/>
          <w:color w:val="000000" w:themeColor="text2" w:themeTint="FF" w:themeShade="FF"/>
          <w:sz w:val="24"/>
          <w:szCs w:val="24"/>
          <w:lang w:val="sv-SE"/>
        </w:rPr>
        <w:t>)</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 xml:space="preserve"> eller djup (TOFC 0, PTC≥1)</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neuromuskulär blockad. Vanligtvis räcker att upprätthålla måttlig blockad under kirurgi, även vid laparoskopi. Vid behov, om de kirurgiska förutsättningarna bör förbättras kan blockaden fördjupas.</w:t>
      </w:r>
    </w:p>
    <w:p w:rsidR="336AA8C9" w:rsidP="6C9BDD5F" w:rsidRDefault="336AA8C9" w14:paraId="63FC4FAA" w14:textId="56020775">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Vid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 xml:space="preserve">robotkirurgi </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bör djup blockad eftersträvas från portinläggning till slutet av den kritiska perioden av kirurgin (</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anastomossutur eller uttagning av</w:t>
      </w:r>
      <w:r w:rsidRPr="6C9BDD5F" w:rsidR="5E76435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organ).</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Utan PTC monitorering rekommenderas att bibehålla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 xml:space="preserve">TOFC värdet på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0-1</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 xml:space="preserve"> nivån</w:t>
      </w:r>
      <w:r w:rsidRPr="6C9BDD5F" w:rsidR="336AA8C9">
        <w:rPr>
          <w:rFonts w:ascii="Times New Roman" w:hAnsi="Times New Roman" w:eastAsia="Times New Roman" w:cs="Times New Roman"/>
          <w:b w:val="0"/>
          <w:bCs w:val="0"/>
          <w:i w:val="1"/>
          <w:iCs w:val="1"/>
          <w:caps w:val="0"/>
          <w:smallCaps w:val="0"/>
          <w:noProof w:val="0"/>
          <w:color w:val="000000" w:themeColor="text2" w:themeTint="FF" w:themeShade="FF"/>
          <w:sz w:val="24"/>
          <w:szCs w:val="24"/>
          <w:lang w:val="sv-SE"/>
        </w:rPr>
        <w:t>.</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Vid TOFC 2 bör </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rokuronium</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ges som fyllnadsdos med 0,1–0,15 mg/kg (minst 10 mg).</w:t>
      </w:r>
    </w:p>
    <w:p w:rsidR="336AA8C9" w:rsidP="6C9BDD5F" w:rsidRDefault="336AA8C9" w14:paraId="2A989BFE" w14:textId="2A356A7A">
      <w:pPr>
        <w:pStyle w:val="Heading3"/>
        <w:keepNext w:val="1"/>
        <w:keepLines w:val="1"/>
        <w:spacing w:before="240" w:after="40" w:line="240" w:lineRule="auto"/>
        <w:ind w:right="868"/>
        <w:rPr>
          <w:rFonts w:ascii="Verdana" w:hAnsi="Verdana" w:eastAsia="Verdana" w:cs="Verdana"/>
          <w:b w:val="0"/>
          <w:bCs w:val="0"/>
          <w:i w:val="0"/>
          <w:iCs w:val="0"/>
          <w:caps w:val="0"/>
          <w:smallCaps w:val="0"/>
          <w:noProof w:val="0"/>
          <w:color w:val="000000" w:themeColor="text2" w:themeTint="FF" w:themeShade="FF"/>
          <w:sz w:val="36"/>
          <w:szCs w:val="36"/>
          <w:lang w:val="sv-SE"/>
        </w:rPr>
      </w:pPr>
      <w:bookmarkStart w:name="_Toc1090721757" w:id="1035098679"/>
      <w:r w:rsidRPr="6C9BDD5F" w:rsidR="336AA8C9">
        <w:rPr>
          <w:rFonts w:ascii="Verdana" w:hAnsi="Verdana" w:eastAsia="Verdana" w:cs="Verdana"/>
          <w:b w:val="0"/>
          <w:bCs w:val="0"/>
          <w:i w:val="0"/>
          <w:iCs w:val="0"/>
          <w:caps w:val="0"/>
          <w:smallCaps w:val="0"/>
          <w:noProof w:val="0"/>
          <w:color w:val="000000" w:themeColor="text2" w:themeTint="FF" w:themeShade="FF"/>
          <w:sz w:val="36"/>
          <w:szCs w:val="36"/>
          <w:lang w:val="sv-SE"/>
        </w:rPr>
        <w:t>Reversering</w:t>
      </w:r>
      <w:bookmarkEnd w:id="1035098679"/>
    </w:p>
    <w:p w:rsidR="336AA8C9" w:rsidP="6C9BDD5F" w:rsidRDefault="336AA8C9" w14:paraId="57BB8757" w14:textId="739F2A5D">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Innan </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extubation</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bör neuromuskulär funktion uppmätas</w:t>
      </w:r>
      <w:r w:rsidRPr="6C9BDD5F" w:rsidR="2C954E7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via n. </w:t>
      </w:r>
      <w:r w:rsidRPr="6C9BDD5F" w:rsidR="2C954E7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ulnaris</w:t>
      </w:r>
      <w:r w:rsidRPr="6C9BDD5F" w:rsidR="2C954E7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stimulation.</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TOFR≥90%</w:t>
      </w:r>
      <w:r w:rsidRPr="6C9BDD5F" w:rsidR="336AA8C9">
        <w:rPr>
          <w:rFonts w:ascii="Times New Roman" w:hAnsi="Times New Roman" w:eastAsia="Times New Roman" w:cs="Times New Roman"/>
          <w:b w:val="0"/>
          <w:bCs w:val="0"/>
          <w:i w:val="1"/>
          <w:iCs w:val="1"/>
          <w:caps w:val="0"/>
          <w:smallCaps w:val="0"/>
          <w:noProof w:val="0"/>
          <w:color w:val="000000" w:themeColor="text2" w:themeTint="FF" w:themeShade="FF"/>
          <w:sz w:val="24"/>
          <w:szCs w:val="24"/>
          <w:lang w:val="sv-SE"/>
        </w:rPr>
        <w:t xml:space="preserve"> </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(vid AMG av normaliserat värde)</w:t>
      </w:r>
      <w:r w:rsidRPr="6C9BDD5F" w:rsidR="336AA8C9">
        <w:rPr>
          <w:rFonts w:ascii="Times New Roman" w:hAnsi="Times New Roman" w:eastAsia="Times New Roman" w:cs="Times New Roman"/>
          <w:b w:val="0"/>
          <w:bCs w:val="0"/>
          <w:i w:val="1"/>
          <w:iCs w:val="1"/>
          <w:caps w:val="0"/>
          <w:smallCaps w:val="0"/>
          <w:noProof w:val="0"/>
          <w:color w:val="000000" w:themeColor="text2" w:themeTint="FF" w:themeShade="FF"/>
          <w:sz w:val="24"/>
          <w:szCs w:val="24"/>
          <w:lang w:val="sv-SE"/>
        </w:rPr>
        <w:t xml:space="preserve">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 xml:space="preserve">accepteras för säker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extubering</w:t>
      </w:r>
      <w:r w:rsidRPr="6C9BDD5F" w:rsidR="336AA8C9">
        <w:rPr>
          <w:rFonts w:ascii="Times New Roman" w:hAnsi="Times New Roman" w:eastAsia="Times New Roman" w:cs="Times New Roman"/>
          <w:b w:val="0"/>
          <w:bCs w:val="0"/>
          <w:i w:val="1"/>
          <w:iCs w:val="1"/>
          <w:caps w:val="0"/>
          <w:smallCaps w:val="0"/>
          <w:noProof w:val="0"/>
          <w:color w:val="000000" w:themeColor="text2" w:themeTint="FF" w:themeShade="FF"/>
          <w:sz w:val="24"/>
          <w:szCs w:val="24"/>
          <w:lang w:val="sv-SE"/>
        </w:rPr>
        <w:t>.</w:t>
      </w:r>
    </w:p>
    <w:p w:rsidR="336AA8C9" w:rsidP="6C9BDD5F" w:rsidRDefault="336AA8C9" w14:paraId="7CA962DD" w14:textId="10115B4A">
      <w:pPr>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TOFR≥20% kan neostigmin användas.</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Den förväntade effekten av neostigmin förekommer om 10 minuter. Dosen beror på blockadens djup.</w:t>
      </w:r>
    </w:p>
    <w:tbl>
      <w:tblPr>
        <w:tblStyle w:val="TableGrid"/>
        <w:bidiVisual w:val="0"/>
        <w:tblW w:w="0" w:type="auto"/>
        <w:tblBorders>
          <w:top w:val="single" w:sz="6"/>
          <w:left w:val="single" w:sz="6"/>
          <w:bottom w:val="single" w:sz="6"/>
          <w:right w:val="single" w:sz="6"/>
        </w:tblBorders>
        <w:tblLook w:val="04A0" w:firstRow="1" w:lastRow="0" w:firstColumn="1" w:lastColumn="0" w:noHBand="0" w:noVBand="1"/>
      </w:tblPr>
      <w:tblGrid>
        <w:gridCol w:w="2430"/>
        <w:gridCol w:w="5385"/>
      </w:tblGrid>
      <w:tr w:rsidR="6C9BDD5F" w:rsidTr="6C9BDD5F" w14:paraId="685AD500">
        <w:trPr>
          <w:trHeight w:val="300"/>
        </w:trPr>
        <w:tc>
          <w:tcPr>
            <w:tcW w:w="2430" w:type="dxa"/>
            <w:tcMar>
              <w:left w:w="105" w:type="dxa"/>
              <w:right w:w="105" w:type="dxa"/>
            </w:tcMar>
            <w:vAlign w:val="center"/>
          </w:tcPr>
          <w:p w:rsidR="6C9BDD5F" w:rsidP="6C9BDD5F" w:rsidRDefault="6C9BDD5F" w14:paraId="37474F50" w14:textId="469F2A8C">
            <w:pPr>
              <w:spacing w:after="120" w:line="288" w:lineRule="auto"/>
              <w:ind w:right="868"/>
              <w:rPr>
                <w:rFonts w:ascii="Times New Roman" w:hAnsi="Times New Roman" w:eastAsia="Times New Roman" w:cs="Times New Roman"/>
                <w:b w:val="0"/>
                <w:bCs w:val="0"/>
                <w:i w:val="0"/>
                <w:iCs w:val="0"/>
                <w:sz w:val="24"/>
                <w:szCs w:val="24"/>
              </w:rPr>
            </w:pPr>
            <w:r w:rsidRPr="6C9BDD5F" w:rsidR="6C9BDD5F">
              <w:rPr>
                <w:rFonts w:ascii="Times New Roman" w:hAnsi="Times New Roman" w:eastAsia="Times New Roman" w:cs="Times New Roman"/>
                <w:b w:val="0"/>
                <w:bCs w:val="0"/>
                <w:i w:val="0"/>
                <w:iCs w:val="0"/>
                <w:sz w:val="24"/>
                <w:szCs w:val="24"/>
                <w:lang w:val="sv-SE"/>
              </w:rPr>
              <w:t>TOF värde</w:t>
            </w:r>
          </w:p>
        </w:tc>
        <w:tc>
          <w:tcPr>
            <w:tcW w:w="5385" w:type="dxa"/>
            <w:tcMar>
              <w:left w:w="105" w:type="dxa"/>
              <w:right w:w="105" w:type="dxa"/>
            </w:tcMar>
            <w:vAlign w:val="center"/>
          </w:tcPr>
          <w:p w:rsidR="6C9BDD5F" w:rsidP="6C9BDD5F" w:rsidRDefault="6C9BDD5F" w14:paraId="584D088F" w14:textId="14696EDE">
            <w:pPr>
              <w:spacing w:after="120" w:line="288" w:lineRule="auto"/>
              <w:ind w:right="868"/>
              <w:rPr>
                <w:rFonts w:ascii="Times New Roman" w:hAnsi="Times New Roman" w:eastAsia="Times New Roman" w:cs="Times New Roman"/>
                <w:b w:val="0"/>
                <w:bCs w:val="0"/>
                <w:i w:val="0"/>
                <w:iCs w:val="0"/>
                <w:sz w:val="24"/>
                <w:szCs w:val="24"/>
              </w:rPr>
            </w:pPr>
            <w:r w:rsidRPr="6C9BDD5F" w:rsidR="6C9BDD5F">
              <w:rPr>
                <w:rFonts w:ascii="Times New Roman" w:hAnsi="Times New Roman" w:eastAsia="Times New Roman" w:cs="Times New Roman"/>
                <w:b w:val="0"/>
                <w:bCs w:val="0"/>
                <w:i w:val="0"/>
                <w:iCs w:val="0"/>
                <w:sz w:val="24"/>
                <w:szCs w:val="24"/>
                <w:lang w:val="sv-SE"/>
              </w:rPr>
              <w:t xml:space="preserve">Neostigmin dos av Robinul®-Neostigmin </w:t>
            </w:r>
          </w:p>
        </w:tc>
      </w:tr>
      <w:tr w:rsidR="6C9BDD5F" w:rsidTr="6C9BDD5F" w14:paraId="1113228E">
        <w:trPr>
          <w:trHeight w:val="300"/>
        </w:trPr>
        <w:tc>
          <w:tcPr>
            <w:tcW w:w="2430" w:type="dxa"/>
            <w:tcMar>
              <w:left w:w="105" w:type="dxa"/>
              <w:right w:w="105" w:type="dxa"/>
            </w:tcMar>
            <w:vAlign w:val="top"/>
          </w:tcPr>
          <w:p w:rsidR="6C9BDD5F" w:rsidP="6C9BDD5F" w:rsidRDefault="6C9BDD5F" w14:paraId="1ED8CFF8" w14:textId="63C15C86">
            <w:pPr>
              <w:spacing w:after="120" w:line="288" w:lineRule="auto"/>
              <w:ind w:right="868"/>
              <w:rPr>
                <w:rFonts w:ascii="Times New Roman" w:hAnsi="Times New Roman" w:eastAsia="Times New Roman" w:cs="Times New Roman"/>
                <w:b w:val="0"/>
                <w:bCs w:val="0"/>
                <w:i w:val="0"/>
                <w:iCs w:val="0"/>
                <w:sz w:val="24"/>
                <w:szCs w:val="24"/>
              </w:rPr>
            </w:pPr>
            <w:r w:rsidRPr="6C9BDD5F" w:rsidR="6C9BDD5F">
              <w:rPr>
                <w:rFonts w:ascii="Times New Roman" w:hAnsi="Times New Roman" w:eastAsia="Times New Roman" w:cs="Times New Roman"/>
                <w:b w:val="0"/>
                <w:bCs w:val="0"/>
                <w:i w:val="0"/>
                <w:iCs w:val="0"/>
                <w:sz w:val="24"/>
                <w:szCs w:val="24"/>
                <w:lang w:val="sv-SE"/>
              </w:rPr>
              <w:t>20-40%</w:t>
            </w:r>
          </w:p>
        </w:tc>
        <w:tc>
          <w:tcPr>
            <w:tcW w:w="5385" w:type="dxa"/>
            <w:tcMar>
              <w:left w:w="105" w:type="dxa"/>
              <w:right w:w="105" w:type="dxa"/>
            </w:tcMar>
            <w:vAlign w:val="top"/>
          </w:tcPr>
          <w:p w:rsidR="6C9BDD5F" w:rsidP="6C9BDD5F" w:rsidRDefault="6C9BDD5F" w14:paraId="67A95A5B" w14:textId="06CA7E7F">
            <w:pPr>
              <w:spacing w:after="120" w:line="288" w:lineRule="auto"/>
              <w:ind w:right="868"/>
              <w:rPr>
                <w:rFonts w:ascii="Times New Roman" w:hAnsi="Times New Roman" w:eastAsia="Times New Roman" w:cs="Times New Roman"/>
                <w:b w:val="0"/>
                <w:bCs w:val="0"/>
                <w:i w:val="0"/>
                <w:iCs w:val="0"/>
                <w:sz w:val="24"/>
                <w:szCs w:val="24"/>
              </w:rPr>
            </w:pPr>
            <w:r w:rsidRPr="6C9BDD5F" w:rsidR="6C9BDD5F">
              <w:rPr>
                <w:rFonts w:ascii="Times New Roman" w:hAnsi="Times New Roman" w:eastAsia="Times New Roman" w:cs="Times New Roman"/>
                <w:b w:val="0"/>
                <w:bCs w:val="0"/>
                <w:i w:val="0"/>
                <w:iCs w:val="0"/>
                <w:sz w:val="24"/>
                <w:szCs w:val="24"/>
                <w:lang w:val="sv-SE"/>
              </w:rPr>
              <w:t xml:space="preserve">40 </w:t>
            </w:r>
            <w:r w:rsidRPr="6C9BDD5F" w:rsidR="1BFE319B">
              <w:rPr>
                <w:rFonts w:ascii="Times New Roman" w:hAnsi="Times New Roman" w:eastAsia="Times New Roman" w:cs="Times New Roman"/>
                <w:b w:val="0"/>
                <w:bCs w:val="0"/>
                <w:i w:val="0"/>
                <w:iCs w:val="0"/>
                <w:sz w:val="24"/>
                <w:szCs w:val="24"/>
                <w:lang w:val="sv-SE"/>
              </w:rPr>
              <w:t>µg</w:t>
            </w:r>
            <w:r w:rsidRPr="6C9BDD5F" w:rsidR="6C9BDD5F">
              <w:rPr>
                <w:rFonts w:ascii="Times New Roman" w:hAnsi="Times New Roman" w:eastAsia="Times New Roman" w:cs="Times New Roman"/>
                <w:b w:val="0"/>
                <w:bCs w:val="0"/>
                <w:i w:val="0"/>
                <w:iCs w:val="0"/>
                <w:sz w:val="24"/>
                <w:szCs w:val="24"/>
                <w:lang w:val="sv-SE"/>
              </w:rPr>
              <w:t>/kg</w:t>
            </w:r>
          </w:p>
        </w:tc>
      </w:tr>
      <w:tr w:rsidR="6C9BDD5F" w:rsidTr="6C9BDD5F" w14:paraId="3D132EA8">
        <w:trPr>
          <w:trHeight w:val="300"/>
        </w:trPr>
        <w:tc>
          <w:tcPr>
            <w:tcW w:w="2430" w:type="dxa"/>
            <w:tcMar>
              <w:left w:w="105" w:type="dxa"/>
              <w:right w:w="105" w:type="dxa"/>
            </w:tcMar>
            <w:vAlign w:val="top"/>
          </w:tcPr>
          <w:p w:rsidR="6C9BDD5F" w:rsidP="6C9BDD5F" w:rsidRDefault="6C9BDD5F" w14:paraId="4450C3A9" w14:textId="16F9BCA0">
            <w:pPr>
              <w:spacing w:after="120" w:line="288" w:lineRule="auto"/>
              <w:ind w:right="868"/>
              <w:rPr>
                <w:rFonts w:ascii="Times New Roman" w:hAnsi="Times New Roman" w:eastAsia="Times New Roman" w:cs="Times New Roman"/>
                <w:b w:val="0"/>
                <w:bCs w:val="0"/>
                <w:i w:val="0"/>
                <w:iCs w:val="0"/>
                <w:sz w:val="24"/>
                <w:szCs w:val="24"/>
              </w:rPr>
            </w:pPr>
            <w:r w:rsidRPr="6C9BDD5F" w:rsidR="6C9BDD5F">
              <w:rPr>
                <w:rFonts w:ascii="Times New Roman" w:hAnsi="Times New Roman" w:eastAsia="Times New Roman" w:cs="Times New Roman"/>
                <w:b w:val="0"/>
                <w:bCs w:val="0"/>
                <w:i w:val="0"/>
                <w:iCs w:val="0"/>
                <w:sz w:val="24"/>
                <w:szCs w:val="24"/>
                <w:lang w:val="sv-SE"/>
              </w:rPr>
              <w:t>41-90%</w:t>
            </w:r>
          </w:p>
        </w:tc>
        <w:tc>
          <w:tcPr>
            <w:tcW w:w="5385" w:type="dxa"/>
            <w:tcMar>
              <w:left w:w="105" w:type="dxa"/>
              <w:right w:w="105" w:type="dxa"/>
            </w:tcMar>
            <w:vAlign w:val="top"/>
          </w:tcPr>
          <w:p w:rsidR="6C9BDD5F" w:rsidP="6C9BDD5F" w:rsidRDefault="6C9BDD5F" w14:paraId="43E4E2BF" w14:textId="7EB106D6">
            <w:pPr>
              <w:spacing w:after="120" w:line="288" w:lineRule="auto"/>
              <w:ind w:right="868"/>
              <w:rPr>
                <w:rFonts w:ascii="Times New Roman" w:hAnsi="Times New Roman" w:eastAsia="Times New Roman" w:cs="Times New Roman"/>
                <w:b w:val="0"/>
                <w:bCs w:val="0"/>
                <w:i w:val="0"/>
                <w:iCs w:val="0"/>
                <w:sz w:val="24"/>
                <w:szCs w:val="24"/>
              </w:rPr>
            </w:pPr>
            <w:r w:rsidRPr="6C9BDD5F" w:rsidR="6C9BDD5F">
              <w:rPr>
                <w:rFonts w:ascii="Times New Roman" w:hAnsi="Times New Roman" w:eastAsia="Times New Roman" w:cs="Times New Roman"/>
                <w:b w:val="0"/>
                <w:bCs w:val="0"/>
                <w:i w:val="0"/>
                <w:iCs w:val="0"/>
                <w:sz w:val="24"/>
                <w:szCs w:val="24"/>
                <w:lang w:val="sv-SE"/>
              </w:rPr>
              <w:t xml:space="preserve">20 </w:t>
            </w:r>
            <w:r w:rsidRPr="6C9BDD5F" w:rsidR="328A6DA6">
              <w:rPr>
                <w:rFonts w:ascii="Times New Roman" w:hAnsi="Times New Roman" w:eastAsia="Times New Roman" w:cs="Times New Roman"/>
                <w:b w:val="0"/>
                <w:bCs w:val="0"/>
                <w:i w:val="0"/>
                <w:iCs w:val="0"/>
                <w:sz w:val="24"/>
                <w:szCs w:val="24"/>
                <w:lang w:val="sv-SE"/>
              </w:rPr>
              <w:t>µg</w:t>
            </w:r>
            <w:r w:rsidRPr="6C9BDD5F" w:rsidR="6C9BDD5F">
              <w:rPr>
                <w:rFonts w:ascii="Times New Roman" w:hAnsi="Times New Roman" w:eastAsia="Times New Roman" w:cs="Times New Roman"/>
                <w:b w:val="0"/>
                <w:bCs w:val="0"/>
                <w:i w:val="0"/>
                <w:iCs w:val="0"/>
                <w:sz w:val="24"/>
                <w:szCs w:val="24"/>
                <w:lang w:val="sv-SE"/>
              </w:rPr>
              <w:t>/kg</w:t>
            </w:r>
          </w:p>
        </w:tc>
      </w:tr>
    </w:tbl>
    <w:p w:rsidR="08623FF9" w:rsidP="6C9BDD5F" w:rsidRDefault="08623FF9" w14:paraId="1B66D9DE" w14:textId="11636122">
      <w:pPr>
        <w:pStyle w:val="MellanrubrikVGR"/>
        <w:bidi w:val="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08623FF9">
        <w:rPr>
          <w:noProof w:val="0"/>
          <w:lang w:val="sv-SE"/>
        </w:rPr>
        <w:t xml:space="preserve">Reversering av </w:t>
      </w:r>
      <w:r w:rsidRPr="6C9BDD5F" w:rsidR="08623FF9">
        <w:rPr>
          <w:noProof w:val="0"/>
          <w:lang w:val="sv-SE"/>
        </w:rPr>
        <w:t>rokuronium</w:t>
      </w:r>
      <w:r w:rsidRPr="6C9BDD5F" w:rsidR="08623FF9">
        <w:rPr>
          <w:noProof w:val="0"/>
          <w:lang w:val="sv-SE"/>
        </w:rPr>
        <w:t xml:space="preserve"> </w:t>
      </w:r>
    </w:p>
    <w:p w:rsidR="08623FF9" w:rsidP="6C9BDD5F" w:rsidRDefault="08623FF9" w14:paraId="59F14682" w14:textId="788DF8E6">
      <w:pPr>
        <w:pStyle w:val="Normal"/>
        <w:bidi w:val="0"/>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08623FF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Rokuroniums</w:t>
      </w:r>
      <w:r w:rsidRPr="6C9BDD5F" w:rsidR="08623FF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effekt kan reverseras med </w:t>
      </w:r>
      <w:r w:rsidRPr="6C9BDD5F" w:rsidR="08623FF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neostigmin</w:t>
      </w:r>
      <w:r w:rsidRPr="6C9BDD5F" w:rsidR="08623FF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eller </w:t>
      </w:r>
      <w:r w:rsidRPr="6C9BDD5F" w:rsidR="08623FF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sugammadex</w:t>
      </w:r>
      <w:r w:rsidRPr="6C9BDD5F" w:rsidR="6F8C4AF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r w:rsidRPr="6C9BDD5F" w:rsidR="08623FF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w:t>
      </w:r>
      <w:r w:rsidRPr="6C9BDD5F" w:rsidR="08623FF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Sugammadex</w:t>
      </w:r>
      <w:r w:rsidRPr="6C9BDD5F" w:rsidR="08623FF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är ett derivat av gamma-</w:t>
      </w:r>
      <w:r w:rsidRPr="6C9BDD5F" w:rsidR="08623FF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c</w:t>
      </w:r>
      <w:r w:rsidRPr="6C9BDD5F" w:rsidR="08623FF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yklodextrin</w:t>
      </w:r>
      <w:r w:rsidRPr="6C9BDD5F" w:rsidR="08623FF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w:t>
      </w:r>
      <w:r w:rsidRPr="6C9BDD5F" w:rsidR="08623FF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som bildar ett stabil komplex med steroidbaserade ämnen i plasma -inklusive </w:t>
      </w:r>
      <w:r w:rsidRPr="6C9BDD5F" w:rsidR="08623FF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r</w:t>
      </w:r>
      <w:r w:rsidRPr="6C9BDD5F" w:rsidR="08623FF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okuronium</w:t>
      </w:r>
      <w:r w:rsidRPr="6C9BDD5F" w:rsidR="08623FF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w:t>
      </w:r>
      <w:r w:rsidRPr="6C9BDD5F" w:rsidR="08623FF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och </w:t>
      </w:r>
      <w:r w:rsidRPr="6C9BDD5F" w:rsidR="08623FF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v</w:t>
      </w:r>
      <w:r w:rsidRPr="6C9BDD5F" w:rsidR="08623FF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ekuronium</w:t>
      </w:r>
      <w:r w:rsidRPr="6C9BDD5F" w:rsidR="08623FF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r w:rsidRPr="6C9BDD5F" w:rsidR="08623FF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Detta ger en snabb och tillförlitlig antidoteffekt mot </w:t>
      </w:r>
      <w:r w:rsidRPr="6C9BDD5F" w:rsidR="08623FF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r</w:t>
      </w:r>
      <w:r w:rsidRPr="6C9BDD5F" w:rsidR="08623FF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okuronium</w:t>
      </w:r>
      <w:r w:rsidRPr="6C9BDD5F" w:rsidR="08623FF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r w:rsidRPr="6C9BDD5F" w:rsidR="08623FF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Mot bakgrund av en mer fördelaktig biverkningsprofil, bättre klinisk effektivitet och jämförbara kostnader </w:t>
      </w:r>
      <w:r w:rsidRPr="6C9BDD5F" w:rsidR="08623FF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 xml:space="preserve">rekommenderas </w:t>
      </w:r>
      <w:r w:rsidRPr="6C9BDD5F" w:rsidR="08623FF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s</w:t>
      </w:r>
      <w:r w:rsidRPr="6C9BDD5F" w:rsidR="08623FF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ugammadex</w:t>
      </w:r>
      <w:r w:rsidRPr="6C9BDD5F" w:rsidR="08623FF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 xml:space="preserve"> </w:t>
      </w:r>
      <w:r w:rsidRPr="6C9BDD5F" w:rsidR="08623FF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 xml:space="preserve">som förstahandsval för reversering av </w:t>
      </w:r>
      <w:r w:rsidRPr="6C9BDD5F" w:rsidR="08623FF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r</w:t>
      </w:r>
      <w:r w:rsidRPr="6C9BDD5F" w:rsidR="08623FF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okuroniums</w:t>
      </w:r>
      <w:r w:rsidRPr="6C9BDD5F" w:rsidR="08623FF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 xml:space="preserve"> </w:t>
      </w:r>
      <w:r w:rsidRPr="6C9BDD5F" w:rsidR="08623FF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neuromuskulära blockad</w:t>
      </w:r>
      <w:r w:rsidRPr="6C9BDD5F" w:rsidR="08623FF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w:t>
      </w:r>
    </w:p>
    <w:p w:rsidR="6C9BDD5F" w:rsidP="6C9BDD5F" w:rsidRDefault="6C9BDD5F" w14:paraId="55C55E54" w14:textId="4227EA6B">
      <w:pPr>
        <w:bidi w:val="0"/>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6C9BDD5F" w:rsidRDefault="6C9BDD5F" w14:paraId="174597AA" w14:textId="4F53F54D">
      <w:r>
        <w:br w:type="page"/>
      </w:r>
    </w:p>
    <w:p w:rsidR="3DCBE100" w:rsidP="6C9BDD5F" w:rsidRDefault="3DCBE100" w14:paraId="67977DD1" w14:textId="590E8C7A">
      <w:pPr>
        <w:pStyle w:val="Normal"/>
        <w:bidi w:val="0"/>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DCBE10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Sugammadexs</w:t>
      </w:r>
      <w:r w:rsidRPr="6C9BDD5F" w:rsidR="3DCBE10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dosen beror på blockadens djup.</w:t>
      </w:r>
    </w:p>
    <w:tbl>
      <w:tblPr>
        <w:tblStyle w:val="TableGrid"/>
        <w:bidiVisual w:val="0"/>
        <w:tblW w:w="0" w:type="auto"/>
        <w:tblBorders>
          <w:top w:val="single" w:sz="6"/>
          <w:left w:val="single" w:sz="6"/>
          <w:bottom w:val="single" w:sz="6"/>
          <w:right w:val="single" w:sz="6"/>
        </w:tblBorders>
        <w:tblLook w:val="04A0" w:firstRow="1" w:lastRow="0" w:firstColumn="1" w:lastColumn="0" w:noHBand="0" w:noVBand="1"/>
      </w:tblPr>
      <w:tblGrid>
        <w:gridCol w:w="6120"/>
        <w:gridCol w:w="2820"/>
      </w:tblGrid>
      <w:tr w:rsidR="6C9BDD5F" w:rsidTr="6C9BDD5F" w14:paraId="3541D6F0">
        <w:trPr>
          <w:trHeight w:val="300"/>
        </w:trPr>
        <w:tc>
          <w:tcPr>
            <w:tcW w:w="6120" w:type="dxa"/>
            <w:tcMar>
              <w:left w:w="105" w:type="dxa"/>
              <w:right w:w="105" w:type="dxa"/>
            </w:tcMar>
            <w:vAlign w:val="center"/>
          </w:tcPr>
          <w:p w:rsidR="6C9BDD5F" w:rsidP="6C9BDD5F" w:rsidRDefault="6C9BDD5F" w14:paraId="573E6DD1" w14:textId="29B21C33">
            <w:pPr>
              <w:bidi w:val="0"/>
              <w:spacing w:after="120" w:line="288" w:lineRule="auto"/>
              <w:ind w:right="868"/>
              <w:rPr>
                <w:rFonts w:ascii="Times New Roman" w:hAnsi="Times New Roman" w:eastAsia="Times New Roman" w:cs="Times New Roman"/>
                <w:b w:val="0"/>
                <w:bCs w:val="0"/>
                <w:i w:val="0"/>
                <w:iCs w:val="0"/>
                <w:sz w:val="24"/>
                <w:szCs w:val="24"/>
              </w:rPr>
            </w:pPr>
            <w:r w:rsidRPr="6C9BDD5F" w:rsidR="6C9BDD5F">
              <w:rPr>
                <w:rFonts w:ascii="Times New Roman" w:hAnsi="Times New Roman" w:eastAsia="Times New Roman" w:cs="Times New Roman"/>
                <w:b w:val="0"/>
                <w:bCs w:val="0"/>
                <w:i w:val="0"/>
                <w:iCs w:val="0"/>
                <w:sz w:val="24"/>
                <w:szCs w:val="24"/>
                <w:lang w:val="sv-SE"/>
              </w:rPr>
              <w:t>TOF värde</w:t>
            </w:r>
          </w:p>
        </w:tc>
        <w:tc>
          <w:tcPr>
            <w:tcW w:w="2820" w:type="dxa"/>
            <w:tcMar>
              <w:left w:w="105" w:type="dxa"/>
              <w:right w:w="105" w:type="dxa"/>
            </w:tcMar>
            <w:vAlign w:val="center"/>
          </w:tcPr>
          <w:p w:rsidR="6C9BDD5F" w:rsidP="6C9BDD5F" w:rsidRDefault="6C9BDD5F" w14:paraId="55077292" w14:textId="2EDF5AE4">
            <w:pPr>
              <w:bidi w:val="0"/>
              <w:spacing w:after="120" w:line="288" w:lineRule="auto"/>
              <w:ind w:right="868"/>
              <w:rPr>
                <w:rFonts w:ascii="Times New Roman" w:hAnsi="Times New Roman" w:eastAsia="Times New Roman" w:cs="Times New Roman"/>
                <w:b w:val="0"/>
                <w:bCs w:val="0"/>
                <w:i w:val="0"/>
                <w:iCs w:val="0"/>
                <w:sz w:val="24"/>
                <w:szCs w:val="24"/>
              </w:rPr>
            </w:pPr>
            <w:r w:rsidRPr="6C9BDD5F" w:rsidR="6C9BDD5F">
              <w:rPr>
                <w:rFonts w:ascii="Times New Roman" w:hAnsi="Times New Roman" w:eastAsia="Times New Roman" w:cs="Times New Roman"/>
                <w:b w:val="0"/>
                <w:bCs w:val="0"/>
                <w:i w:val="0"/>
                <w:iCs w:val="0"/>
                <w:sz w:val="24"/>
                <w:szCs w:val="24"/>
                <w:lang w:val="sv-SE"/>
              </w:rPr>
              <w:t>Sugammadex dos</w:t>
            </w:r>
          </w:p>
        </w:tc>
      </w:tr>
      <w:tr w:rsidR="6C9BDD5F" w:rsidTr="6C9BDD5F" w14:paraId="52E1AFE4">
        <w:trPr>
          <w:trHeight w:val="300"/>
        </w:trPr>
        <w:tc>
          <w:tcPr>
            <w:tcW w:w="6120" w:type="dxa"/>
            <w:tcMar>
              <w:left w:w="105" w:type="dxa"/>
              <w:right w:w="105" w:type="dxa"/>
            </w:tcMar>
            <w:vAlign w:val="top"/>
          </w:tcPr>
          <w:p w:rsidR="6C9BDD5F" w:rsidP="6C9BDD5F" w:rsidRDefault="6C9BDD5F" w14:paraId="1A66C156" w14:textId="46A4B5F7">
            <w:pPr>
              <w:bidi w:val="0"/>
              <w:spacing w:after="120" w:line="288" w:lineRule="auto"/>
              <w:ind w:right="868"/>
              <w:rPr>
                <w:rFonts w:ascii="Times New Roman" w:hAnsi="Times New Roman" w:eastAsia="Times New Roman" w:cs="Times New Roman"/>
                <w:b w:val="0"/>
                <w:bCs w:val="0"/>
                <w:i w:val="0"/>
                <w:iCs w:val="0"/>
                <w:sz w:val="24"/>
                <w:szCs w:val="24"/>
              </w:rPr>
            </w:pPr>
            <w:r w:rsidRPr="6C9BDD5F" w:rsidR="6C9BDD5F">
              <w:rPr>
                <w:rFonts w:ascii="Times New Roman" w:hAnsi="Times New Roman" w:eastAsia="Times New Roman" w:cs="Times New Roman"/>
                <w:b w:val="0"/>
                <w:bCs w:val="0"/>
                <w:i w:val="0"/>
                <w:iCs w:val="0"/>
                <w:sz w:val="24"/>
                <w:szCs w:val="24"/>
                <w:lang w:val="sv-SE"/>
              </w:rPr>
              <w:t xml:space="preserve"> ≥ 2 svar</w:t>
            </w:r>
          </w:p>
        </w:tc>
        <w:tc>
          <w:tcPr>
            <w:tcW w:w="2820" w:type="dxa"/>
            <w:tcMar>
              <w:left w:w="105" w:type="dxa"/>
              <w:right w:w="105" w:type="dxa"/>
            </w:tcMar>
            <w:vAlign w:val="top"/>
          </w:tcPr>
          <w:p w:rsidR="6C9BDD5F" w:rsidP="6C9BDD5F" w:rsidRDefault="6C9BDD5F" w14:paraId="5394E1B7" w14:textId="67FD7286">
            <w:pPr>
              <w:bidi w:val="0"/>
              <w:spacing w:after="120" w:line="288" w:lineRule="auto"/>
              <w:ind w:right="868"/>
              <w:jc w:val="center"/>
              <w:rPr>
                <w:rFonts w:ascii="Times New Roman" w:hAnsi="Times New Roman" w:eastAsia="Times New Roman" w:cs="Times New Roman"/>
                <w:b w:val="0"/>
                <w:bCs w:val="0"/>
                <w:i w:val="0"/>
                <w:iCs w:val="0"/>
                <w:sz w:val="24"/>
                <w:szCs w:val="24"/>
              </w:rPr>
            </w:pPr>
            <w:r w:rsidRPr="6C9BDD5F" w:rsidR="6C9BDD5F">
              <w:rPr>
                <w:rFonts w:ascii="Times New Roman" w:hAnsi="Times New Roman" w:eastAsia="Times New Roman" w:cs="Times New Roman"/>
                <w:b w:val="0"/>
                <w:bCs w:val="0"/>
                <w:i w:val="0"/>
                <w:iCs w:val="0"/>
                <w:sz w:val="24"/>
                <w:szCs w:val="24"/>
                <w:lang w:val="sv-SE"/>
              </w:rPr>
              <w:t>2mg/kg</w:t>
            </w:r>
          </w:p>
        </w:tc>
      </w:tr>
      <w:tr w:rsidR="6C9BDD5F" w:rsidTr="6C9BDD5F" w14:paraId="7D71C2A0">
        <w:trPr>
          <w:trHeight w:val="300"/>
        </w:trPr>
        <w:tc>
          <w:tcPr>
            <w:tcW w:w="6120" w:type="dxa"/>
            <w:tcMar>
              <w:left w:w="105" w:type="dxa"/>
              <w:right w:w="105" w:type="dxa"/>
            </w:tcMar>
            <w:vAlign w:val="top"/>
          </w:tcPr>
          <w:p w:rsidR="6C9BDD5F" w:rsidP="6C9BDD5F" w:rsidRDefault="6C9BDD5F" w14:paraId="3135289A" w14:textId="48E63CC8">
            <w:pPr>
              <w:bidi w:val="0"/>
              <w:spacing w:after="120" w:line="288" w:lineRule="auto"/>
              <w:ind w:right="868"/>
              <w:rPr>
                <w:rFonts w:ascii="Times New Roman" w:hAnsi="Times New Roman" w:eastAsia="Times New Roman" w:cs="Times New Roman"/>
                <w:b w:val="0"/>
                <w:bCs w:val="0"/>
                <w:i w:val="0"/>
                <w:iCs w:val="0"/>
                <w:sz w:val="24"/>
                <w:szCs w:val="24"/>
              </w:rPr>
            </w:pPr>
            <w:r w:rsidRPr="6C9BDD5F" w:rsidR="6C9BDD5F">
              <w:rPr>
                <w:rFonts w:ascii="Times New Roman" w:hAnsi="Times New Roman" w:eastAsia="Times New Roman" w:cs="Times New Roman"/>
                <w:b w:val="0"/>
                <w:bCs w:val="0"/>
                <w:i w:val="0"/>
                <w:iCs w:val="0"/>
                <w:sz w:val="24"/>
                <w:szCs w:val="24"/>
                <w:lang w:val="sv-SE"/>
              </w:rPr>
              <w:t xml:space="preserve"> &lt; 2 svar</w:t>
            </w:r>
          </w:p>
        </w:tc>
        <w:tc>
          <w:tcPr>
            <w:tcW w:w="2820" w:type="dxa"/>
            <w:tcMar>
              <w:left w:w="105" w:type="dxa"/>
              <w:right w:w="105" w:type="dxa"/>
            </w:tcMar>
            <w:vAlign w:val="top"/>
          </w:tcPr>
          <w:p w:rsidR="6C9BDD5F" w:rsidP="6C9BDD5F" w:rsidRDefault="6C9BDD5F" w14:paraId="502D46E0" w14:textId="4EE59FCF">
            <w:pPr>
              <w:bidi w:val="0"/>
              <w:spacing w:after="120" w:line="288" w:lineRule="auto"/>
              <w:ind w:right="868"/>
              <w:jc w:val="center"/>
              <w:rPr>
                <w:rFonts w:ascii="Times New Roman" w:hAnsi="Times New Roman" w:eastAsia="Times New Roman" w:cs="Times New Roman"/>
                <w:b w:val="0"/>
                <w:bCs w:val="0"/>
                <w:i w:val="0"/>
                <w:iCs w:val="0"/>
                <w:sz w:val="24"/>
                <w:szCs w:val="24"/>
              </w:rPr>
            </w:pPr>
            <w:r w:rsidRPr="6C9BDD5F" w:rsidR="6C9BDD5F">
              <w:rPr>
                <w:rFonts w:ascii="Times New Roman" w:hAnsi="Times New Roman" w:eastAsia="Times New Roman" w:cs="Times New Roman"/>
                <w:b w:val="0"/>
                <w:bCs w:val="0"/>
                <w:i w:val="0"/>
                <w:iCs w:val="0"/>
                <w:sz w:val="24"/>
                <w:szCs w:val="24"/>
                <w:lang w:val="sv-SE"/>
              </w:rPr>
              <w:t>4 mg/kg</w:t>
            </w:r>
          </w:p>
        </w:tc>
      </w:tr>
      <w:tr w:rsidR="6C9BDD5F" w:rsidTr="6C9BDD5F" w14:paraId="455A7A14">
        <w:trPr>
          <w:trHeight w:val="300"/>
        </w:trPr>
        <w:tc>
          <w:tcPr>
            <w:tcW w:w="6120" w:type="dxa"/>
            <w:tcMar>
              <w:left w:w="105" w:type="dxa"/>
              <w:right w:w="105" w:type="dxa"/>
            </w:tcMar>
            <w:vAlign w:val="top"/>
          </w:tcPr>
          <w:p w:rsidR="6C9BDD5F" w:rsidP="6C9BDD5F" w:rsidRDefault="6C9BDD5F" w14:paraId="16D7562E" w14:textId="4DABD8AC">
            <w:pPr>
              <w:bidi w:val="0"/>
              <w:spacing w:after="120" w:line="288" w:lineRule="auto"/>
              <w:ind w:right="868"/>
              <w:rPr>
                <w:rFonts w:ascii="Times New Roman" w:hAnsi="Times New Roman" w:eastAsia="Times New Roman" w:cs="Times New Roman"/>
                <w:b w:val="0"/>
                <w:bCs w:val="0"/>
                <w:i w:val="0"/>
                <w:iCs w:val="0"/>
                <w:sz w:val="24"/>
                <w:szCs w:val="24"/>
              </w:rPr>
            </w:pPr>
            <w:r w:rsidRPr="6C9BDD5F" w:rsidR="6C9BDD5F">
              <w:rPr>
                <w:rFonts w:ascii="Times New Roman" w:hAnsi="Times New Roman" w:eastAsia="Times New Roman" w:cs="Times New Roman"/>
                <w:b w:val="0"/>
                <w:bCs w:val="0"/>
                <w:i w:val="0"/>
                <w:iCs w:val="0"/>
                <w:sz w:val="24"/>
                <w:szCs w:val="24"/>
                <w:lang w:val="sv-SE"/>
              </w:rPr>
              <w:t>omedelbar reversering efter  rocuronium 1,2 mg/kg</w:t>
            </w:r>
          </w:p>
        </w:tc>
        <w:tc>
          <w:tcPr>
            <w:tcW w:w="2820" w:type="dxa"/>
            <w:tcMar>
              <w:left w:w="105" w:type="dxa"/>
              <w:right w:w="105" w:type="dxa"/>
            </w:tcMar>
            <w:vAlign w:val="top"/>
          </w:tcPr>
          <w:p w:rsidR="6C9BDD5F" w:rsidP="6C9BDD5F" w:rsidRDefault="6C9BDD5F" w14:paraId="0CC66D48" w14:textId="4F3CEE66">
            <w:pPr>
              <w:bidi w:val="0"/>
              <w:spacing w:after="120" w:line="288" w:lineRule="auto"/>
              <w:ind w:right="868"/>
              <w:jc w:val="center"/>
              <w:rPr>
                <w:rFonts w:ascii="Times New Roman" w:hAnsi="Times New Roman" w:eastAsia="Times New Roman" w:cs="Times New Roman"/>
                <w:b w:val="0"/>
                <w:bCs w:val="0"/>
                <w:i w:val="0"/>
                <w:iCs w:val="0"/>
                <w:sz w:val="24"/>
                <w:szCs w:val="24"/>
              </w:rPr>
            </w:pPr>
            <w:r w:rsidRPr="6C9BDD5F" w:rsidR="6C9BDD5F">
              <w:rPr>
                <w:rFonts w:ascii="Times New Roman" w:hAnsi="Times New Roman" w:eastAsia="Times New Roman" w:cs="Times New Roman"/>
                <w:b w:val="0"/>
                <w:bCs w:val="0"/>
                <w:i w:val="0"/>
                <w:iCs w:val="0"/>
                <w:sz w:val="24"/>
                <w:szCs w:val="24"/>
                <w:lang w:val="sv-SE"/>
              </w:rPr>
              <w:t>16 mg/kg</w:t>
            </w:r>
          </w:p>
        </w:tc>
      </w:tr>
    </w:tbl>
    <w:p w:rsidR="6C9BDD5F" w:rsidP="6C9BDD5F" w:rsidRDefault="6C9BDD5F" w14:paraId="71A96D6C" w14:textId="5F84011B">
      <w:pPr>
        <w:pStyle w:val="Normal"/>
        <w:bidi w:val="0"/>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336AA8C9" w:rsidP="6C9BDD5F" w:rsidRDefault="336AA8C9" w14:paraId="0992ABAB" w14:textId="768C0E3D">
      <w:pPr>
        <w:pStyle w:val="Normal"/>
        <w:bidi w:val="0"/>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För att undvika den </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n</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eostigmininducerade</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svagheten rekommenderas det inte att använda </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s</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ugammadex</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som </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r</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escue</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m</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edikation</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efter </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n</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eostigmin</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reversering. </w:t>
      </w:r>
    </w:p>
    <w:p w:rsidR="336AA8C9" w:rsidP="6C9BDD5F" w:rsidRDefault="336AA8C9" w14:paraId="2F4961C9" w14:textId="43713B1C">
      <w:pPr>
        <w:bidi w:val="0"/>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Sugammadex-rokuronium-komplex utsöndras genom njurarna. Man får längre återhämtning från blockad hos patienter med kraftigt nedsatt njurfunktion (GFR &lt; 30 ml/min). Njursvikt utgör i sig ingen kontraindikation mot sugammadex – inga patientfall med rekurarisering har rapporterats.</w:t>
      </w:r>
    </w:p>
    <w:p w:rsidR="336AA8C9" w:rsidP="6C9BDD5F" w:rsidRDefault="336AA8C9" w14:paraId="5CCCE1AD" w14:textId="2A53040E">
      <w:pPr>
        <w:bidi w:val="0"/>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Sugammadex minskar effekten av könshormoner, varför det är relativt kontraindicerat under graviditetens första trimester.  En dos sugammadex motsvarar en missad dos p-piller. Kvinnor som använder p-piller bör använda kompletterande preventivmetoder efter administrering av sugammadex – patienten bör informeras om detta!</w:t>
      </w:r>
    </w:p>
    <w:p w:rsidR="336AA8C9" w:rsidP="6C9BDD5F" w:rsidRDefault="336AA8C9" w14:paraId="5E1AB4A1" w14:textId="6CB6FF57">
      <w:pPr>
        <w:pStyle w:val="MellanrubrikVGR"/>
        <w:keepNext w:val="1"/>
        <w:keepLines w:val="1"/>
        <w:widowControl w:val="0"/>
        <w:bidi w:val="0"/>
        <w:spacing w:before="240" w:after="120" w:line="288" w:lineRule="auto"/>
        <w:ind w:right="868"/>
        <w:rPr>
          <w:rFonts w:ascii="Calibri" w:hAnsi="Calibri" w:eastAsia="Calibri" w:cs="Calibri"/>
          <w:b w:val="1"/>
          <w:bCs w:val="1"/>
          <w:i w:val="0"/>
          <w:iCs w:val="0"/>
          <w:caps w:val="0"/>
          <w:smallCaps w:val="0"/>
          <w:noProof w:val="0"/>
          <w:color w:val="000000" w:themeColor="text2" w:themeTint="FF" w:themeShade="FF"/>
          <w:sz w:val="26"/>
          <w:szCs w:val="26"/>
          <w:lang w:val="sv-SE"/>
        </w:rPr>
      </w:pPr>
      <w:r w:rsidRPr="6C9BDD5F" w:rsidR="336AA8C9">
        <w:rPr>
          <w:rFonts w:ascii="Calibri" w:hAnsi="Calibri" w:eastAsia="Calibri" w:cs="Calibri"/>
          <w:b w:val="1"/>
          <w:bCs w:val="1"/>
          <w:i w:val="0"/>
          <w:iCs w:val="0"/>
          <w:caps w:val="0"/>
          <w:smallCaps w:val="0"/>
          <w:noProof w:val="0"/>
          <w:color w:val="000000" w:themeColor="text2" w:themeTint="FF" w:themeShade="FF"/>
          <w:sz w:val="26"/>
          <w:szCs w:val="26"/>
          <w:lang w:val="sv-SE"/>
        </w:rPr>
        <w:t>Återadministrering av rokuronium efter sugammadex</w:t>
      </w:r>
    </w:p>
    <w:p w:rsidR="336AA8C9" w:rsidP="6C9BDD5F" w:rsidRDefault="336AA8C9" w14:paraId="5CA3E6C8" w14:textId="6617925D">
      <w:pPr>
        <w:bidi w:val="0"/>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Vid behov av återadministrering av rokuronium påverkas anslags- och verkningstiderna av den tidigare rokuroniumdosen, sugammadexdosen samt tidsintervallet mellan injektionerna. Detta förhållande är inte helt förutsägbart.</w:t>
      </w:r>
    </w:p>
    <w:p w:rsidR="336AA8C9" w:rsidP="6C9BDD5F" w:rsidRDefault="336AA8C9" w14:paraId="5DB2DC98" w14:textId="400E6862">
      <w:pPr>
        <w:bidi w:val="0"/>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Generella rekommendationer:</w:t>
      </w:r>
    </w:p>
    <w:p w:rsidR="336AA8C9" w:rsidP="6C9BDD5F" w:rsidRDefault="336AA8C9" w14:paraId="5F138F40" w14:textId="46CB4673">
      <w:pPr>
        <w:pStyle w:val="ListParagraph"/>
        <w:bidi w:val="0"/>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En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vanlig dos rokuronium (0,6 mg/kg)</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bör övervägas</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 xml:space="preserve"> tidigast 4 timmar</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efter administrering av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upp till 4 mg/kg sugammadex</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p>
    <w:p w:rsidR="336AA8C9" w:rsidP="6C9BDD5F" w:rsidRDefault="336AA8C9" w14:paraId="27DE9BD4" w14:textId="7E672B6B">
      <w:pPr>
        <w:pStyle w:val="ListParagraph"/>
        <w:bidi w:val="0"/>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Inom 5 minuter efter 4 mg/kg sugammadex</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kan en dos på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1,2 mg/kg rokuronium användas</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men durationen förkortas då till ca 25 minuter.</w:t>
      </w:r>
    </w:p>
    <w:p w:rsidR="336AA8C9" w:rsidP="6C9BDD5F" w:rsidRDefault="336AA8C9" w14:paraId="044CF2D0" w14:textId="1206D2FF">
      <w:pPr>
        <w:pStyle w:val="ListParagraph"/>
        <w:bidi w:val="0"/>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Efter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en högdos sugammadex (16 mg/kg) bör man vänta 24 timmar</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innan rokuronium ges på nytt.</w:t>
      </w:r>
    </w:p>
    <w:p w:rsidR="336AA8C9" w:rsidP="6C9BDD5F" w:rsidRDefault="336AA8C9" w14:paraId="521595B7" w14:textId="41C078EA">
      <w:pPr>
        <w:bidi w:val="0"/>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Alternativt kan succinylkolin eller atrakurium användas, beroende på den kliniska situationen. Detta är ofta en mer rimlig strategi för neuromuskulär blockad efter reversering med sugammadex.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Atrakurium bör därför finnas tillgängligt på operationsavdelningar med akut verksamhet</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p>
    <w:p w:rsidR="336AA8C9" w:rsidP="6C9BDD5F" w:rsidRDefault="336AA8C9" w14:paraId="2BAE5B1C" w14:textId="5A0FB0A8">
      <w:pPr>
        <w:bidi w:val="0"/>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Mot bakgrund av ovanstående rekommenderas att </w:t>
      </w:r>
      <w:r w:rsidRPr="6C9BDD5F" w:rsidR="336AA8C9">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minsta effektiva dos sugammadex används, anpassad efter TOF-värdet</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p>
    <w:p w:rsidR="336AA8C9" w:rsidP="6C9BDD5F" w:rsidRDefault="336AA8C9" w14:paraId="0C3A6F4C" w14:textId="1D138F43">
      <w:pPr>
        <w:pStyle w:val="Heading2"/>
        <w:keepNext w:val="1"/>
        <w:keepLines w:val="1"/>
        <w:bidi w:val="0"/>
        <w:spacing w:before="240" w:after="40" w:line="240" w:lineRule="auto"/>
        <w:ind w:right="868"/>
        <w:rPr>
          <w:rFonts w:ascii="Verdana" w:hAnsi="Verdana" w:eastAsia="Verdana" w:cs="Verdana"/>
          <w:b w:val="0"/>
          <w:bCs w:val="0"/>
          <w:i w:val="0"/>
          <w:iCs w:val="0"/>
          <w:caps w:val="0"/>
          <w:smallCaps w:val="0"/>
          <w:noProof w:val="0"/>
          <w:color w:val="000000" w:themeColor="text2" w:themeTint="FF" w:themeShade="FF"/>
          <w:sz w:val="40"/>
          <w:szCs w:val="40"/>
          <w:lang w:val="sv-SE"/>
        </w:rPr>
      </w:pPr>
      <w:bookmarkStart w:name="_Toc1246736237" w:id="1398459989"/>
      <w:r w:rsidRPr="6C9BDD5F" w:rsidR="336AA8C9">
        <w:rPr>
          <w:rFonts w:ascii="Verdana" w:hAnsi="Verdana" w:eastAsia="Verdana" w:cs="Verdana"/>
          <w:b w:val="0"/>
          <w:bCs w:val="0"/>
          <w:i w:val="0"/>
          <w:iCs w:val="0"/>
          <w:caps w:val="0"/>
          <w:smallCaps w:val="0"/>
          <w:noProof w:val="0"/>
          <w:color w:val="000000" w:themeColor="text2" w:themeTint="FF" w:themeShade="FF"/>
          <w:sz w:val="40"/>
          <w:szCs w:val="40"/>
          <w:lang w:val="sv-SE"/>
        </w:rPr>
        <w:t>Referenser</w:t>
      </w:r>
      <w:bookmarkEnd w:id="1398459989"/>
    </w:p>
    <w:p w:rsidR="336AA8C9" w:rsidP="6C9BDD5F" w:rsidRDefault="336AA8C9" w14:paraId="7C369E5A" w14:textId="6FC37C9D">
      <w:pPr>
        <w:pStyle w:val="ListParagraph"/>
        <w:bidi w:val="0"/>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t xml:space="preserve">Fusch-Buder T et al:Peri-operative management of neuromuscular blockade. </w:t>
      </w: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Eur J Anaesthesiol 2023; 40:82–94</w:t>
      </w:r>
    </w:p>
    <w:p w:rsidR="336AA8C9" w:rsidP="6C9BDD5F" w:rsidRDefault="336AA8C9" w14:paraId="2148B290" w14:textId="6205499E">
      <w:pPr>
        <w:pStyle w:val="ListParagraph"/>
        <w:bidi w:val="0"/>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Kirmeier E et al.: Post-anesthesia pulmonary complications after use of muscle relaxants (POPULAR): a multicenter prospective observational study. Lancet Respir Med. 2019; 7: 129-140</w:t>
      </w:r>
    </w:p>
    <w:p w:rsidR="336AA8C9" w:rsidP="6C9BDD5F" w:rsidRDefault="336AA8C9" w14:paraId="50F59FA3" w14:textId="030ABEE0">
      <w:pPr>
        <w:pStyle w:val="ListParagraph"/>
        <w:bidi w:val="0"/>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Yoo YC, Kim NY, Shin S, et al.: The Intraocular Pressure under Deep versus Moderate Neuromuscular Blockade during Low-Pressure Robot Assisted Laparoscopic Radical Prostatectomy in a Randomized Trial. PLoS One. 2015; 10(8)</w:t>
      </w:r>
    </w:p>
    <w:p w:rsidR="336AA8C9" w:rsidP="6C9BDD5F" w:rsidRDefault="336AA8C9" w14:paraId="297531BF" w14:textId="5AE334B0">
      <w:pPr>
        <w:pStyle w:val="ListParagraph"/>
        <w:bidi w:val="0"/>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Rosenberg J, Herring WJ, Blobner M, et al.: Deep Neuromuscular Blockade Improves Laparoscopic Surgical Conditions: A Randomized, Controlled Study. Adv Ther. 2017; 34(4): 925–36</w:t>
      </w:r>
    </w:p>
    <w:p w:rsidR="336AA8C9" w:rsidP="6C9BDD5F" w:rsidRDefault="336AA8C9" w14:paraId="0670519D" w14:textId="34B67417">
      <w:pPr>
        <w:pStyle w:val="ListParagraph"/>
        <w:bidi w:val="0"/>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t>Naguib M, Brull SJ, Johnson KB. Conceptual and technical insights into the basis of neuromuscular monitoring. Anaesthesia. 2017 Jan;72 Suppl 1:16-37.</w:t>
      </w:r>
    </w:p>
    <w:p w:rsidR="336AA8C9" w:rsidP="6C9BDD5F" w:rsidRDefault="336AA8C9" w14:paraId="583F46F3" w14:textId="38AF8A15">
      <w:pPr>
        <w:pStyle w:val="ListParagraph"/>
        <w:bidi w:val="0"/>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t>Ipsilateral and Simultaneous Comparison of Responses from Acceleromyography- and Electromyography-based Neuromuscular Monitors. Nemes, R.  Anesthesiology. 135(4):597-611, October 2021</w:t>
      </w:r>
    </w:p>
    <w:p w:rsidR="336AA8C9" w:rsidP="6C9BDD5F" w:rsidRDefault="336AA8C9" w14:paraId="29FD7C87" w14:textId="7748C0CB">
      <w:pPr>
        <w:pStyle w:val="ListParagraph"/>
        <w:bidi w:val="0"/>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t>Bowdle: A comparison of a prototype electromyograph vs. a mechanomyograph and an acceleromyograph for assessment of neuromuscular blockade. Anaesthesia. 2020 Feb; 75(2): 187–195</w:t>
      </w:r>
    </w:p>
    <w:p w:rsidR="336AA8C9" w:rsidP="6C9BDD5F" w:rsidRDefault="336AA8C9" w14:paraId="62B4E22E" w14:textId="7E0E5A80">
      <w:pPr>
        <w:pStyle w:val="ListParagraph"/>
        <w:bidi w:val="0"/>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Fuchs-Buder et al. Neuromuscular monitoring Anaesthesia, 2009, 64 (Suppl. 1), pages 82–89</w:t>
      </w:r>
    </w:p>
    <w:p w:rsidR="336AA8C9" w:rsidP="6C9BDD5F" w:rsidRDefault="336AA8C9" w14:paraId="1EBB4BB0" w14:textId="3A1E5CB4">
      <w:pPr>
        <w:pStyle w:val="ListParagraph"/>
        <w:bidi w:val="0"/>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ATOTW 290 – Residual Neuromuscular Blockade, 26/08/2013</w:t>
      </w:r>
    </w:p>
    <w:p w:rsidR="336AA8C9" w:rsidP="6C9BDD5F" w:rsidRDefault="336AA8C9" w14:paraId="75E563A8" w14:textId="02FA9816">
      <w:pPr>
        <w:pStyle w:val="ListParagraph"/>
        <w:bidi w:val="0"/>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Rutin „Muskelrelaxantia och reversering av muskelrelaxantia” Verksamhet Anestesi Operation IVA Östra</w:t>
      </w:r>
    </w:p>
    <w:p w:rsidR="336AA8C9" w:rsidP="6C9BDD5F" w:rsidRDefault="336AA8C9" w14:paraId="6BB12FB5" w14:textId="5A6CC1C6">
      <w:pPr>
        <w:pStyle w:val="ListParagraph"/>
        <w:bidi w:val="0"/>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Rutin „Muskelrelaxantia, TOF-mätning och reversering” Verksamhet An-Op-IVA Mölndal</w:t>
      </w:r>
    </w:p>
    <w:p w:rsidR="336AA8C9" w:rsidP="6C9BDD5F" w:rsidRDefault="336AA8C9" w14:paraId="3755E7CA" w14:textId="306D076F">
      <w:pPr>
        <w:pStyle w:val="ListParagraph"/>
        <w:bidi w:val="0"/>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Kim YH. Repeat dosing of rocuronium-sugammadex: unpredictable. Korean J Anesthesiol. 2014 Jul;67(1):1-3.</w:t>
      </w:r>
    </w:p>
    <w:p w:rsidR="336AA8C9" w:rsidP="6C9BDD5F" w:rsidRDefault="336AA8C9" w14:paraId="41E6E7F4" w14:textId="4E31DC11">
      <w:pPr>
        <w:pStyle w:val="ListParagraph"/>
        <w:bidi w:val="0"/>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Cammu, G et al.: Repeat dosing of rocuronium 1.2 mg kg−1 after reversal of neuromuscular block by sugammadex 4.0 mg kg−1 in anaesthetized healthy volunteers: a modelling-based pilot study, British Journal of Anaesthesia, Volume 105, Issue 4, 487 - 492</w:t>
      </w:r>
    </w:p>
    <w:p w:rsidR="6C9BDD5F" w:rsidP="6C9BDD5F" w:rsidRDefault="6C9BDD5F" w14:paraId="55A13DEE" w14:textId="1C13A233">
      <w:pPr>
        <w:pStyle w:val="Heading2"/>
        <w:keepNext w:val="1"/>
        <w:keepLines w:val="1"/>
        <w:bidi w:val="0"/>
        <w:spacing w:before="240" w:after="40" w:line="240" w:lineRule="auto"/>
        <w:ind w:right="868"/>
        <w:rPr>
          <w:rFonts w:ascii="Verdana" w:hAnsi="Verdana" w:eastAsia="Verdana" w:cs="Verdana"/>
          <w:b w:val="0"/>
          <w:bCs w:val="0"/>
          <w:i w:val="0"/>
          <w:iCs w:val="0"/>
          <w:caps w:val="0"/>
          <w:smallCaps w:val="0"/>
          <w:noProof w:val="0"/>
          <w:color w:val="000000" w:themeColor="text2" w:themeTint="FF" w:themeShade="FF"/>
          <w:sz w:val="40"/>
          <w:szCs w:val="40"/>
          <w:lang w:val="sv-SE"/>
        </w:rPr>
      </w:pPr>
    </w:p>
    <w:p w:rsidR="6C9BDD5F" w:rsidRDefault="6C9BDD5F" w14:paraId="3918CBE9" w14:textId="43495794">
      <w:r>
        <w:br w:type="page"/>
      </w:r>
    </w:p>
    <w:p w:rsidR="336AA8C9" w:rsidP="6C9BDD5F" w:rsidRDefault="336AA8C9" w14:paraId="6A44AD22" w14:textId="53E5D0D2">
      <w:pPr>
        <w:pStyle w:val="Heading2"/>
        <w:keepNext w:val="1"/>
        <w:keepLines w:val="1"/>
        <w:bidi w:val="0"/>
        <w:spacing w:before="240" w:after="40" w:line="240" w:lineRule="auto"/>
        <w:ind w:right="868"/>
        <w:rPr>
          <w:rFonts w:ascii="Verdana" w:hAnsi="Verdana" w:eastAsia="Verdana" w:cs="Verdana"/>
          <w:b w:val="0"/>
          <w:bCs w:val="0"/>
          <w:i w:val="0"/>
          <w:iCs w:val="0"/>
          <w:caps w:val="0"/>
          <w:smallCaps w:val="0"/>
          <w:noProof w:val="0"/>
          <w:color w:val="000000" w:themeColor="text2" w:themeTint="FF" w:themeShade="FF"/>
          <w:sz w:val="40"/>
          <w:szCs w:val="40"/>
          <w:lang w:val="sv-SE"/>
        </w:rPr>
      </w:pPr>
      <w:bookmarkStart w:name="_Toc1883688750" w:id="1832675736"/>
      <w:r w:rsidRPr="6C9BDD5F" w:rsidR="336AA8C9">
        <w:rPr>
          <w:rFonts w:ascii="Verdana" w:hAnsi="Verdana" w:eastAsia="Verdana" w:cs="Verdana"/>
          <w:b w:val="0"/>
          <w:bCs w:val="0"/>
          <w:i w:val="0"/>
          <w:iCs w:val="0"/>
          <w:caps w:val="0"/>
          <w:smallCaps w:val="0"/>
          <w:noProof w:val="0"/>
          <w:color w:val="000000" w:themeColor="text2" w:themeTint="FF" w:themeShade="FF"/>
          <w:sz w:val="40"/>
          <w:szCs w:val="40"/>
          <w:lang w:val="sv-SE"/>
        </w:rPr>
        <w:t>Granskare</w:t>
      </w:r>
      <w:bookmarkEnd w:id="1832675736"/>
    </w:p>
    <w:p w:rsidR="6C9BDD5F" w:rsidP="6C9BDD5F" w:rsidRDefault="6C9BDD5F" w14:paraId="0F9C61C2" w14:textId="6C49AE31">
      <w:pPr>
        <w:bidi w:val="0"/>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336AA8C9" w:rsidP="6C9BDD5F" w:rsidRDefault="336AA8C9" w14:paraId="11F91E4B" w14:textId="42C7D711">
      <w:pPr>
        <w:bidi w:val="0"/>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Peter Larsson Sektionschef/Överläkare, Område 5, SU/SS</w:t>
      </w:r>
    </w:p>
    <w:p w:rsidR="336AA8C9" w:rsidP="6C9BDD5F" w:rsidRDefault="336AA8C9" w14:paraId="45ADD65D" w14:textId="7D20FC5C">
      <w:pPr>
        <w:bidi w:val="0"/>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Ellinor Wisén Sektionschef/Överläkare, Område 5, SU/SS</w:t>
      </w:r>
    </w:p>
    <w:p w:rsidR="336AA8C9" w:rsidP="6C9BDD5F" w:rsidRDefault="336AA8C9" w14:paraId="6DDC4440" w14:textId="2B93DC54">
      <w:pPr>
        <w:bidi w:val="0"/>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Mathias Konkel VÖL Op 1, Område 5, SU/SS</w:t>
      </w:r>
    </w:p>
    <w:p w:rsidR="336AA8C9" w:rsidP="6C9BDD5F" w:rsidRDefault="336AA8C9" w14:paraId="397A5DCA" w14:textId="642BE760">
      <w:pPr>
        <w:bidi w:val="0"/>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Tobias Bown, VÖL Op5, Område 5, SU/SS</w:t>
      </w:r>
    </w:p>
    <w:p w:rsidR="336AA8C9" w:rsidP="6C9BDD5F" w:rsidRDefault="336AA8C9" w14:paraId="32F46298" w14:textId="015A6A40">
      <w:pPr>
        <w:bidi w:val="0"/>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Carl Hallgren VÖL Intervention, Område 5, SU/SS</w:t>
      </w:r>
    </w:p>
    <w:p w:rsidR="336AA8C9" w:rsidP="6C9BDD5F" w:rsidRDefault="336AA8C9" w14:paraId="3D23DC2D" w14:textId="16779727">
      <w:pPr>
        <w:bidi w:val="0"/>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Hanna Drougge, VÖL Op6, Område 5, SU/SS</w:t>
      </w:r>
    </w:p>
    <w:p w:rsidR="336AA8C9" w:rsidP="6C9BDD5F" w:rsidRDefault="336AA8C9" w14:paraId="3D5796BF" w14:textId="1482337E">
      <w:pPr>
        <w:bidi w:val="0"/>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Christopher Lundborg VÖL Op 7, Område 5, SU/SS</w:t>
      </w:r>
    </w:p>
    <w:p w:rsidR="336AA8C9" w:rsidP="6C9BDD5F" w:rsidRDefault="336AA8C9" w14:paraId="424A958A" w14:textId="59AE1C62">
      <w:pPr>
        <w:bidi w:val="0"/>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Alexandru Ille VÖL Op 8, Område 5, SU /SS</w:t>
      </w:r>
    </w:p>
    <w:p w:rsidR="336AA8C9" w:rsidP="6C9BDD5F" w:rsidRDefault="336AA8C9" w14:paraId="7F1886C3" w14:textId="716BF23D">
      <w:pPr>
        <w:bidi w:val="0"/>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Per Persson VÖL CIVA, Område 5, SU/SS</w:t>
      </w:r>
    </w:p>
    <w:p w:rsidR="336AA8C9" w:rsidP="6C9BDD5F" w:rsidRDefault="336AA8C9" w14:paraId="1C0113C8" w14:textId="6F415CE6">
      <w:pPr>
        <w:bidi w:val="0"/>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336AA8C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Jane Hayden VÖL NIVA, Område 5, SU/SS</w:t>
      </w:r>
    </w:p>
    <w:p w:rsidR="43E691C1" w:rsidP="6C9BDD5F" w:rsidRDefault="43E691C1" w14:paraId="123BB823" w14:textId="4491F2EA">
      <w:pPr>
        <w:bidi w:val="0"/>
        <w:spacing w:after="120" w:line="288" w:lineRule="auto"/>
        <w:ind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6C9BDD5F" w:rsidR="43E691C1">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Jonas </w:t>
      </w:r>
      <w:r w:rsidRPr="6C9BDD5F" w:rsidR="43E691C1">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Grevsten</w:t>
      </w:r>
      <w:r w:rsidRPr="6C9BDD5F" w:rsidR="43E691C1">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VÖL PIVA, Område 5, SU/SS</w:t>
      </w:r>
      <w:r>
        <w:br/>
      </w:r>
    </w:p>
    <w:p w:rsidR="17B9D1BF" w:rsidP="003B12A9" w:rsidRDefault="17B9D1BF" w14:paraId="59CC453E" w14:textId="3BDECE27"/>
    <w:sectPr w:rsidR="17B9D1BF" w:rsidSect="00B96AFF">
      <w:headerReference w:type="default" r:id="rId14"/>
      <w:footerReference w:type="even" r:id="rId15"/>
      <w:footerReference w:type="default" r:id="rId16"/>
      <w:headerReference w:type="first" r:id="rId17"/>
      <w:footerReference w:type="first" r:id="rId18"/>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B0835" w:rsidRDefault="002B0835" w14:paraId="771FFA23" w14:textId="77777777">
      <w:r>
        <w:separator/>
      </w:r>
    </w:p>
  </w:endnote>
  <w:endnote w:type="continuationSeparator" w:id="0">
    <w:p w:rsidR="002B0835" w:rsidRDefault="002B0835" w14:paraId="5069D0D7" w14:textId="77777777">
      <w:r>
        <w:continuationSeparator/>
      </w:r>
    </w:p>
  </w:endnote>
  <w:endnote w:type="continuationNotice" w:id="1">
    <w:p w:rsidR="002B0835" w:rsidRDefault="002B0835" w14:paraId="1E6C9F0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76DF6159">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B0835" w:rsidRDefault="002B0835" w14:paraId="79136F2B" w14:textId="77777777"/>
  </w:footnote>
  <w:footnote w:type="continuationSeparator" w:id="0">
    <w:p w:rsidR="002B0835" w:rsidRDefault="002B0835" w14:paraId="0A8BAE9E" w14:textId="77777777">
      <w:r>
        <w:continuationSeparator/>
      </w:r>
    </w:p>
  </w:footnote>
  <w:footnote w:type="continuationNotice" w:id="1">
    <w:p w:rsidR="002B0835" w:rsidRDefault="002B0835" w14:paraId="1773594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8569C6" w14:paraId="058CDD4D" w14:textId="0FD65030">
    <w:pPr>
      <w:pStyle w:val="Header"/>
      <w:ind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27">
    <w:nsid w:val="a0178a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6">
    <w:nsid w:val="31e36853"/>
    <w:multiLevelType xmlns:w="http://schemas.openxmlformats.org/wordprocessingml/2006/main" w:val="hybridMultilevel"/>
    <w:lvl xmlns:w="http://schemas.openxmlformats.org/wordprocessingml/2006/main" w:ilvl="0">
      <w:start w:val="1"/>
      <w:numFmt w:val="bullet"/>
      <w:lvlText w:val=""/>
      <w:lvlJc w:val="left"/>
      <w:pPr>
        <w:ind w:left="717"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5">
    <w:nsid w:val="60caa05b"/>
    <w:multiLevelType xmlns:w="http://schemas.openxmlformats.org/wordprocessingml/2006/main" w:val="hybridMultilevel"/>
    <w:lvl xmlns:w="http://schemas.openxmlformats.org/wordprocessingml/2006/main" w:ilvl="0">
      <w:start w:val="1"/>
      <w:numFmt w:val="bullet"/>
      <w:lvlText w:val=""/>
      <w:lvlJc w:val="left"/>
      <w:pPr>
        <w:ind w:left="717"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4">
    <w:nsid w:val="60ef6c57"/>
    <w:multiLevelType xmlns:w="http://schemas.openxmlformats.org/wordprocessingml/2006/main" w:val="hybridMultilevel"/>
    <w:lvl xmlns:w="http://schemas.openxmlformats.org/wordprocessingml/2006/main" w:ilvl="0">
      <w:start w:val="1"/>
      <w:numFmt w:val="bullet"/>
      <w:lvlText w:val=""/>
      <w:lvlJc w:val="left"/>
      <w:pPr>
        <w:ind w:left="717"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3">
    <w:nsid w:val="6cde307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18A3139"/>
    <w:multiLevelType w:val="hybridMultilevel"/>
    <w:tmpl w:val="0FEACD00"/>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032CE3"/>
    <w:multiLevelType w:val="hybridMultilevel"/>
    <w:tmpl w:val="83BC44A8"/>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20D73C1"/>
    <w:multiLevelType w:val="hybridMultilevel"/>
    <w:tmpl w:val="E0E4258A"/>
    <w:lvl w:ilvl="0" w:tplc="040E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54B7D38"/>
    <w:multiLevelType w:val="hybridMultilevel"/>
    <w:tmpl w:val="4EEC1B8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D1E3EB5"/>
    <w:multiLevelType w:val="hybridMultilevel"/>
    <w:tmpl w:val="CF56A970"/>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29">
    <w:abstractNumId w:val="27"/>
  </w:num>
  <w:num w:numId="28">
    <w:abstractNumId w:val="26"/>
  </w:num>
  <w:num w:numId="27">
    <w:abstractNumId w:val="25"/>
  </w:num>
  <w:num w:numId="26">
    <w:abstractNumId w:val="24"/>
  </w:num>
  <w:num w:numId="25">
    <w:abstractNumId w:val="23"/>
  </w:num>
  <w:num w:numId="1" w16cid:durableId="1973822095">
    <w:abstractNumId w:val="22"/>
  </w:num>
  <w:num w:numId="2" w16cid:durableId="557475101">
    <w:abstractNumId w:val="17"/>
  </w:num>
  <w:num w:numId="3" w16cid:durableId="1983582419">
    <w:abstractNumId w:val="0"/>
  </w:num>
  <w:num w:numId="4" w16cid:durableId="1062679490">
    <w:abstractNumId w:val="8"/>
  </w:num>
  <w:num w:numId="5" w16cid:durableId="1383597797">
    <w:abstractNumId w:val="18"/>
  </w:num>
  <w:num w:numId="6" w16cid:durableId="2139571023">
    <w:abstractNumId w:val="3"/>
  </w:num>
  <w:num w:numId="7" w16cid:durableId="384137401">
    <w:abstractNumId w:val="13"/>
  </w:num>
  <w:num w:numId="8" w16cid:durableId="853424428">
    <w:abstractNumId w:val="10"/>
  </w:num>
  <w:num w:numId="9" w16cid:durableId="1469663497">
    <w:abstractNumId w:val="1"/>
  </w:num>
  <w:num w:numId="10" w16cid:durableId="1255936468">
    <w:abstractNumId w:val="1"/>
  </w:num>
  <w:num w:numId="11" w16cid:durableId="1529954642">
    <w:abstractNumId w:val="5"/>
  </w:num>
  <w:num w:numId="12" w16cid:durableId="1460420407">
    <w:abstractNumId w:val="6"/>
  </w:num>
  <w:num w:numId="13" w16cid:durableId="1286547131">
    <w:abstractNumId w:val="16"/>
  </w:num>
  <w:num w:numId="14" w16cid:durableId="456220008">
    <w:abstractNumId w:val="11"/>
  </w:num>
  <w:num w:numId="15" w16cid:durableId="946503039">
    <w:abstractNumId w:val="9"/>
  </w:num>
  <w:num w:numId="16" w16cid:durableId="547374521">
    <w:abstractNumId w:val="14"/>
  </w:num>
  <w:num w:numId="17" w16cid:durableId="207304447">
    <w:abstractNumId w:val="7"/>
  </w:num>
  <w:num w:numId="18" w16cid:durableId="1039159729">
    <w:abstractNumId w:val="12"/>
  </w:num>
  <w:num w:numId="19" w16cid:durableId="39402930">
    <w:abstractNumId w:val="20"/>
  </w:num>
  <w:num w:numId="20" w16cid:durableId="706763604">
    <w:abstractNumId w:val="15"/>
  </w:num>
  <w:num w:numId="21" w16cid:durableId="202865718">
    <w:abstractNumId w:val="2"/>
  </w:num>
  <w:num w:numId="22" w16cid:durableId="1910116716">
    <w:abstractNumId w:val="21"/>
  </w:num>
  <w:num w:numId="23" w16cid:durableId="126094699">
    <w:abstractNumId w:val="4"/>
  </w:num>
  <w:num w:numId="24" w16cid:durableId="125057558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AEE"/>
    <w:rsid w:val="000051D5"/>
    <w:rsid w:val="00006D2A"/>
    <w:rsid w:val="00010D47"/>
    <w:rsid w:val="00011AFE"/>
    <w:rsid w:val="00013CDC"/>
    <w:rsid w:val="00016CF0"/>
    <w:rsid w:val="0002678A"/>
    <w:rsid w:val="00030DDD"/>
    <w:rsid w:val="000313BB"/>
    <w:rsid w:val="00033ED5"/>
    <w:rsid w:val="00035774"/>
    <w:rsid w:val="00042DC0"/>
    <w:rsid w:val="00050500"/>
    <w:rsid w:val="0005691C"/>
    <w:rsid w:val="00056ECB"/>
    <w:rsid w:val="00056ED5"/>
    <w:rsid w:val="00061969"/>
    <w:rsid w:val="000625DB"/>
    <w:rsid w:val="00062E47"/>
    <w:rsid w:val="000638FF"/>
    <w:rsid w:val="000655CC"/>
    <w:rsid w:val="00066C86"/>
    <w:rsid w:val="000700AE"/>
    <w:rsid w:val="00084024"/>
    <w:rsid w:val="0009062C"/>
    <w:rsid w:val="000920C5"/>
    <w:rsid w:val="00095368"/>
    <w:rsid w:val="000954C4"/>
    <w:rsid w:val="000A59C7"/>
    <w:rsid w:val="000A611A"/>
    <w:rsid w:val="000B0256"/>
    <w:rsid w:val="000B12D9"/>
    <w:rsid w:val="000B4536"/>
    <w:rsid w:val="000B6C0A"/>
    <w:rsid w:val="000B7715"/>
    <w:rsid w:val="000D0108"/>
    <w:rsid w:val="000D7D83"/>
    <w:rsid w:val="000E463B"/>
    <w:rsid w:val="000E5A7E"/>
    <w:rsid w:val="000F43A3"/>
    <w:rsid w:val="000F7681"/>
    <w:rsid w:val="00101375"/>
    <w:rsid w:val="00103031"/>
    <w:rsid w:val="001044FE"/>
    <w:rsid w:val="001139D4"/>
    <w:rsid w:val="00121DE1"/>
    <w:rsid w:val="00130025"/>
    <w:rsid w:val="00131B08"/>
    <w:rsid w:val="00132A59"/>
    <w:rsid w:val="00133337"/>
    <w:rsid w:val="00133A0F"/>
    <w:rsid w:val="0013580F"/>
    <w:rsid w:val="00137B6D"/>
    <w:rsid w:val="0014070B"/>
    <w:rsid w:val="001422C1"/>
    <w:rsid w:val="001501B7"/>
    <w:rsid w:val="001522AE"/>
    <w:rsid w:val="00157D5B"/>
    <w:rsid w:val="00161FE6"/>
    <w:rsid w:val="00163366"/>
    <w:rsid w:val="00164C3D"/>
    <w:rsid w:val="00166D3A"/>
    <w:rsid w:val="0017508E"/>
    <w:rsid w:val="00177E11"/>
    <w:rsid w:val="00181628"/>
    <w:rsid w:val="00181FDC"/>
    <w:rsid w:val="00184167"/>
    <w:rsid w:val="001860B9"/>
    <w:rsid w:val="00186F2B"/>
    <w:rsid w:val="001874D6"/>
    <w:rsid w:val="0019610E"/>
    <w:rsid w:val="0019632A"/>
    <w:rsid w:val="001A0B11"/>
    <w:rsid w:val="001A4E7C"/>
    <w:rsid w:val="001B762C"/>
    <w:rsid w:val="001C4636"/>
    <w:rsid w:val="001C4D0A"/>
    <w:rsid w:val="001C5FEF"/>
    <w:rsid w:val="001E2D69"/>
    <w:rsid w:val="001E3789"/>
    <w:rsid w:val="00211487"/>
    <w:rsid w:val="00211D91"/>
    <w:rsid w:val="00217DEC"/>
    <w:rsid w:val="00235B57"/>
    <w:rsid w:val="00243584"/>
    <w:rsid w:val="00250F24"/>
    <w:rsid w:val="0025193F"/>
    <w:rsid w:val="002523C5"/>
    <w:rsid w:val="0025380B"/>
    <w:rsid w:val="0025703A"/>
    <w:rsid w:val="00262280"/>
    <w:rsid w:val="00262F3D"/>
    <w:rsid w:val="00263281"/>
    <w:rsid w:val="002651D6"/>
    <w:rsid w:val="0026551F"/>
    <w:rsid w:val="00270FA8"/>
    <w:rsid w:val="0027762B"/>
    <w:rsid w:val="00280A85"/>
    <w:rsid w:val="00284119"/>
    <w:rsid w:val="00290B5C"/>
    <w:rsid w:val="00290B5E"/>
    <w:rsid w:val="0029135B"/>
    <w:rsid w:val="00291FDF"/>
    <w:rsid w:val="00294791"/>
    <w:rsid w:val="002A1C4F"/>
    <w:rsid w:val="002A1D2B"/>
    <w:rsid w:val="002A7450"/>
    <w:rsid w:val="002B0835"/>
    <w:rsid w:val="002B0B30"/>
    <w:rsid w:val="002B0C78"/>
    <w:rsid w:val="002B4D2A"/>
    <w:rsid w:val="002C0C02"/>
    <w:rsid w:val="002C1277"/>
    <w:rsid w:val="002C60AD"/>
    <w:rsid w:val="002D05F7"/>
    <w:rsid w:val="002D0E0E"/>
    <w:rsid w:val="002D6023"/>
    <w:rsid w:val="002E263F"/>
    <w:rsid w:val="002E6F81"/>
    <w:rsid w:val="002F08BA"/>
    <w:rsid w:val="002F2CFF"/>
    <w:rsid w:val="002F568B"/>
    <w:rsid w:val="002F7818"/>
    <w:rsid w:val="003016AD"/>
    <w:rsid w:val="00302DCF"/>
    <w:rsid w:val="003046E4"/>
    <w:rsid w:val="003066D0"/>
    <w:rsid w:val="00311401"/>
    <w:rsid w:val="003203D7"/>
    <w:rsid w:val="00320EF6"/>
    <w:rsid w:val="00320F86"/>
    <w:rsid w:val="00323C3D"/>
    <w:rsid w:val="00323C77"/>
    <w:rsid w:val="00324171"/>
    <w:rsid w:val="00326C24"/>
    <w:rsid w:val="00334AA1"/>
    <w:rsid w:val="0033774E"/>
    <w:rsid w:val="00337F99"/>
    <w:rsid w:val="003410BD"/>
    <w:rsid w:val="0034307B"/>
    <w:rsid w:val="00345EB1"/>
    <w:rsid w:val="00346B75"/>
    <w:rsid w:val="00350CC4"/>
    <w:rsid w:val="00360E0D"/>
    <w:rsid w:val="0036357D"/>
    <w:rsid w:val="00365025"/>
    <w:rsid w:val="0036594C"/>
    <w:rsid w:val="00367095"/>
    <w:rsid w:val="00367D19"/>
    <w:rsid w:val="00371BED"/>
    <w:rsid w:val="00384019"/>
    <w:rsid w:val="003854F1"/>
    <w:rsid w:val="0039118E"/>
    <w:rsid w:val="00397F54"/>
    <w:rsid w:val="003A0802"/>
    <w:rsid w:val="003A0D43"/>
    <w:rsid w:val="003B12A9"/>
    <w:rsid w:val="003B2A4B"/>
    <w:rsid w:val="003C210A"/>
    <w:rsid w:val="003C52E7"/>
    <w:rsid w:val="003C61BB"/>
    <w:rsid w:val="003D099E"/>
    <w:rsid w:val="003D21A2"/>
    <w:rsid w:val="003D29D2"/>
    <w:rsid w:val="003D4772"/>
    <w:rsid w:val="003D6DF1"/>
    <w:rsid w:val="003E0705"/>
    <w:rsid w:val="003E2FF7"/>
    <w:rsid w:val="003F1013"/>
    <w:rsid w:val="003F1ACF"/>
    <w:rsid w:val="00404948"/>
    <w:rsid w:val="00406BEA"/>
    <w:rsid w:val="00410786"/>
    <w:rsid w:val="00413A60"/>
    <w:rsid w:val="00421B7A"/>
    <w:rsid w:val="004230F7"/>
    <w:rsid w:val="0043167E"/>
    <w:rsid w:val="0043409A"/>
    <w:rsid w:val="00436784"/>
    <w:rsid w:val="00446255"/>
    <w:rsid w:val="00451935"/>
    <w:rsid w:val="00451CCD"/>
    <w:rsid w:val="00460ED0"/>
    <w:rsid w:val="00465651"/>
    <w:rsid w:val="00470CE7"/>
    <w:rsid w:val="00470F4F"/>
    <w:rsid w:val="00472482"/>
    <w:rsid w:val="0047538D"/>
    <w:rsid w:val="00480DC7"/>
    <w:rsid w:val="004862AF"/>
    <w:rsid w:val="004876F6"/>
    <w:rsid w:val="0049236A"/>
    <w:rsid w:val="00492718"/>
    <w:rsid w:val="004A355D"/>
    <w:rsid w:val="004A4970"/>
    <w:rsid w:val="004B2183"/>
    <w:rsid w:val="004B2A01"/>
    <w:rsid w:val="004C3536"/>
    <w:rsid w:val="004C41AD"/>
    <w:rsid w:val="004C57D1"/>
    <w:rsid w:val="004D2E26"/>
    <w:rsid w:val="004D5521"/>
    <w:rsid w:val="004D7BA3"/>
    <w:rsid w:val="004D7FFC"/>
    <w:rsid w:val="004F4518"/>
    <w:rsid w:val="004F4C62"/>
    <w:rsid w:val="0050118D"/>
    <w:rsid w:val="00501433"/>
    <w:rsid w:val="00511CC4"/>
    <w:rsid w:val="00520602"/>
    <w:rsid w:val="00523B9F"/>
    <w:rsid w:val="00531E60"/>
    <w:rsid w:val="00541D07"/>
    <w:rsid w:val="00544BAB"/>
    <w:rsid w:val="00545F31"/>
    <w:rsid w:val="00551875"/>
    <w:rsid w:val="00552721"/>
    <w:rsid w:val="005578FA"/>
    <w:rsid w:val="00557D93"/>
    <w:rsid w:val="00565129"/>
    <w:rsid w:val="00565CD0"/>
    <w:rsid w:val="00565FF3"/>
    <w:rsid w:val="00567820"/>
    <w:rsid w:val="005770AD"/>
    <w:rsid w:val="00581414"/>
    <w:rsid w:val="00582490"/>
    <w:rsid w:val="00583E67"/>
    <w:rsid w:val="00597E28"/>
    <w:rsid w:val="005A54ED"/>
    <w:rsid w:val="005A5D5B"/>
    <w:rsid w:val="005A6081"/>
    <w:rsid w:val="005A627D"/>
    <w:rsid w:val="005A71F8"/>
    <w:rsid w:val="005C0045"/>
    <w:rsid w:val="005C084E"/>
    <w:rsid w:val="005C4606"/>
    <w:rsid w:val="005C62A0"/>
    <w:rsid w:val="005D0B0C"/>
    <w:rsid w:val="005D0F8C"/>
    <w:rsid w:val="005E02B3"/>
    <w:rsid w:val="005E1BCE"/>
    <w:rsid w:val="005E1E24"/>
    <w:rsid w:val="0060596B"/>
    <w:rsid w:val="00606D97"/>
    <w:rsid w:val="006134BF"/>
    <w:rsid w:val="00614E64"/>
    <w:rsid w:val="00617710"/>
    <w:rsid w:val="00617EE6"/>
    <w:rsid w:val="0062184C"/>
    <w:rsid w:val="00623724"/>
    <w:rsid w:val="00627BEA"/>
    <w:rsid w:val="006319DB"/>
    <w:rsid w:val="00633CB7"/>
    <w:rsid w:val="0064CDA5"/>
    <w:rsid w:val="006523F1"/>
    <w:rsid w:val="0065595B"/>
    <w:rsid w:val="00656DCD"/>
    <w:rsid w:val="006575AF"/>
    <w:rsid w:val="00660269"/>
    <w:rsid w:val="006603BB"/>
    <w:rsid w:val="00665841"/>
    <w:rsid w:val="00665F89"/>
    <w:rsid w:val="00670B91"/>
    <w:rsid w:val="0067100C"/>
    <w:rsid w:val="0067167F"/>
    <w:rsid w:val="0067354C"/>
    <w:rsid w:val="00673C92"/>
    <w:rsid w:val="006753EC"/>
    <w:rsid w:val="00675A29"/>
    <w:rsid w:val="00677359"/>
    <w:rsid w:val="00677F19"/>
    <w:rsid w:val="00685193"/>
    <w:rsid w:val="00694F6D"/>
    <w:rsid w:val="006A2789"/>
    <w:rsid w:val="006A4978"/>
    <w:rsid w:val="006A6DEC"/>
    <w:rsid w:val="006A6FD8"/>
    <w:rsid w:val="006A7261"/>
    <w:rsid w:val="006B0D29"/>
    <w:rsid w:val="006B1819"/>
    <w:rsid w:val="006C5048"/>
    <w:rsid w:val="006C6A4B"/>
    <w:rsid w:val="006C779F"/>
    <w:rsid w:val="006D01F5"/>
    <w:rsid w:val="006D0CFB"/>
    <w:rsid w:val="006D30C0"/>
    <w:rsid w:val="006D7443"/>
    <w:rsid w:val="006D7535"/>
    <w:rsid w:val="006E245D"/>
    <w:rsid w:val="006E450B"/>
    <w:rsid w:val="006E4A32"/>
    <w:rsid w:val="006E62B7"/>
    <w:rsid w:val="006F0D7E"/>
    <w:rsid w:val="006F23D1"/>
    <w:rsid w:val="006F32F0"/>
    <w:rsid w:val="006F56F6"/>
    <w:rsid w:val="006F6C38"/>
    <w:rsid w:val="00700AD3"/>
    <w:rsid w:val="00710B77"/>
    <w:rsid w:val="007155D5"/>
    <w:rsid w:val="0072075B"/>
    <w:rsid w:val="007221C2"/>
    <w:rsid w:val="00722AE2"/>
    <w:rsid w:val="00730955"/>
    <w:rsid w:val="00733A9C"/>
    <w:rsid w:val="00736574"/>
    <w:rsid w:val="007367E0"/>
    <w:rsid w:val="00737215"/>
    <w:rsid w:val="00754905"/>
    <w:rsid w:val="00760038"/>
    <w:rsid w:val="00762EE0"/>
    <w:rsid w:val="00765C41"/>
    <w:rsid w:val="00771100"/>
    <w:rsid w:val="007759DD"/>
    <w:rsid w:val="00783446"/>
    <w:rsid w:val="0078609F"/>
    <w:rsid w:val="007911D1"/>
    <w:rsid w:val="007917BA"/>
    <w:rsid w:val="007A049F"/>
    <w:rsid w:val="007A334E"/>
    <w:rsid w:val="007A5C6F"/>
    <w:rsid w:val="007C443B"/>
    <w:rsid w:val="007D008D"/>
    <w:rsid w:val="007D4241"/>
    <w:rsid w:val="007D4317"/>
    <w:rsid w:val="007D4EA3"/>
    <w:rsid w:val="007E30C4"/>
    <w:rsid w:val="007F1CFF"/>
    <w:rsid w:val="007F5DD5"/>
    <w:rsid w:val="00801FB1"/>
    <w:rsid w:val="0080483F"/>
    <w:rsid w:val="00821A1B"/>
    <w:rsid w:val="00823BD2"/>
    <w:rsid w:val="0082524D"/>
    <w:rsid w:val="008254EE"/>
    <w:rsid w:val="008262E9"/>
    <w:rsid w:val="00827DD1"/>
    <w:rsid w:val="00827E69"/>
    <w:rsid w:val="00832E1D"/>
    <w:rsid w:val="00833C9B"/>
    <w:rsid w:val="00835C4D"/>
    <w:rsid w:val="00843F48"/>
    <w:rsid w:val="00851423"/>
    <w:rsid w:val="00854757"/>
    <w:rsid w:val="008569C6"/>
    <w:rsid w:val="00857848"/>
    <w:rsid w:val="00862960"/>
    <w:rsid w:val="00863555"/>
    <w:rsid w:val="00863D4B"/>
    <w:rsid w:val="008654B6"/>
    <w:rsid w:val="0087139C"/>
    <w:rsid w:val="00873419"/>
    <w:rsid w:val="00880E83"/>
    <w:rsid w:val="0089086D"/>
    <w:rsid w:val="00891596"/>
    <w:rsid w:val="00892F28"/>
    <w:rsid w:val="008A0C5F"/>
    <w:rsid w:val="008A3DEA"/>
    <w:rsid w:val="008A4EB9"/>
    <w:rsid w:val="008A74C0"/>
    <w:rsid w:val="008B1694"/>
    <w:rsid w:val="008B2BAD"/>
    <w:rsid w:val="008C4B27"/>
    <w:rsid w:val="008C6D45"/>
    <w:rsid w:val="008C7F0C"/>
    <w:rsid w:val="008C7F2A"/>
    <w:rsid w:val="008D4B13"/>
    <w:rsid w:val="008D8BBD"/>
    <w:rsid w:val="008E36F8"/>
    <w:rsid w:val="008E39A5"/>
    <w:rsid w:val="008E46B2"/>
    <w:rsid w:val="008E682C"/>
    <w:rsid w:val="008E78A1"/>
    <w:rsid w:val="008F0317"/>
    <w:rsid w:val="008F589F"/>
    <w:rsid w:val="008F6B21"/>
    <w:rsid w:val="00900FEF"/>
    <w:rsid w:val="00906238"/>
    <w:rsid w:val="00907EF9"/>
    <w:rsid w:val="00911231"/>
    <w:rsid w:val="0091295C"/>
    <w:rsid w:val="00914D58"/>
    <w:rsid w:val="00921E8B"/>
    <w:rsid w:val="00921F47"/>
    <w:rsid w:val="009228AB"/>
    <w:rsid w:val="00925857"/>
    <w:rsid w:val="0093085B"/>
    <w:rsid w:val="00931C57"/>
    <w:rsid w:val="009347A5"/>
    <w:rsid w:val="00942257"/>
    <w:rsid w:val="009471BF"/>
    <w:rsid w:val="00950E4E"/>
    <w:rsid w:val="009529BD"/>
    <w:rsid w:val="009533B4"/>
    <w:rsid w:val="00954373"/>
    <w:rsid w:val="00957D35"/>
    <w:rsid w:val="009643DC"/>
    <w:rsid w:val="00966869"/>
    <w:rsid w:val="00971D93"/>
    <w:rsid w:val="009918FB"/>
    <w:rsid w:val="00997B0F"/>
    <w:rsid w:val="009A07DC"/>
    <w:rsid w:val="009A2A71"/>
    <w:rsid w:val="009A32ED"/>
    <w:rsid w:val="009B1F6B"/>
    <w:rsid w:val="009C0D12"/>
    <w:rsid w:val="009C192E"/>
    <w:rsid w:val="009C23C9"/>
    <w:rsid w:val="009C2E3E"/>
    <w:rsid w:val="009C6C0C"/>
    <w:rsid w:val="009D3601"/>
    <w:rsid w:val="009D6819"/>
    <w:rsid w:val="009D6D1C"/>
    <w:rsid w:val="009E0CF9"/>
    <w:rsid w:val="009E282D"/>
    <w:rsid w:val="009E531B"/>
    <w:rsid w:val="009E6C56"/>
    <w:rsid w:val="009E7DCF"/>
    <w:rsid w:val="009F216A"/>
    <w:rsid w:val="009F4A56"/>
    <w:rsid w:val="009F4E65"/>
    <w:rsid w:val="009F7DA2"/>
    <w:rsid w:val="00A006A5"/>
    <w:rsid w:val="00A05942"/>
    <w:rsid w:val="00A07BEC"/>
    <w:rsid w:val="00A111B7"/>
    <w:rsid w:val="00A264BE"/>
    <w:rsid w:val="00A268DB"/>
    <w:rsid w:val="00A272CA"/>
    <w:rsid w:val="00A33051"/>
    <w:rsid w:val="00A37A50"/>
    <w:rsid w:val="00A407AD"/>
    <w:rsid w:val="00A40923"/>
    <w:rsid w:val="00A41C05"/>
    <w:rsid w:val="00A42426"/>
    <w:rsid w:val="00A45158"/>
    <w:rsid w:val="00A514B7"/>
    <w:rsid w:val="00A54A0B"/>
    <w:rsid w:val="00A65FD4"/>
    <w:rsid w:val="00A671F9"/>
    <w:rsid w:val="00A70C60"/>
    <w:rsid w:val="00A71077"/>
    <w:rsid w:val="00A72403"/>
    <w:rsid w:val="00A81198"/>
    <w:rsid w:val="00A81E48"/>
    <w:rsid w:val="00A82035"/>
    <w:rsid w:val="00A90D77"/>
    <w:rsid w:val="00A92E07"/>
    <w:rsid w:val="00AA0B3A"/>
    <w:rsid w:val="00AA6EB4"/>
    <w:rsid w:val="00AA767D"/>
    <w:rsid w:val="00AB0CC9"/>
    <w:rsid w:val="00AC1F18"/>
    <w:rsid w:val="00AC3FF6"/>
    <w:rsid w:val="00AC5819"/>
    <w:rsid w:val="00AC5845"/>
    <w:rsid w:val="00AD47C1"/>
    <w:rsid w:val="00AD67EF"/>
    <w:rsid w:val="00AD73EC"/>
    <w:rsid w:val="00AD7AD5"/>
    <w:rsid w:val="00AE5BC7"/>
    <w:rsid w:val="00AF5167"/>
    <w:rsid w:val="00AF5AAF"/>
    <w:rsid w:val="00B046D8"/>
    <w:rsid w:val="00B07F9A"/>
    <w:rsid w:val="00B13F4C"/>
    <w:rsid w:val="00B1552E"/>
    <w:rsid w:val="00B16219"/>
    <w:rsid w:val="00B16C59"/>
    <w:rsid w:val="00B33FDD"/>
    <w:rsid w:val="00B359CC"/>
    <w:rsid w:val="00B36107"/>
    <w:rsid w:val="00B405A1"/>
    <w:rsid w:val="00B41789"/>
    <w:rsid w:val="00B42FD1"/>
    <w:rsid w:val="00B46C03"/>
    <w:rsid w:val="00B50730"/>
    <w:rsid w:val="00B524CB"/>
    <w:rsid w:val="00B60C6C"/>
    <w:rsid w:val="00B619A9"/>
    <w:rsid w:val="00B65A9D"/>
    <w:rsid w:val="00B66D60"/>
    <w:rsid w:val="00B732EE"/>
    <w:rsid w:val="00B75EDE"/>
    <w:rsid w:val="00B77D88"/>
    <w:rsid w:val="00B77FAF"/>
    <w:rsid w:val="00B84336"/>
    <w:rsid w:val="00B84A7F"/>
    <w:rsid w:val="00B851B9"/>
    <w:rsid w:val="00B86453"/>
    <w:rsid w:val="00B87965"/>
    <w:rsid w:val="00B90054"/>
    <w:rsid w:val="00B92C14"/>
    <w:rsid w:val="00B95BF4"/>
    <w:rsid w:val="00B96AFF"/>
    <w:rsid w:val="00BA0066"/>
    <w:rsid w:val="00BB69DB"/>
    <w:rsid w:val="00BC322E"/>
    <w:rsid w:val="00BC44CD"/>
    <w:rsid w:val="00BC48A6"/>
    <w:rsid w:val="00BC5120"/>
    <w:rsid w:val="00BE4344"/>
    <w:rsid w:val="00BE7978"/>
    <w:rsid w:val="00C0039C"/>
    <w:rsid w:val="00C01F0D"/>
    <w:rsid w:val="00C07DDB"/>
    <w:rsid w:val="00C10043"/>
    <w:rsid w:val="00C1117D"/>
    <w:rsid w:val="00C4115D"/>
    <w:rsid w:val="00C43BDD"/>
    <w:rsid w:val="00C47778"/>
    <w:rsid w:val="00C5011E"/>
    <w:rsid w:val="00C50EE5"/>
    <w:rsid w:val="00C5240A"/>
    <w:rsid w:val="00C5398F"/>
    <w:rsid w:val="00C556F5"/>
    <w:rsid w:val="00C6750A"/>
    <w:rsid w:val="00C70E19"/>
    <w:rsid w:val="00C72574"/>
    <w:rsid w:val="00C72BC9"/>
    <w:rsid w:val="00C7430C"/>
    <w:rsid w:val="00C75E43"/>
    <w:rsid w:val="00C85DA1"/>
    <w:rsid w:val="00C9071C"/>
    <w:rsid w:val="00C908FF"/>
    <w:rsid w:val="00C97BD3"/>
    <w:rsid w:val="00CA392D"/>
    <w:rsid w:val="00CA39EF"/>
    <w:rsid w:val="00CA521F"/>
    <w:rsid w:val="00CA76D5"/>
    <w:rsid w:val="00CB0493"/>
    <w:rsid w:val="00CB17FF"/>
    <w:rsid w:val="00CB1ED7"/>
    <w:rsid w:val="00CC167C"/>
    <w:rsid w:val="00CC25C4"/>
    <w:rsid w:val="00CC52D9"/>
    <w:rsid w:val="00CD55A5"/>
    <w:rsid w:val="00CD6647"/>
    <w:rsid w:val="00CE4B73"/>
    <w:rsid w:val="00CE54C3"/>
    <w:rsid w:val="00CF45B8"/>
    <w:rsid w:val="00CF60D8"/>
    <w:rsid w:val="00CF70BB"/>
    <w:rsid w:val="00D074DB"/>
    <w:rsid w:val="00D139CF"/>
    <w:rsid w:val="00D20779"/>
    <w:rsid w:val="00D301B3"/>
    <w:rsid w:val="00D37E7F"/>
    <w:rsid w:val="00D45B52"/>
    <w:rsid w:val="00D47AD7"/>
    <w:rsid w:val="00D51529"/>
    <w:rsid w:val="00D61B86"/>
    <w:rsid w:val="00D67C88"/>
    <w:rsid w:val="00D77EBB"/>
    <w:rsid w:val="00D85218"/>
    <w:rsid w:val="00D915B1"/>
    <w:rsid w:val="00D945B9"/>
    <w:rsid w:val="00DA299D"/>
    <w:rsid w:val="00DA65C4"/>
    <w:rsid w:val="00DB6EBC"/>
    <w:rsid w:val="00DE1036"/>
    <w:rsid w:val="00DE4447"/>
    <w:rsid w:val="00DE5DA2"/>
    <w:rsid w:val="00DE63C6"/>
    <w:rsid w:val="00DF0033"/>
    <w:rsid w:val="00E016B8"/>
    <w:rsid w:val="00E026BF"/>
    <w:rsid w:val="00E0732F"/>
    <w:rsid w:val="00E07B1B"/>
    <w:rsid w:val="00E11853"/>
    <w:rsid w:val="00E17DB1"/>
    <w:rsid w:val="00E50E28"/>
    <w:rsid w:val="00E52A86"/>
    <w:rsid w:val="00E54B47"/>
    <w:rsid w:val="00E553BF"/>
    <w:rsid w:val="00E55D93"/>
    <w:rsid w:val="00E569E0"/>
    <w:rsid w:val="00E61294"/>
    <w:rsid w:val="00E64948"/>
    <w:rsid w:val="00E7237C"/>
    <w:rsid w:val="00E735F5"/>
    <w:rsid w:val="00E77C46"/>
    <w:rsid w:val="00E77D55"/>
    <w:rsid w:val="00E86CE8"/>
    <w:rsid w:val="00E87E17"/>
    <w:rsid w:val="00E90C89"/>
    <w:rsid w:val="00E90E82"/>
    <w:rsid w:val="00EA00CB"/>
    <w:rsid w:val="00EA1BAA"/>
    <w:rsid w:val="00EA3FCD"/>
    <w:rsid w:val="00EA42A0"/>
    <w:rsid w:val="00EB1A5C"/>
    <w:rsid w:val="00EB6714"/>
    <w:rsid w:val="00EC0A68"/>
    <w:rsid w:val="00EC2154"/>
    <w:rsid w:val="00EC3C32"/>
    <w:rsid w:val="00EC5006"/>
    <w:rsid w:val="00ED0BF4"/>
    <w:rsid w:val="00ED49C3"/>
    <w:rsid w:val="00ED6CE8"/>
    <w:rsid w:val="00ED7AA6"/>
    <w:rsid w:val="00EE0680"/>
    <w:rsid w:val="00EE2A56"/>
    <w:rsid w:val="00EE3818"/>
    <w:rsid w:val="00EF090C"/>
    <w:rsid w:val="00F1059E"/>
    <w:rsid w:val="00F213BC"/>
    <w:rsid w:val="00F22264"/>
    <w:rsid w:val="00F23503"/>
    <w:rsid w:val="00F2564D"/>
    <w:rsid w:val="00F31400"/>
    <w:rsid w:val="00F35B05"/>
    <w:rsid w:val="00F413D9"/>
    <w:rsid w:val="00F5135F"/>
    <w:rsid w:val="00F51F2F"/>
    <w:rsid w:val="00F51F78"/>
    <w:rsid w:val="00F548B6"/>
    <w:rsid w:val="00F65D96"/>
    <w:rsid w:val="00F74CFB"/>
    <w:rsid w:val="00F86F47"/>
    <w:rsid w:val="00F90B64"/>
    <w:rsid w:val="00F97AE7"/>
    <w:rsid w:val="00FB1BF9"/>
    <w:rsid w:val="00FB2F0F"/>
    <w:rsid w:val="00FB5086"/>
    <w:rsid w:val="00FB5411"/>
    <w:rsid w:val="00FB6392"/>
    <w:rsid w:val="00FC1481"/>
    <w:rsid w:val="00FC4F36"/>
    <w:rsid w:val="00FD3C70"/>
    <w:rsid w:val="00FD6820"/>
    <w:rsid w:val="00FE06EF"/>
    <w:rsid w:val="00FE12D8"/>
    <w:rsid w:val="00FF7C02"/>
    <w:rsid w:val="024801E3"/>
    <w:rsid w:val="0289BCE1"/>
    <w:rsid w:val="07CAFC99"/>
    <w:rsid w:val="0832EC40"/>
    <w:rsid w:val="08623FF9"/>
    <w:rsid w:val="0C1776CA"/>
    <w:rsid w:val="0D336DDA"/>
    <w:rsid w:val="0F95D8A7"/>
    <w:rsid w:val="0FEDFFFA"/>
    <w:rsid w:val="1207754C"/>
    <w:rsid w:val="14433811"/>
    <w:rsid w:val="15157850"/>
    <w:rsid w:val="1583C2B3"/>
    <w:rsid w:val="1746DF92"/>
    <w:rsid w:val="17B9D1BF"/>
    <w:rsid w:val="182A1ACC"/>
    <w:rsid w:val="1BFE319B"/>
    <w:rsid w:val="1C5581F2"/>
    <w:rsid w:val="1D1BD96C"/>
    <w:rsid w:val="1DDCA99D"/>
    <w:rsid w:val="1F5888CF"/>
    <w:rsid w:val="1FADF0C2"/>
    <w:rsid w:val="208F8045"/>
    <w:rsid w:val="22A0CCF8"/>
    <w:rsid w:val="25D3095B"/>
    <w:rsid w:val="25D749F9"/>
    <w:rsid w:val="270463B7"/>
    <w:rsid w:val="29AC603A"/>
    <w:rsid w:val="2C954E70"/>
    <w:rsid w:val="2F5703DB"/>
    <w:rsid w:val="310BD328"/>
    <w:rsid w:val="313E415C"/>
    <w:rsid w:val="328A6DA6"/>
    <w:rsid w:val="328B6968"/>
    <w:rsid w:val="32A7A389"/>
    <w:rsid w:val="3312EA17"/>
    <w:rsid w:val="336AA8C9"/>
    <w:rsid w:val="33FEA371"/>
    <w:rsid w:val="34DDB353"/>
    <w:rsid w:val="3561CAB8"/>
    <w:rsid w:val="35F9B52B"/>
    <w:rsid w:val="362FABB0"/>
    <w:rsid w:val="388C56F1"/>
    <w:rsid w:val="3AB49F1E"/>
    <w:rsid w:val="3B5351C8"/>
    <w:rsid w:val="3B9A0B7A"/>
    <w:rsid w:val="3C5BB68A"/>
    <w:rsid w:val="3DCBE100"/>
    <w:rsid w:val="40E49530"/>
    <w:rsid w:val="4161D835"/>
    <w:rsid w:val="420E4753"/>
    <w:rsid w:val="4378BB85"/>
    <w:rsid w:val="4378BB85"/>
    <w:rsid w:val="43E691C1"/>
    <w:rsid w:val="46A3C2D4"/>
    <w:rsid w:val="46D002AB"/>
    <w:rsid w:val="46F88370"/>
    <w:rsid w:val="4B09EE25"/>
    <w:rsid w:val="4BAE1408"/>
    <w:rsid w:val="4CF76A4A"/>
    <w:rsid w:val="5152A092"/>
    <w:rsid w:val="516336AE"/>
    <w:rsid w:val="5228CC50"/>
    <w:rsid w:val="532107D3"/>
    <w:rsid w:val="5340425B"/>
    <w:rsid w:val="547A457A"/>
    <w:rsid w:val="54ECD39B"/>
    <w:rsid w:val="563E1907"/>
    <w:rsid w:val="570665BE"/>
    <w:rsid w:val="576F2090"/>
    <w:rsid w:val="58E3216B"/>
    <w:rsid w:val="5989FDF9"/>
    <w:rsid w:val="59DB4358"/>
    <w:rsid w:val="5E764358"/>
    <w:rsid w:val="5EA97374"/>
    <w:rsid w:val="60814088"/>
    <w:rsid w:val="6328C5B0"/>
    <w:rsid w:val="647B2B65"/>
    <w:rsid w:val="65CB264C"/>
    <w:rsid w:val="66A92FA4"/>
    <w:rsid w:val="67647C67"/>
    <w:rsid w:val="685E3560"/>
    <w:rsid w:val="6B2CF8ED"/>
    <w:rsid w:val="6B6AD46B"/>
    <w:rsid w:val="6BB4A4D0"/>
    <w:rsid w:val="6BB4A4D0"/>
    <w:rsid w:val="6C9BDD5F"/>
    <w:rsid w:val="6E13C042"/>
    <w:rsid w:val="6E37A321"/>
    <w:rsid w:val="6E6DFA7D"/>
    <w:rsid w:val="6F8C4AFB"/>
    <w:rsid w:val="6FCF65B5"/>
    <w:rsid w:val="6FEED303"/>
    <w:rsid w:val="713C20C5"/>
    <w:rsid w:val="725ABF91"/>
    <w:rsid w:val="7552D1CC"/>
    <w:rsid w:val="75B15F5F"/>
    <w:rsid w:val="75B4880E"/>
    <w:rsid w:val="793A95AD"/>
    <w:rsid w:val="7A71CA06"/>
    <w:rsid w:val="7A9314A6"/>
    <w:rsid w:val="7AFFE7AB"/>
    <w:rsid w:val="7D8E783F"/>
    <w:rsid w:val="7DD8BCFB"/>
    <w:rsid w:val="7EC6640E"/>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F43E0301-BEDB-4B7A-8D21-FEBDBCDC23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45B52"/>
    <w:pPr>
      <w:spacing w:after="120" w:line="288" w:lineRule="auto"/>
      <w:ind w:right="868"/>
    </w:pPr>
    <w:rPr>
      <w:sz w:val="24"/>
      <w:szCs w:val="24"/>
    </w:rPr>
  </w:style>
  <w:style w:type="paragraph" w:styleId="Heading1">
    <w:name w:val="heading 1"/>
    <w:aliases w:val="Rubrik VGR"/>
    <w:next w:val="Normal"/>
    <w:link w:val="Heading1Char"/>
    <w:qFormat/>
    <w:rsid w:val="009A32ED"/>
    <w:pPr>
      <w:keepNext/>
      <w:spacing w:after="240" w:line="288" w:lineRule="auto"/>
      <w:ind w:left="567"/>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FE06EF"/>
    <w:pPr>
      <w:keepNext/>
      <w:keepLines/>
      <w:spacing w:before="240" w:after="40" w:line="240" w:lineRule="auto"/>
      <w:outlineLvl w:val="1"/>
    </w:pPr>
    <w:rPr>
      <w:rFonts w:ascii="Verdana" w:hAnsi="Verdana"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DE1036"/>
    <w:pPr>
      <w:keepNext/>
      <w:keepLines/>
      <w:spacing w:before="240" w:after="40" w:line="240" w:lineRule="auto"/>
      <w:outlineLvl w:val="2"/>
    </w:pPr>
    <w:rPr>
      <w:rFonts w:ascii="Verdana" w:hAnsi="Verdana"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9A32E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FE06EF"/>
    <w:rPr>
      <w:rFonts w:ascii="Verdana" w:hAnsi="Verdana"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DE1036"/>
    <w:rPr>
      <w:rFonts w:ascii="Verdana" w:hAnsi="Verdana"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557D93"/>
    <w:pPr>
      <w:spacing w:line="240" w:lineRule="auto"/>
    </w:pPr>
    <w:rPr>
      <w:rFonts w:ascii="Verdana" w:hAnsi="Verdana"/>
      <w:sz w:val="48"/>
    </w:rPr>
  </w:style>
  <w:style w:type="character" w:styleId="OmslagsrubrikChar" w:customStyle="1">
    <w:name w:val="Omslagsrubrik Char"/>
    <w:basedOn w:val="DefaultParagraphFont"/>
    <w:link w:val="Omslagsrubrik"/>
    <w:uiPriority w:val="3"/>
    <w:rsid w:val="00557D93"/>
    <w:rPr>
      <w:rFonts w:ascii="Verdana" w:hAnsi="Verdana"/>
      <w:sz w:val="48"/>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D67C88"/>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3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character" w:styleId="Heading9Char" w:customStyle="1">
    <w:name w:val="Heading 9 Char"/>
    <w:basedOn w:val="DefaultParagraphFont"/>
    <w:link w:val="Heading9"/>
    <w:uiPriority w:val="9"/>
    <w:semiHidden/>
    <w:rsid w:val="009A32ED"/>
    <w:rPr>
      <w:rFonts w:asciiTheme="majorHAnsi" w:hAnsiTheme="majorHAnsi" w:eastAsiaTheme="majorEastAsia"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styleId="BodyTextChar" w:customStyle="1">
    <w:name w:val="Body Text Char"/>
    <w:aliases w:val="(=Löpande text) Char"/>
    <w:basedOn w:val="DefaultParagraphFont"/>
    <w:link w:val="Body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DefaultParagraphFont"/>
    <w:link w:val="Tabell"/>
    <w:rsid w:val="009A32ED"/>
    <w:rPr>
      <w:sz w:val="24"/>
      <w:szCs w:val="24"/>
    </w:rPr>
  </w:style>
  <w:style w:type="character" w:styleId="UnresolvedMention">
    <w:name w:val="Unresolved Mention"/>
    <w:basedOn w:val="DefaultParagraphFont"/>
    <w:uiPriority w:val="99"/>
    <w:semiHidden/>
    <w:unhideWhenUsed/>
    <w:rsid w:val="000D7D83"/>
    <w:rPr>
      <w:color w:val="605E5C"/>
      <w:shd w:val="clear" w:color="auto" w:fill="E1DFDD"/>
    </w:rPr>
  </w:style>
  <w:style w:type="character" w:styleId="FootnoteTextChar" w:customStyle="1">
    <w:name w:val="Footnote Text Char"/>
    <w:basedOn w:val="DefaultParagraphFont"/>
    <w:link w:val="FootnoteText"/>
    <w:uiPriority w:val="99"/>
    <w:semiHidden/>
    <w:rPr>
      <w:sz w:val="20"/>
      <w:szCs w:val="20"/>
    </w:rPr>
  </w:style>
  <w:style w:type="paragraph" w:styleId="FootnoteText">
    <w:name w:val="footnote text"/>
    <w:basedOn w:val="Normal"/>
    <w:link w:val="FootnoteTextChar"/>
    <w:uiPriority w:val="99"/>
    <w:semiHidden/>
    <w:unhideWhenUsed/>
    <w:pPr>
      <w:spacing w:after="0" w:line="240" w:lineRule="auto"/>
    </w:pPr>
    <w:rPr>
      <w:sz w:val="20"/>
      <w:szCs w:val="20"/>
    </w:rPr>
  </w:style>
  <w:style w:type="paragraph" w:styleId="TOCHeading">
    <w:name w:val="TOC Heading"/>
    <w:basedOn w:val="Heading1"/>
    <w:next w:val="Normal"/>
    <w:uiPriority w:val="39"/>
    <w:unhideWhenUsed/>
    <w:qFormat/>
    <w:rsid w:val="00334AA1"/>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36111623">
      <w:bodyDiv w:val="1"/>
      <w:marLeft w:val="0"/>
      <w:marRight w:val="0"/>
      <w:marTop w:val="0"/>
      <w:marBottom w:val="0"/>
      <w:divBdr>
        <w:top w:val="none" w:sz="0" w:space="0" w:color="auto"/>
        <w:left w:val="none" w:sz="0" w:space="0" w:color="auto"/>
        <w:bottom w:val="none" w:sz="0" w:space="0" w:color="auto"/>
        <w:right w:val="none" w:sz="0" w:space="0" w:color="auto"/>
      </w:divBdr>
      <w:divsChild>
        <w:div w:id="1049039760">
          <w:marLeft w:val="0"/>
          <w:marRight w:val="0"/>
          <w:marTop w:val="0"/>
          <w:marBottom w:val="0"/>
          <w:divBdr>
            <w:top w:val="none" w:sz="0" w:space="0" w:color="auto"/>
            <w:left w:val="none" w:sz="0" w:space="0" w:color="auto"/>
            <w:bottom w:val="none" w:sz="0" w:space="0" w:color="auto"/>
            <w:right w:val="none" w:sz="0" w:space="0" w:color="auto"/>
          </w:divBdr>
        </w:div>
        <w:div w:id="2127502462">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 Type="http://schemas.openxmlformats.org/officeDocument/2006/relationships/hyperlink" Target="https://mellanarkiv-offentlig.vgregion.se/alfresco/s/archive/stream/public/v1/source/available/sofia/su3811-242615655-10653/surrogate/Muskelrelaxantia%20och%20reversering%2c%20anv%C3%A4ndning%20p%C3%A5%20op%201%20Barn.pdf" TargetMode="External" Id="R8793bec87a9a457e" /><Relationship Type="http://schemas.openxmlformats.org/officeDocument/2006/relationships/image" Target="/media/image4.png" Id="rId478781068" /><Relationship Type="http://schemas.openxmlformats.org/officeDocument/2006/relationships/image" Target="/media/image5.png" Id="rId1926052849" /><Relationship Type="http://schemas.openxmlformats.org/officeDocument/2006/relationships/image" Target="/media/image6.png" Id="rId1134638177" /><Relationship Type="http://schemas.openxmlformats.org/officeDocument/2006/relationships/image" Target="/media/image7.png" Id="rId1395090151" /><Relationship Type="http://schemas.openxmlformats.org/officeDocument/2006/relationships/image" Target="/media/image8.png" Id="rId2106065660" /><Relationship Type="http://schemas.openxmlformats.org/officeDocument/2006/relationships/image" Target="/media/image9.png" Id="rId1124494524"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Neuromuskulär monitorering och reversering</dc:title>
  <dc:subject/>
  <dc:creator/>
  <keywords/>
  <lastModifiedBy>Noémi Szabó-Némedi</lastModifiedBy>
  <revision>196</revision>
  <lastPrinted>2016-03-31T19:56:00.0000000Z</lastPrinted>
  <dcterms:created xsi:type="dcterms:W3CDTF">2024-04-30T17:20:00.0000000Z</dcterms:created>
  <dcterms:modified xsi:type="dcterms:W3CDTF">2026-01-20T05:30:14.0000000Z</dcterms:modified>
</coreProperties>
</file>