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48CC09" w14:textId="574B7C8A" w:rsidR="00A52DED" w:rsidRDefault="731DBA27" w:rsidP="00220BB8">
      <w:pPr>
        <w:pStyle w:val="Heading2"/>
        <w:ind w:left="0" w:right="180"/>
        <w:rPr>
          <w:sz w:val="48"/>
          <w:szCs w:val="48"/>
        </w:rPr>
      </w:pPr>
      <w:bookmarkStart w:id="0" w:name="_Toc321146591"/>
      <w:r w:rsidRPr="3710324F">
        <w:rPr>
          <w:sz w:val="48"/>
          <w:szCs w:val="48"/>
        </w:rPr>
        <w:t>Neurologisk kontroll och dokumentation</w:t>
      </w:r>
    </w:p>
    <w:p w14:paraId="236C0F53" w14:textId="7B6A8804" w:rsidR="3710324F" w:rsidRDefault="3710324F" w:rsidP="3710324F">
      <w:pPr>
        <w:sectPr w:rsidR="3710324F" w:rsidSect="00A52DE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123C8431" w14:textId="77777777" w:rsidR="00A76B5D" w:rsidRDefault="00A76B5D" w:rsidP="2CBB2B09">
      <w:pPr>
        <w:spacing w:after="0" w:line="240" w:lineRule="auto"/>
        <w:ind w:left="0" w:right="0"/>
        <w:textAlignment w:val="baseline"/>
        <w:rPr>
          <w:rFonts w:asciiTheme="majorHAnsi" w:eastAsiaTheme="majorEastAsia" w:hAnsiTheme="majorHAnsi" w:cstheme="majorBidi"/>
          <w:sz w:val="40"/>
          <w:szCs w:val="40"/>
        </w:rPr>
      </w:pPr>
    </w:p>
    <w:p w14:paraId="39C83D5A" w14:textId="77777777" w:rsidR="00A52DED" w:rsidRPr="00A52DED" w:rsidRDefault="00A52DED" w:rsidP="2CBB2B09">
      <w:pPr>
        <w:spacing w:after="0" w:line="240" w:lineRule="auto"/>
        <w:ind w:left="0" w:right="0"/>
        <w:textAlignment w:val="baseline"/>
        <w:rPr>
          <w:rFonts w:asciiTheme="majorHAnsi" w:eastAsiaTheme="majorEastAsia" w:hAnsiTheme="majorHAnsi" w:cstheme="majorBidi"/>
          <w:sz w:val="40"/>
          <w:szCs w:val="40"/>
        </w:rPr>
      </w:pPr>
      <w:r w:rsidRPr="2CBB2B09">
        <w:rPr>
          <w:rFonts w:asciiTheme="majorHAnsi" w:eastAsiaTheme="majorEastAsia" w:hAnsiTheme="majorHAnsi" w:cstheme="majorBidi"/>
          <w:sz w:val="40"/>
          <w:szCs w:val="40"/>
        </w:rPr>
        <w:t>Vakenhetsgrad </w:t>
      </w:r>
    </w:p>
    <w:p w14:paraId="51E6757E" w14:textId="77777777" w:rsidR="00A52DED" w:rsidRPr="00A52DED" w:rsidRDefault="00A52DED" w:rsidP="00A52DED">
      <w:pPr>
        <w:spacing w:after="0" w:line="240" w:lineRule="auto"/>
        <w:ind w:left="0" w:right="0"/>
        <w:textAlignment w:val="baseline"/>
        <w:rPr>
          <w:rFonts w:ascii="Segoe UI" w:hAnsi="Segoe UI" w:cs="Segoe UI"/>
          <w:sz w:val="18"/>
          <w:szCs w:val="18"/>
        </w:rPr>
      </w:pPr>
    </w:p>
    <w:p w14:paraId="11364DC6" w14:textId="643FB021" w:rsidR="00A52DED" w:rsidRPr="00A52DED" w:rsidRDefault="00A52DED" w:rsidP="2CBB2B09">
      <w:pPr>
        <w:spacing w:after="0" w:line="240" w:lineRule="auto"/>
        <w:ind w:left="0" w:right="0"/>
        <w:textAlignment w:val="baseline"/>
        <w:rPr>
          <w:rFonts w:asciiTheme="majorHAnsi" w:eastAsiaTheme="majorEastAsia" w:hAnsiTheme="majorHAnsi" w:cstheme="majorBidi"/>
          <w:sz w:val="36"/>
          <w:szCs w:val="36"/>
        </w:rPr>
      </w:pPr>
      <w:r w:rsidRPr="2CBB2B09">
        <w:rPr>
          <w:rFonts w:asciiTheme="majorHAnsi" w:eastAsiaTheme="majorEastAsia" w:hAnsiTheme="majorHAnsi" w:cstheme="majorBidi"/>
          <w:sz w:val="36"/>
          <w:szCs w:val="36"/>
        </w:rPr>
        <w:t>RLS</w:t>
      </w:r>
    </w:p>
    <w:p w14:paraId="6B526717" w14:textId="77777777" w:rsidR="00A52DED" w:rsidRPr="00A52DED" w:rsidRDefault="00A52DED" w:rsidP="2CBB2B09">
      <w:pPr>
        <w:spacing w:after="0" w:line="240" w:lineRule="auto"/>
        <w:ind w:left="0" w:right="0"/>
        <w:textAlignment w:val="baseline"/>
      </w:pPr>
      <w:r w:rsidRPr="2CBB2B09">
        <w:t>Vakenhetsgrad bedöms med hjälp av RLS-85 (Reaction Level Scale), se nedan. Denna bedömning av vakenhetsgrad utförs både på kontaktbara och medvetslösa patienter. </w:t>
      </w:r>
    </w:p>
    <w:p w14:paraId="5349C61B" w14:textId="77777777" w:rsidR="00A52DED" w:rsidRPr="00A52DED" w:rsidRDefault="00A52DED" w:rsidP="00A52DED">
      <w:pPr>
        <w:spacing w:after="0" w:line="240" w:lineRule="auto"/>
        <w:ind w:left="0" w:right="0"/>
        <w:textAlignment w:val="baseline"/>
        <w:rPr>
          <w:rFonts w:ascii="Segoe UI" w:hAnsi="Segoe UI" w:cs="Segoe UI"/>
          <w:sz w:val="18"/>
          <w:szCs w:val="18"/>
        </w:rPr>
      </w:pPr>
      <w:r w:rsidRPr="00A52DED">
        <w:rPr>
          <w:rFonts w:ascii="Arial" w:hAnsi="Arial" w:cs="Arial"/>
          <w:sz w:val="20"/>
          <w:szCs w:val="20"/>
        </w:rPr>
        <w:t> </w:t>
      </w:r>
    </w:p>
    <w:p w14:paraId="5041D140" w14:textId="50371773" w:rsidR="00A52DED" w:rsidRPr="00A52DED" w:rsidRDefault="00A52DED" w:rsidP="00A52DED">
      <w:pPr>
        <w:spacing w:after="0" w:line="240" w:lineRule="auto"/>
        <w:ind w:left="0" w:right="0"/>
        <w:textAlignment w:val="baseline"/>
        <w:rPr>
          <w:rFonts w:ascii="Segoe UI" w:hAnsi="Segoe UI" w:cs="Segoe UI"/>
          <w:sz w:val="18"/>
          <w:szCs w:val="18"/>
        </w:rPr>
      </w:pPr>
      <w:r w:rsidRPr="00A52DED">
        <w:rPr>
          <w:noProof/>
        </w:rPr>
        <w:drawing>
          <wp:inline distT="0" distB="0" distL="0" distR="0" wp14:anchorId="1C60BE37" wp14:editId="373D92D7">
            <wp:extent cx="5669915" cy="4319905"/>
            <wp:effectExtent l="0" t="0" r="6985"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69915" cy="4319905"/>
                    </a:xfrm>
                    <a:prstGeom prst="rect">
                      <a:avLst/>
                    </a:prstGeom>
                    <a:noFill/>
                    <a:ln>
                      <a:noFill/>
                    </a:ln>
                  </pic:spPr>
                </pic:pic>
              </a:graphicData>
            </a:graphic>
          </wp:inline>
        </w:drawing>
      </w:r>
      <w:r w:rsidRPr="00A52DED">
        <w:rPr>
          <w:rFonts w:ascii="Arial" w:hAnsi="Arial" w:cs="Arial"/>
          <w:sz w:val="16"/>
          <w:szCs w:val="16"/>
        </w:rPr>
        <w:t> </w:t>
      </w:r>
    </w:p>
    <w:p w14:paraId="08055D1E" w14:textId="77777777" w:rsidR="00A52DED" w:rsidRPr="00A52DED" w:rsidRDefault="00A52DED" w:rsidP="2CBB2B09">
      <w:pPr>
        <w:spacing w:after="0" w:line="240" w:lineRule="auto"/>
        <w:ind w:left="0" w:right="0"/>
        <w:textAlignment w:val="baseline"/>
      </w:pPr>
      <w:r w:rsidRPr="2CBB2B09">
        <w:t>Orienteringsgrad bedöms med frågor om patienten vet var hon/han befinner sig, kan redogöra för sina persondata och aktuella datum, d.v.s. kunna svara på frågor om person, tid och plats. Om patienten inte reagerar på upprepade tillrop eller ruskningar skall läkaren/sjuksköterskan smärtstimulera patienten för att bedöma vakenhetsgrad. Central smärtstimulering sker genom att man trycker vid käkvinkeln, bakom öronsnibbarna alternativt vid ögonbrynet, nära näsroten. Patientens reaktion graderas utifrån RLS-85. </w:t>
      </w:r>
    </w:p>
    <w:p w14:paraId="50D20BB5" w14:textId="77777777" w:rsidR="00A52DED" w:rsidRPr="00A52DED" w:rsidRDefault="00A52DED" w:rsidP="2CBB2B09">
      <w:pPr>
        <w:spacing w:after="0" w:line="240" w:lineRule="auto"/>
        <w:ind w:left="0" w:right="0"/>
        <w:textAlignment w:val="baseline"/>
        <w:rPr>
          <w:rFonts w:asciiTheme="majorHAnsi" w:eastAsiaTheme="majorEastAsia" w:hAnsiTheme="majorHAnsi" w:cstheme="majorBidi"/>
          <w:sz w:val="36"/>
          <w:szCs w:val="36"/>
        </w:rPr>
      </w:pPr>
      <w:r w:rsidRPr="2CBB2B09">
        <w:rPr>
          <w:rFonts w:asciiTheme="majorHAnsi" w:eastAsiaTheme="majorEastAsia" w:hAnsiTheme="majorHAnsi" w:cstheme="majorBidi"/>
          <w:sz w:val="36"/>
          <w:szCs w:val="36"/>
        </w:rPr>
        <w:t> </w:t>
      </w:r>
    </w:p>
    <w:p w14:paraId="2518075B" w14:textId="77777777" w:rsidR="00A52DED" w:rsidRPr="00A52DED" w:rsidRDefault="00A52DED" w:rsidP="2CBB2B09">
      <w:pPr>
        <w:spacing w:after="0" w:line="240" w:lineRule="auto"/>
        <w:ind w:left="0" w:right="0"/>
        <w:textAlignment w:val="baseline"/>
        <w:rPr>
          <w:rFonts w:asciiTheme="majorHAnsi" w:eastAsiaTheme="majorEastAsia" w:hAnsiTheme="majorHAnsi" w:cstheme="majorBidi"/>
          <w:sz w:val="36"/>
          <w:szCs w:val="36"/>
        </w:rPr>
      </w:pPr>
      <w:r w:rsidRPr="2CBB2B09">
        <w:rPr>
          <w:rFonts w:asciiTheme="majorHAnsi" w:eastAsiaTheme="majorEastAsia" w:hAnsiTheme="majorHAnsi" w:cstheme="majorBidi"/>
          <w:sz w:val="36"/>
          <w:szCs w:val="36"/>
        </w:rPr>
        <w:t>Dokumentation </w:t>
      </w:r>
    </w:p>
    <w:p w14:paraId="25DEF76A" w14:textId="77777777" w:rsidR="00A52DED" w:rsidRPr="00A52DED" w:rsidRDefault="00A52DED" w:rsidP="2CBB2B09">
      <w:pPr>
        <w:spacing w:after="0" w:line="240" w:lineRule="auto"/>
        <w:ind w:left="0" w:right="0"/>
        <w:textAlignment w:val="baseline"/>
      </w:pPr>
      <w:r w:rsidRPr="2CBB2B09">
        <w:t xml:space="preserve">Dokumentera patientens RLS-nivå på baksidan av observationsbladet samt under sökordet </w:t>
      </w:r>
      <w:r w:rsidRPr="2CBB2B09">
        <w:rPr>
          <w:i/>
          <w:iCs/>
        </w:rPr>
        <w:t>kommunikation</w:t>
      </w:r>
      <w:r w:rsidRPr="2CBB2B09">
        <w:t xml:space="preserve"> i Melior. </w:t>
      </w:r>
    </w:p>
    <w:p w14:paraId="55DA12D0" w14:textId="77777777" w:rsidR="004A0929" w:rsidRDefault="004A0929" w:rsidP="00A52DED">
      <w:pPr>
        <w:spacing w:after="0" w:line="240" w:lineRule="auto"/>
        <w:ind w:left="0" w:right="0"/>
        <w:textAlignment w:val="baseline"/>
        <w:rPr>
          <w:rFonts w:ascii="Arial" w:hAnsi="Arial" w:cs="Arial"/>
          <w:sz w:val="20"/>
          <w:szCs w:val="20"/>
        </w:rPr>
      </w:pPr>
    </w:p>
    <w:p w14:paraId="75C670AD" w14:textId="1D54365E" w:rsidR="00A52DED" w:rsidRPr="00A52DED" w:rsidRDefault="00A52DED" w:rsidP="00A52DED">
      <w:pPr>
        <w:spacing w:after="0" w:line="240" w:lineRule="auto"/>
        <w:ind w:left="0" w:right="0"/>
        <w:textAlignment w:val="baseline"/>
        <w:rPr>
          <w:rFonts w:ascii="Segoe UI" w:hAnsi="Segoe UI" w:cs="Segoe UI"/>
          <w:sz w:val="18"/>
          <w:szCs w:val="18"/>
        </w:rPr>
      </w:pPr>
      <w:r w:rsidRPr="2CBB2B09">
        <w:rPr>
          <w:rFonts w:asciiTheme="majorHAnsi" w:eastAsiaTheme="majorEastAsia" w:hAnsiTheme="majorHAnsi" w:cstheme="majorBidi"/>
          <w:sz w:val="40"/>
          <w:szCs w:val="40"/>
        </w:rPr>
        <w:t>Pupillkontroll </w:t>
      </w:r>
    </w:p>
    <w:p w14:paraId="58DD8E83" w14:textId="77777777" w:rsidR="00A52DED" w:rsidRPr="00A52DED" w:rsidRDefault="00A52DED" w:rsidP="2CBB2B09">
      <w:pPr>
        <w:spacing w:after="0" w:line="240" w:lineRule="auto"/>
        <w:ind w:left="0" w:right="0"/>
        <w:textAlignment w:val="baseline"/>
      </w:pPr>
      <w:r w:rsidRPr="2CBB2B09">
        <w:t>Vid pupillkontroll skall pupillens storlek, form, reaktion på ljus och eventuell sidoskillnad bedömas. Ljusreaktionen undersöks genom att ett öga i taget belyses med ficklampa. Lys rakt in i ögat och bedöm om pupillen reagerar snabbt (normal reaktion), långsamt eller inte alls. Titta sedan på båda pupillerna samtidigt för att bedöma om de är likstora.  </w:t>
      </w:r>
    </w:p>
    <w:p w14:paraId="46B1268F" w14:textId="77777777" w:rsidR="00A52DED" w:rsidRPr="00A52DED" w:rsidRDefault="00A52DED" w:rsidP="2CBB2B09">
      <w:pPr>
        <w:spacing w:after="0" w:line="240" w:lineRule="auto"/>
        <w:ind w:left="0" w:right="0"/>
        <w:textAlignment w:val="baseline"/>
      </w:pPr>
      <w:r w:rsidRPr="2CBB2B09">
        <w:t> </w:t>
      </w:r>
    </w:p>
    <w:p w14:paraId="1521162A" w14:textId="77777777" w:rsidR="00A52DED" w:rsidRPr="00A52DED" w:rsidRDefault="00A52DED" w:rsidP="2CBB2B09">
      <w:pPr>
        <w:spacing w:after="0" w:line="240" w:lineRule="auto"/>
        <w:ind w:left="0" w:right="0"/>
        <w:textAlignment w:val="baseline"/>
        <w:rPr>
          <w:rFonts w:asciiTheme="majorHAnsi" w:eastAsiaTheme="majorEastAsia" w:hAnsiTheme="majorHAnsi" w:cstheme="majorBidi"/>
          <w:sz w:val="36"/>
          <w:szCs w:val="36"/>
        </w:rPr>
      </w:pPr>
      <w:r w:rsidRPr="2CBB2B09">
        <w:rPr>
          <w:rFonts w:asciiTheme="majorHAnsi" w:eastAsiaTheme="majorEastAsia" w:hAnsiTheme="majorHAnsi" w:cstheme="majorBidi"/>
          <w:sz w:val="36"/>
          <w:szCs w:val="36"/>
        </w:rPr>
        <w:t>Dokumentation </w:t>
      </w:r>
    </w:p>
    <w:p w14:paraId="315C1769" w14:textId="77777777" w:rsidR="00A52DED" w:rsidRPr="00A52DED" w:rsidRDefault="00A52DED" w:rsidP="2CBB2B09">
      <w:pPr>
        <w:spacing w:after="0" w:line="240" w:lineRule="auto"/>
        <w:ind w:left="0" w:right="0"/>
        <w:textAlignment w:val="baseline"/>
      </w:pPr>
      <w:r w:rsidRPr="2CBB2B09">
        <w:t xml:space="preserve">Dokumentera patientens pupillstorlek- och reaktion på baksidan av observationsbladet samt under sökordet </w:t>
      </w:r>
      <w:r w:rsidRPr="2CBB2B09">
        <w:rPr>
          <w:i/>
          <w:iCs/>
        </w:rPr>
        <w:t xml:space="preserve">kommunikation </w:t>
      </w:r>
      <w:r w:rsidRPr="2CBB2B09">
        <w:t>i Melior</w:t>
      </w:r>
      <w:r w:rsidRPr="2CBB2B09">
        <w:rPr>
          <w:i/>
          <w:iCs/>
        </w:rPr>
        <w:t>.</w:t>
      </w:r>
      <w:r w:rsidRPr="2CBB2B09">
        <w:t xml:space="preserve"> </w:t>
      </w:r>
    </w:p>
    <w:p w14:paraId="34FADBEE" w14:textId="77777777" w:rsidR="00A52DED" w:rsidRPr="00A52DED" w:rsidRDefault="00A52DED" w:rsidP="2CBB2B09">
      <w:pPr>
        <w:spacing w:after="0" w:line="240" w:lineRule="auto"/>
        <w:ind w:left="0" w:right="0"/>
        <w:textAlignment w:val="baseline"/>
      </w:pPr>
      <w:r w:rsidRPr="2CBB2B09">
        <w:t> </w:t>
      </w:r>
    </w:p>
    <w:p w14:paraId="16D40990" w14:textId="77777777" w:rsidR="00A52DED" w:rsidRPr="00A52DED" w:rsidRDefault="00A52DED" w:rsidP="2CBB2B09">
      <w:pPr>
        <w:spacing w:after="0" w:line="240" w:lineRule="auto"/>
        <w:ind w:left="0" w:right="0"/>
        <w:textAlignment w:val="baseline"/>
      </w:pPr>
      <w:r w:rsidRPr="2CBB2B09">
        <w:t>+ betyder att pupillen reagerar på ljus  </w:t>
      </w:r>
    </w:p>
    <w:p w14:paraId="5F7F9375" w14:textId="77777777" w:rsidR="00A52DED" w:rsidRPr="00A52DED" w:rsidRDefault="00A52DED" w:rsidP="2CBB2B09">
      <w:pPr>
        <w:spacing w:after="0" w:line="240" w:lineRule="auto"/>
        <w:ind w:left="0" w:right="0"/>
        <w:textAlignment w:val="baseline"/>
      </w:pPr>
      <w:r w:rsidRPr="2CBB2B09">
        <w:t>- betyder att pupillen inte reagerar på ljus </w:t>
      </w:r>
    </w:p>
    <w:p w14:paraId="3C48C78C" w14:textId="77777777" w:rsidR="00A52DED" w:rsidRPr="00A52DED" w:rsidRDefault="00A52DED" w:rsidP="2CBB2B09">
      <w:pPr>
        <w:spacing w:after="0" w:line="240" w:lineRule="auto"/>
        <w:ind w:left="0" w:right="0"/>
        <w:textAlignment w:val="baseline"/>
      </w:pPr>
      <w:r w:rsidRPr="2CBB2B09">
        <w:t>&gt; betyder större än </w:t>
      </w:r>
    </w:p>
    <w:p w14:paraId="4F1C09BE" w14:textId="77777777" w:rsidR="00A52DED" w:rsidRPr="00A52DED" w:rsidRDefault="00A52DED" w:rsidP="2CBB2B09">
      <w:pPr>
        <w:spacing w:after="0" w:line="240" w:lineRule="auto"/>
        <w:ind w:left="0" w:right="0"/>
        <w:textAlignment w:val="baseline"/>
      </w:pPr>
      <w:r w:rsidRPr="2CBB2B09">
        <w:t>&lt; betyder mindre än  </w:t>
      </w:r>
    </w:p>
    <w:p w14:paraId="01AEAD99" w14:textId="77777777" w:rsidR="00A52DED" w:rsidRPr="00A52DED" w:rsidRDefault="00A52DED" w:rsidP="2CBB2B09">
      <w:pPr>
        <w:spacing w:after="0" w:line="240" w:lineRule="auto"/>
        <w:ind w:left="0" w:right="0"/>
        <w:textAlignment w:val="baseline"/>
      </w:pPr>
      <w:r w:rsidRPr="2CBB2B09">
        <w:t>= betyder att pupillerna är lika stora </w:t>
      </w:r>
    </w:p>
    <w:p w14:paraId="25466574" w14:textId="77777777" w:rsidR="00A52DED" w:rsidRPr="00A52DED" w:rsidRDefault="00A52DED" w:rsidP="2CBB2B09">
      <w:pPr>
        <w:spacing w:after="0" w:line="240" w:lineRule="auto"/>
        <w:ind w:left="0" w:right="0"/>
        <w:textAlignment w:val="baseline"/>
      </w:pPr>
      <w:r w:rsidRPr="2CBB2B09">
        <w:t> </w:t>
      </w:r>
    </w:p>
    <w:p w14:paraId="18AEE6B1" w14:textId="77777777" w:rsidR="00A52DED" w:rsidRPr="00A52DED" w:rsidRDefault="00A52DED" w:rsidP="2CBB2B09">
      <w:pPr>
        <w:spacing w:after="0" w:line="240" w:lineRule="auto"/>
        <w:ind w:left="0" w:right="0"/>
        <w:textAlignment w:val="baseline"/>
      </w:pPr>
      <w:r w:rsidRPr="2CBB2B09">
        <w:t>Du skriver alltid patientens högra pupill först, därefter vänster. Här följer några exempel: </w:t>
      </w:r>
    </w:p>
    <w:p w14:paraId="08D4CCBA" w14:textId="77777777" w:rsidR="00A52DED" w:rsidRPr="00A52DED" w:rsidRDefault="00A52DED" w:rsidP="2CBB2B09">
      <w:pPr>
        <w:spacing w:after="0" w:line="240" w:lineRule="auto"/>
        <w:ind w:left="0" w:right="0"/>
        <w:textAlignment w:val="baseline"/>
      </w:pPr>
      <w:r w:rsidRPr="2CBB2B09">
        <w:t> </w:t>
      </w:r>
    </w:p>
    <w:p w14:paraId="66BEA66D" w14:textId="77777777" w:rsidR="00A52DED" w:rsidRPr="00A52DED" w:rsidRDefault="00A52DED" w:rsidP="2CBB2B09">
      <w:pPr>
        <w:spacing w:after="0" w:line="240" w:lineRule="auto"/>
        <w:ind w:left="0" w:right="0"/>
        <w:textAlignment w:val="baseline"/>
      </w:pPr>
      <w:r w:rsidRPr="2CBB2B09">
        <w:t>Höger Vänster </w:t>
      </w:r>
      <w:r>
        <w:br/>
      </w:r>
      <w:r w:rsidRPr="2CBB2B09">
        <w:t> </w:t>
      </w:r>
    </w:p>
    <w:p w14:paraId="3B039FE8" w14:textId="77777777" w:rsidR="00A52DED" w:rsidRPr="00A52DED" w:rsidRDefault="00A52DED" w:rsidP="2CBB2B09">
      <w:pPr>
        <w:spacing w:after="0" w:line="240" w:lineRule="auto"/>
        <w:ind w:left="270" w:right="0" w:hanging="270"/>
        <w:textAlignment w:val="baseline"/>
      </w:pPr>
      <w:r w:rsidRPr="2CBB2B09">
        <w:t>+ = + Höger och vänster pupill reagerar på ljus och de är likstora </w:t>
      </w:r>
    </w:p>
    <w:p w14:paraId="151A47DF" w14:textId="77777777" w:rsidR="00A52DED" w:rsidRPr="00A52DED" w:rsidRDefault="00A52DED" w:rsidP="2CBB2B09">
      <w:pPr>
        <w:spacing w:after="0" w:line="240" w:lineRule="auto"/>
        <w:ind w:left="270" w:right="0" w:hanging="270"/>
        <w:textAlignment w:val="baseline"/>
      </w:pPr>
      <w:r w:rsidRPr="2CBB2B09">
        <w:t> </w:t>
      </w:r>
    </w:p>
    <w:p w14:paraId="2C43FF85" w14:textId="77777777" w:rsidR="00A52DED" w:rsidRPr="00A52DED" w:rsidRDefault="00A52DED" w:rsidP="2CBB2B09">
      <w:pPr>
        <w:spacing w:after="0" w:line="240" w:lineRule="auto"/>
        <w:ind w:left="270" w:right="0" w:hanging="270"/>
        <w:textAlignment w:val="baseline"/>
      </w:pPr>
      <w:r w:rsidRPr="2CBB2B09">
        <w:t>+ &gt; + Höger pupill är större än vänster och båda reagerar på ljus  </w:t>
      </w:r>
    </w:p>
    <w:p w14:paraId="47AE4C0F" w14:textId="77777777" w:rsidR="00A52DED" w:rsidRPr="00A52DED" w:rsidRDefault="00A52DED" w:rsidP="2CBB2B09">
      <w:pPr>
        <w:spacing w:after="0" w:line="240" w:lineRule="auto"/>
        <w:ind w:left="0" w:right="0"/>
        <w:textAlignment w:val="baseline"/>
      </w:pPr>
      <w:r w:rsidRPr="2CBB2B09">
        <w:t> </w:t>
      </w:r>
    </w:p>
    <w:p w14:paraId="04A8C4E1" w14:textId="77777777" w:rsidR="00A52DED" w:rsidRPr="00A52DED" w:rsidRDefault="00A52DED" w:rsidP="2CBB2B09">
      <w:pPr>
        <w:spacing w:after="0" w:line="240" w:lineRule="auto"/>
        <w:ind w:left="0" w:right="0"/>
        <w:textAlignment w:val="baseline"/>
      </w:pPr>
      <w:r w:rsidRPr="2CBB2B09">
        <w:t>- &lt; + Höger pupill är mindre än vänster och reagerar inte på ljus </w:t>
      </w:r>
    </w:p>
    <w:p w14:paraId="59958EA7" w14:textId="77777777" w:rsidR="00A52DED" w:rsidRPr="00A52DED" w:rsidRDefault="00A52DED" w:rsidP="2CBB2B09">
      <w:pPr>
        <w:spacing w:after="0" w:line="240" w:lineRule="auto"/>
        <w:ind w:left="0" w:right="0"/>
        <w:textAlignment w:val="baseline"/>
      </w:pPr>
      <w:r w:rsidRPr="2CBB2B09">
        <w:t> </w:t>
      </w:r>
    </w:p>
    <w:p w14:paraId="598E8F3B" w14:textId="77777777" w:rsidR="00A52DED" w:rsidRPr="00A52DED" w:rsidRDefault="00A52DED" w:rsidP="2CBB2B09">
      <w:pPr>
        <w:spacing w:after="0" w:line="240" w:lineRule="auto"/>
        <w:ind w:left="0" w:right="0"/>
        <w:textAlignment w:val="baseline"/>
      </w:pPr>
      <w:r w:rsidRPr="2CBB2B09">
        <w:t>+ &lt; + Höger pupill är mindre än vänster men båda reagerar på ljus </w:t>
      </w:r>
    </w:p>
    <w:p w14:paraId="4D19C038" w14:textId="77777777" w:rsidR="00A52DED" w:rsidRPr="00A52DED" w:rsidRDefault="00A52DED" w:rsidP="2CBB2B09">
      <w:pPr>
        <w:spacing w:after="0" w:line="240" w:lineRule="auto"/>
        <w:ind w:left="0" w:right="0"/>
        <w:textAlignment w:val="baseline"/>
      </w:pPr>
      <w:r w:rsidRPr="2CBB2B09">
        <w:t> </w:t>
      </w:r>
    </w:p>
    <w:p w14:paraId="6FF012DC" w14:textId="77777777" w:rsidR="00A52DED" w:rsidRPr="00A52DED" w:rsidRDefault="00A52DED" w:rsidP="2CBB2B09">
      <w:pPr>
        <w:spacing w:after="0" w:line="240" w:lineRule="auto"/>
        <w:ind w:left="840" w:right="0" w:hanging="840"/>
        <w:textAlignment w:val="baseline"/>
      </w:pPr>
      <w:r w:rsidRPr="2CBB2B09">
        <w:t>- = - Varken höger eller vänster pupill reagerar på ljus men de är  </w:t>
      </w:r>
    </w:p>
    <w:p w14:paraId="68107F0D" w14:textId="77777777" w:rsidR="00A52DED" w:rsidRPr="00A52DED" w:rsidRDefault="00A52DED" w:rsidP="2CBB2B09">
      <w:pPr>
        <w:spacing w:after="0" w:line="240" w:lineRule="auto"/>
        <w:ind w:left="840" w:right="0" w:hanging="840"/>
        <w:textAlignment w:val="baseline"/>
      </w:pPr>
      <w:r w:rsidRPr="2CBB2B09">
        <w:t>lika stora </w:t>
      </w:r>
    </w:p>
    <w:p w14:paraId="477B2239" w14:textId="0354B8BC" w:rsidR="00A52DED" w:rsidRPr="00A52DED" w:rsidRDefault="00A52DED" w:rsidP="00A52DED">
      <w:pPr>
        <w:spacing w:after="0" w:line="240" w:lineRule="auto"/>
        <w:ind w:left="0" w:right="0"/>
        <w:textAlignment w:val="baseline"/>
        <w:rPr>
          <w:rFonts w:ascii="Segoe UI" w:hAnsi="Segoe UI" w:cs="Segoe UI"/>
          <w:sz w:val="18"/>
          <w:szCs w:val="18"/>
        </w:rPr>
      </w:pPr>
      <w:r w:rsidRPr="00A52DED">
        <w:rPr>
          <w:rFonts w:ascii="Arial" w:hAnsi="Arial" w:cs="Arial"/>
          <w:sz w:val="20"/>
          <w:szCs w:val="20"/>
        </w:rPr>
        <w:t> </w:t>
      </w:r>
      <w:r w:rsidRPr="00A52DED">
        <w:rPr>
          <w:rFonts w:ascii="Arial" w:hAnsi="Arial" w:cs="Arial"/>
        </w:rPr>
        <w:t> </w:t>
      </w:r>
    </w:p>
    <w:p w14:paraId="59DCC1B1" w14:textId="77777777" w:rsidR="00A52DED" w:rsidRPr="00A52DED" w:rsidRDefault="00A52DED" w:rsidP="2CBB2B09">
      <w:pPr>
        <w:spacing w:after="0" w:line="240" w:lineRule="auto"/>
        <w:ind w:left="0" w:right="0"/>
        <w:textAlignment w:val="baseline"/>
        <w:rPr>
          <w:rFonts w:asciiTheme="majorHAnsi" w:eastAsiaTheme="majorEastAsia" w:hAnsiTheme="majorHAnsi" w:cstheme="majorBidi"/>
          <w:sz w:val="40"/>
          <w:szCs w:val="40"/>
        </w:rPr>
      </w:pPr>
      <w:r w:rsidRPr="2CBB2B09">
        <w:rPr>
          <w:rFonts w:asciiTheme="majorHAnsi" w:eastAsiaTheme="majorEastAsia" w:hAnsiTheme="majorHAnsi" w:cstheme="majorBidi"/>
          <w:sz w:val="40"/>
          <w:szCs w:val="40"/>
        </w:rPr>
        <w:t>Bedömning av motorik </w:t>
      </w:r>
    </w:p>
    <w:p w14:paraId="04FF8D1A" w14:textId="77777777" w:rsidR="00A52DED" w:rsidRPr="00A52DED" w:rsidRDefault="00A52DED" w:rsidP="00A52DED">
      <w:pPr>
        <w:spacing w:after="0" w:line="240" w:lineRule="auto"/>
        <w:ind w:left="0" w:right="0"/>
        <w:textAlignment w:val="baseline"/>
        <w:rPr>
          <w:rFonts w:ascii="Segoe UI" w:hAnsi="Segoe UI" w:cs="Segoe UI"/>
          <w:sz w:val="18"/>
          <w:szCs w:val="18"/>
        </w:rPr>
      </w:pPr>
      <w:r w:rsidRPr="00A52DED">
        <w:rPr>
          <w:rFonts w:ascii="Arial" w:hAnsi="Arial" w:cs="Arial"/>
        </w:rPr>
        <w:t> </w:t>
      </w:r>
    </w:p>
    <w:p w14:paraId="5AD4E434" w14:textId="77777777" w:rsidR="00A52DED" w:rsidRPr="00A52DED" w:rsidRDefault="00A52DED" w:rsidP="2CBB2B09">
      <w:pPr>
        <w:spacing w:after="0" w:line="240" w:lineRule="auto"/>
        <w:ind w:left="0" w:right="0"/>
        <w:textAlignment w:val="baseline"/>
        <w:rPr>
          <w:rFonts w:asciiTheme="majorHAnsi" w:eastAsiaTheme="majorEastAsia" w:hAnsiTheme="majorHAnsi" w:cstheme="majorBidi"/>
          <w:sz w:val="36"/>
          <w:szCs w:val="36"/>
        </w:rPr>
      </w:pPr>
      <w:r w:rsidRPr="2CBB2B09">
        <w:rPr>
          <w:rFonts w:asciiTheme="majorHAnsi" w:eastAsiaTheme="majorEastAsia" w:hAnsiTheme="majorHAnsi" w:cstheme="majorBidi"/>
          <w:sz w:val="36"/>
          <w:szCs w:val="36"/>
        </w:rPr>
        <w:t>Fokalneurologi  </w:t>
      </w:r>
    </w:p>
    <w:p w14:paraId="34437CDA" w14:textId="77777777" w:rsidR="00A52DED" w:rsidRPr="00A52DED" w:rsidRDefault="00A52DED" w:rsidP="2CBB2B09">
      <w:pPr>
        <w:spacing w:after="0" w:line="240" w:lineRule="auto"/>
        <w:ind w:left="0" w:right="0"/>
        <w:textAlignment w:val="baseline"/>
      </w:pPr>
      <w:r w:rsidRPr="2CBB2B09">
        <w:t>a) Pares i armar: Funktionen i armarna hos vakna patienter bedöms genom att fatta patientens båda händer och be patienten krama dem. </w:t>
      </w:r>
    </w:p>
    <w:p w14:paraId="1C19887F" w14:textId="77777777" w:rsidR="00A52DED" w:rsidRPr="00A52DED" w:rsidRDefault="00A52DED" w:rsidP="2CBB2B09">
      <w:pPr>
        <w:spacing w:after="0" w:line="240" w:lineRule="auto"/>
        <w:ind w:left="0" w:right="0"/>
        <w:textAlignment w:val="baseline"/>
      </w:pPr>
      <w:r w:rsidRPr="2CBB2B09">
        <w:t>Om det är möjligt utför också </w:t>
      </w:r>
      <w:proofErr w:type="spellStart"/>
      <w:r w:rsidRPr="2CBB2B09">
        <w:t>Grassets</w:t>
      </w:r>
      <w:proofErr w:type="spellEnd"/>
      <w:r w:rsidRPr="2CBB2B09">
        <w:t xml:space="preserve"> test, som innebär att patienten blundar och lyfter båda armarna 45 gr från sängen med tummarna vridna utåt, handflatorna mot taket och håller stilla 5–10 sek en kort stund. Om ena armen pronerar (vrider sig inåt mot kroppen) och/eller sjunker så finns pares.   </w:t>
      </w:r>
    </w:p>
    <w:p w14:paraId="1A9626B0" w14:textId="77777777" w:rsidR="00A52DED" w:rsidRPr="00A52DED" w:rsidRDefault="00A52DED" w:rsidP="2CBB2B09">
      <w:pPr>
        <w:spacing w:after="0" w:line="240" w:lineRule="auto"/>
        <w:ind w:left="0" w:right="0"/>
        <w:textAlignment w:val="baseline"/>
      </w:pPr>
      <w:r w:rsidRPr="2CBB2B09">
        <w:t xml:space="preserve">b) Pares i ben: Benstyrkan undersöks genom att be patienten lyfta ett ben i taget eller vicka på fötterna/tårna, se även </w:t>
      </w:r>
      <w:proofErr w:type="spellStart"/>
      <w:r w:rsidRPr="2CBB2B09">
        <w:t>Bromageskalan</w:t>
      </w:r>
      <w:proofErr w:type="spellEnd"/>
      <w:r w:rsidRPr="2CBB2B09">
        <w:t xml:space="preserve"> nedan. Kittling eller smärtstimulering kan utlösa reflexer såsom </w:t>
      </w:r>
      <w:proofErr w:type="spellStart"/>
      <w:r w:rsidRPr="2CBB2B09">
        <w:t>Babinski</w:t>
      </w:r>
      <w:proofErr w:type="spellEnd"/>
      <w:r w:rsidRPr="2CBB2B09">
        <w:t>, vilket kan feltolkas som intakt motorik. </w:t>
      </w:r>
    </w:p>
    <w:p w14:paraId="0D56EA68" w14:textId="77777777" w:rsidR="00A52DED" w:rsidRPr="00A52DED" w:rsidRDefault="00A52DED" w:rsidP="2CBB2B09">
      <w:pPr>
        <w:spacing w:after="0" w:line="240" w:lineRule="auto"/>
        <w:ind w:left="0" w:right="0"/>
        <w:textAlignment w:val="baseline"/>
      </w:pPr>
      <w:r w:rsidRPr="2CBB2B09">
        <w:t>c) Facialispares: Föreligger om patienten enbart ensidigt drar upp mungipan vid smärtstimulering. Vaken patient kan testas genom att tillfrågas att le. </w:t>
      </w:r>
    </w:p>
    <w:p w14:paraId="5A6B61A9" w14:textId="77777777" w:rsidR="00A52DED" w:rsidRPr="00A52DED" w:rsidRDefault="00A52DED" w:rsidP="2CBB2B09">
      <w:pPr>
        <w:spacing w:after="0" w:line="240" w:lineRule="auto"/>
        <w:ind w:left="0" w:right="0"/>
        <w:textAlignment w:val="baseline"/>
      </w:pPr>
      <w:r w:rsidRPr="2CBB2B09">
        <w:t>d) Följer patienten uppmaning: Om patienten slutar följa kommandon (tex krama händer), misstänk afasi. </w:t>
      </w:r>
    </w:p>
    <w:p w14:paraId="471E0B01" w14:textId="53CC837B" w:rsidR="00A52DED" w:rsidRPr="00A52DED" w:rsidRDefault="00A52DED" w:rsidP="00A52DED">
      <w:pPr>
        <w:spacing w:after="0" w:line="240" w:lineRule="auto"/>
        <w:ind w:left="0" w:right="0"/>
        <w:textAlignment w:val="baseline"/>
        <w:rPr>
          <w:rFonts w:ascii="Arial" w:hAnsi="Arial" w:cs="Arial"/>
          <w:sz w:val="20"/>
          <w:szCs w:val="20"/>
        </w:rPr>
      </w:pPr>
      <w:r w:rsidRPr="2CBB2B09">
        <w:t> </w:t>
      </w:r>
    </w:p>
    <w:p w14:paraId="3F45AFD4" w14:textId="77777777" w:rsidR="00A52DED" w:rsidRPr="00A52DED" w:rsidRDefault="00A52DED" w:rsidP="2CBB2B09">
      <w:pPr>
        <w:spacing w:after="0" w:line="240" w:lineRule="auto"/>
        <w:ind w:left="0" w:right="0"/>
        <w:textAlignment w:val="baseline"/>
        <w:rPr>
          <w:rFonts w:asciiTheme="majorHAnsi" w:eastAsiaTheme="majorEastAsia" w:hAnsiTheme="majorHAnsi" w:cstheme="majorBidi"/>
          <w:sz w:val="36"/>
          <w:szCs w:val="36"/>
        </w:rPr>
      </w:pPr>
      <w:proofErr w:type="spellStart"/>
      <w:r w:rsidRPr="2CBB2B09">
        <w:rPr>
          <w:rFonts w:asciiTheme="majorHAnsi" w:eastAsiaTheme="majorEastAsia" w:hAnsiTheme="majorHAnsi" w:cstheme="majorBidi"/>
          <w:sz w:val="36"/>
          <w:szCs w:val="36"/>
        </w:rPr>
        <w:t>Bromage</w:t>
      </w:r>
      <w:proofErr w:type="spellEnd"/>
      <w:r w:rsidRPr="2CBB2B09">
        <w:rPr>
          <w:rFonts w:asciiTheme="majorHAnsi" w:eastAsiaTheme="majorEastAsia" w:hAnsiTheme="majorHAnsi" w:cstheme="majorBidi"/>
          <w:sz w:val="36"/>
          <w:szCs w:val="36"/>
        </w:rPr>
        <w:t> </w:t>
      </w:r>
    </w:p>
    <w:p w14:paraId="6F772E7B" w14:textId="77777777" w:rsidR="00A52DED" w:rsidRPr="00A52DED" w:rsidRDefault="00A52DED" w:rsidP="00A52DED">
      <w:pPr>
        <w:spacing w:after="0" w:line="240" w:lineRule="auto"/>
        <w:ind w:left="0" w:right="0"/>
        <w:textAlignment w:val="baseline"/>
        <w:rPr>
          <w:rFonts w:ascii="Segoe UI" w:hAnsi="Segoe UI" w:cs="Segoe UI"/>
          <w:sz w:val="18"/>
          <w:szCs w:val="18"/>
        </w:rPr>
      </w:pPr>
      <w:r w:rsidRPr="00A52DED">
        <w:rPr>
          <w:rFonts w:ascii="Arial" w:hAnsi="Arial" w:cs="Arial"/>
        </w:rPr>
        <w:t> </w:t>
      </w:r>
    </w:p>
    <w:p w14:paraId="4A3F160D" w14:textId="77777777" w:rsidR="00A52DED" w:rsidRPr="00A52DED" w:rsidRDefault="00A52DED" w:rsidP="2CBB2B09">
      <w:pPr>
        <w:spacing w:after="0" w:line="240" w:lineRule="auto"/>
        <w:ind w:left="0" w:right="0"/>
        <w:textAlignment w:val="baseline"/>
        <w:rPr>
          <w:rFonts w:asciiTheme="majorHAnsi" w:eastAsiaTheme="majorEastAsia" w:hAnsiTheme="majorHAnsi" w:cstheme="majorBidi"/>
          <w:sz w:val="32"/>
          <w:szCs w:val="32"/>
        </w:rPr>
      </w:pPr>
      <w:r w:rsidRPr="2CBB2B09">
        <w:rPr>
          <w:rFonts w:asciiTheme="majorHAnsi" w:eastAsiaTheme="majorEastAsia" w:hAnsiTheme="majorHAnsi" w:cstheme="majorBidi"/>
          <w:sz w:val="32"/>
          <w:szCs w:val="32"/>
        </w:rPr>
        <w:t>Motorik ben </w:t>
      </w:r>
    </w:p>
    <w:p w14:paraId="713DC3D1" w14:textId="77777777" w:rsidR="00A52DED" w:rsidRPr="00A52DED" w:rsidRDefault="00A52DED" w:rsidP="2CBB2B09">
      <w:pPr>
        <w:spacing w:after="0" w:line="240" w:lineRule="auto"/>
        <w:ind w:left="0" w:right="0"/>
        <w:textAlignment w:val="baseline"/>
      </w:pPr>
      <w:r w:rsidRPr="2CBB2B09">
        <w:rPr>
          <w:color w:val="1E1E1E"/>
          <w:shd w:val="clear" w:color="auto" w:fill="FFFFFF"/>
        </w:rPr>
        <w:t>0 = Full rörlighet i höft, knä och fot</w:t>
      </w:r>
      <w:r w:rsidRPr="2CBB2B09">
        <w:rPr>
          <w:color w:val="1E1E1E"/>
        </w:rPr>
        <w:t> </w:t>
      </w:r>
      <w:r w:rsidRPr="00A52DED">
        <w:rPr>
          <w:rFonts w:ascii="Arial" w:hAnsi="Arial" w:cs="Arial"/>
          <w:color w:val="1E1E1E"/>
          <w:sz w:val="20"/>
          <w:szCs w:val="20"/>
        </w:rPr>
        <w:br/>
      </w:r>
      <w:r w:rsidRPr="2CBB2B09">
        <w:rPr>
          <w:color w:val="1E1E1E"/>
          <w:shd w:val="clear" w:color="auto" w:fill="FFFFFF"/>
        </w:rPr>
        <w:t>1 = Kan röra knä och fotled, men ej lyfta benet</w:t>
      </w:r>
      <w:r w:rsidRPr="2CBB2B09">
        <w:rPr>
          <w:color w:val="1E1E1E"/>
        </w:rPr>
        <w:t> </w:t>
      </w:r>
      <w:r w:rsidRPr="00A52DED">
        <w:rPr>
          <w:rFonts w:ascii="Arial" w:hAnsi="Arial" w:cs="Arial"/>
          <w:color w:val="1E1E1E"/>
          <w:sz w:val="20"/>
          <w:szCs w:val="20"/>
        </w:rPr>
        <w:br/>
      </w:r>
      <w:r w:rsidRPr="2CBB2B09">
        <w:rPr>
          <w:color w:val="1E1E1E"/>
          <w:shd w:val="clear" w:color="auto" w:fill="FFFFFF"/>
        </w:rPr>
        <w:t>2 = Kan röra fotled</w:t>
      </w:r>
      <w:r w:rsidRPr="2CBB2B09">
        <w:rPr>
          <w:color w:val="1E1E1E"/>
        </w:rPr>
        <w:t> </w:t>
      </w:r>
      <w:r w:rsidRPr="00A52DED">
        <w:rPr>
          <w:rFonts w:ascii="Arial" w:hAnsi="Arial" w:cs="Arial"/>
          <w:color w:val="1E1E1E"/>
          <w:sz w:val="20"/>
          <w:szCs w:val="20"/>
        </w:rPr>
        <w:br/>
      </w:r>
      <w:r w:rsidRPr="2CBB2B09">
        <w:rPr>
          <w:color w:val="1E1E1E"/>
          <w:shd w:val="clear" w:color="auto" w:fill="FFFFFF"/>
        </w:rPr>
        <w:t>3 = Kan inte röra knä och fotled</w:t>
      </w:r>
      <w:r w:rsidRPr="2CBB2B09">
        <w:rPr>
          <w:color w:val="1E1E1E"/>
        </w:rPr>
        <w:t> </w:t>
      </w:r>
    </w:p>
    <w:p w14:paraId="698E139F" w14:textId="77777777" w:rsidR="00A52DED" w:rsidRPr="00A52DED" w:rsidRDefault="00A52DED" w:rsidP="2CBB2B09">
      <w:pPr>
        <w:spacing w:after="0" w:line="240" w:lineRule="auto"/>
        <w:ind w:left="0" w:right="0"/>
        <w:textAlignment w:val="baseline"/>
      </w:pPr>
      <w:r w:rsidRPr="2CBB2B09">
        <w:rPr>
          <w:color w:val="1E1E1E"/>
        </w:rPr>
        <w:t> </w:t>
      </w:r>
    </w:p>
    <w:p w14:paraId="0A93ADC8" w14:textId="77777777" w:rsidR="00A52DED" w:rsidRPr="00A52DED" w:rsidRDefault="00A52DED" w:rsidP="2CBB2B09">
      <w:pPr>
        <w:spacing w:after="0" w:line="240" w:lineRule="auto"/>
        <w:ind w:left="0" w:right="0"/>
        <w:textAlignment w:val="baseline"/>
        <w:rPr>
          <w:rFonts w:asciiTheme="majorHAnsi" w:eastAsiaTheme="majorEastAsia" w:hAnsiTheme="majorHAnsi" w:cstheme="majorBidi"/>
          <w:sz w:val="32"/>
          <w:szCs w:val="32"/>
        </w:rPr>
      </w:pPr>
      <w:r w:rsidRPr="2CBB2B09">
        <w:rPr>
          <w:rFonts w:asciiTheme="majorHAnsi" w:eastAsiaTheme="majorEastAsia" w:hAnsiTheme="majorHAnsi" w:cstheme="majorBidi"/>
          <w:sz w:val="32"/>
          <w:szCs w:val="32"/>
        </w:rPr>
        <w:t>Motorik armar </w:t>
      </w:r>
    </w:p>
    <w:p w14:paraId="5E7E7E2A" w14:textId="77777777" w:rsidR="00A52DED" w:rsidRPr="00A52DED" w:rsidRDefault="00A52DED" w:rsidP="2CBB2B09">
      <w:pPr>
        <w:spacing w:after="0" w:line="240" w:lineRule="auto"/>
        <w:ind w:left="0" w:right="0"/>
        <w:textAlignment w:val="baseline"/>
      </w:pPr>
      <w:r w:rsidRPr="2CBB2B09">
        <w:t>0 = normal  </w:t>
      </w:r>
    </w:p>
    <w:p w14:paraId="35BAE70D" w14:textId="77777777" w:rsidR="00A52DED" w:rsidRPr="00A52DED" w:rsidRDefault="00A52DED" w:rsidP="2CBB2B09">
      <w:pPr>
        <w:spacing w:after="0" w:line="240" w:lineRule="auto"/>
        <w:ind w:left="0" w:right="0"/>
        <w:textAlignment w:val="baseline"/>
      </w:pPr>
      <w:r w:rsidRPr="2CBB2B09">
        <w:t>1 = svaghet </w:t>
      </w:r>
    </w:p>
    <w:p w14:paraId="5E3EB6BC" w14:textId="77777777" w:rsidR="00A52DED" w:rsidRPr="00A52DED" w:rsidRDefault="00A52DED" w:rsidP="2CBB2B09">
      <w:pPr>
        <w:spacing w:after="0" w:line="240" w:lineRule="auto"/>
        <w:ind w:left="0" w:right="0"/>
        <w:textAlignment w:val="baseline"/>
      </w:pPr>
      <w:r w:rsidRPr="2CBB2B09">
        <w:t> </w:t>
      </w:r>
    </w:p>
    <w:p w14:paraId="26F54269" w14:textId="77777777" w:rsidR="00A52DED" w:rsidRPr="00A52DED" w:rsidRDefault="00A52DED" w:rsidP="2CBB2B09">
      <w:pPr>
        <w:spacing w:after="0" w:line="240" w:lineRule="auto"/>
        <w:ind w:left="0" w:right="0"/>
        <w:textAlignment w:val="baseline"/>
      </w:pPr>
      <w:r w:rsidRPr="2CBB2B09">
        <w:t>OBS! Ryggsmärtor och förlamning av benen kan vara tidigt tecken på epiduralt hematom/abscess. </w:t>
      </w:r>
    </w:p>
    <w:p w14:paraId="2A017024" w14:textId="77777777" w:rsidR="00A52DED" w:rsidRPr="00A52DED" w:rsidRDefault="00A52DED" w:rsidP="00A52DED">
      <w:pPr>
        <w:spacing w:after="0" w:line="240" w:lineRule="auto"/>
        <w:ind w:left="0" w:right="0"/>
        <w:textAlignment w:val="baseline"/>
        <w:rPr>
          <w:rFonts w:ascii="Segoe UI" w:hAnsi="Segoe UI" w:cs="Segoe UI"/>
          <w:sz w:val="18"/>
          <w:szCs w:val="18"/>
        </w:rPr>
      </w:pPr>
      <w:r w:rsidRPr="00A52DED">
        <w:rPr>
          <w:rFonts w:ascii="Arial" w:hAnsi="Arial" w:cs="Arial"/>
          <w:sz w:val="12"/>
          <w:szCs w:val="12"/>
        </w:rPr>
        <w:t> </w:t>
      </w:r>
    </w:p>
    <w:p w14:paraId="1437DF2F" w14:textId="77777777" w:rsidR="00A52DED" w:rsidRPr="00A52DED" w:rsidRDefault="00A52DED" w:rsidP="00A52DED">
      <w:pPr>
        <w:spacing w:after="0" w:line="240" w:lineRule="auto"/>
        <w:ind w:left="0" w:right="0"/>
        <w:textAlignment w:val="baseline"/>
        <w:rPr>
          <w:rFonts w:ascii="Arial" w:hAnsi="Arial" w:cs="Arial"/>
          <w:b/>
          <w:bCs/>
        </w:rPr>
      </w:pPr>
    </w:p>
    <w:p w14:paraId="45717BBE" w14:textId="4721CEE7" w:rsidR="3E8E4ED3" w:rsidRDefault="3E8E4ED3" w:rsidP="2CBB2B09">
      <w:pPr>
        <w:spacing w:after="0" w:line="240" w:lineRule="auto"/>
        <w:ind w:left="0" w:right="0"/>
      </w:pPr>
      <w:r w:rsidRPr="2CBB2B09">
        <w:t xml:space="preserve">Då ett flertal neurologiska kontroller ska följas kan ett separat arbetsblad användas, </w:t>
      </w:r>
      <w:proofErr w:type="spellStart"/>
      <w:r w:rsidRPr="2CBB2B09">
        <w:t>vg</w:t>
      </w:r>
      <w:proofErr w:type="spellEnd"/>
      <w:r w:rsidRPr="2CBB2B09">
        <w:t xml:space="preserve"> se </w:t>
      </w:r>
      <w:hyperlink r:id="rId18">
        <w:r w:rsidRPr="2CBB2B09">
          <w:rPr>
            <w:rStyle w:val="Hyperlink"/>
          </w:rPr>
          <w:t>k</w:t>
        </w:r>
        <w:r w:rsidR="24D41FD4" w:rsidRPr="2CBB2B09">
          <w:rPr>
            <w:rStyle w:val="Hyperlink"/>
          </w:rPr>
          <w:t xml:space="preserve">ontrollista </w:t>
        </w:r>
        <w:r w:rsidR="1DE0C16C" w:rsidRPr="2CBB2B09">
          <w:rPr>
            <w:rStyle w:val="Hyperlink"/>
          </w:rPr>
          <w:t>neurologiskt status</w:t>
        </w:r>
      </w:hyperlink>
      <w:r w:rsidR="482F4CF6" w:rsidRPr="2CBB2B09">
        <w:t>.</w:t>
      </w:r>
    </w:p>
    <w:p w14:paraId="22D32C7E" w14:textId="163E197F" w:rsidR="2CBB2B09" w:rsidRDefault="2CBB2B09" w:rsidP="2CBB2B09">
      <w:pPr>
        <w:spacing w:after="0" w:line="240" w:lineRule="auto"/>
        <w:ind w:left="0" w:right="0"/>
        <w:rPr>
          <w:rFonts w:ascii="Arial" w:hAnsi="Arial" w:cs="Arial"/>
          <w:b/>
          <w:bCs/>
        </w:rPr>
      </w:pPr>
    </w:p>
    <w:p w14:paraId="3E79DA34" w14:textId="11AAA4FD" w:rsidR="00A52DED" w:rsidRPr="00A52DED" w:rsidRDefault="53F5A2A0" w:rsidP="2CBB2B09">
      <w:pPr>
        <w:spacing w:after="0" w:line="240" w:lineRule="auto"/>
        <w:ind w:left="0" w:right="0"/>
        <w:textAlignment w:val="baseline"/>
        <w:rPr>
          <w:rFonts w:asciiTheme="majorHAnsi" w:eastAsiaTheme="majorEastAsia" w:hAnsiTheme="majorHAnsi" w:cstheme="majorBidi"/>
          <w:sz w:val="40"/>
          <w:szCs w:val="40"/>
        </w:rPr>
      </w:pPr>
      <w:r w:rsidRPr="2CBB2B09">
        <w:rPr>
          <w:rFonts w:asciiTheme="majorHAnsi" w:eastAsiaTheme="majorEastAsia" w:hAnsiTheme="majorHAnsi" w:cstheme="majorBidi"/>
          <w:sz w:val="40"/>
          <w:szCs w:val="40"/>
        </w:rPr>
        <w:t>A</w:t>
      </w:r>
      <w:r w:rsidR="00A52DED" w:rsidRPr="2CBB2B09">
        <w:rPr>
          <w:rFonts w:asciiTheme="majorHAnsi" w:eastAsiaTheme="majorEastAsia" w:hAnsiTheme="majorHAnsi" w:cstheme="majorBidi"/>
          <w:sz w:val="40"/>
          <w:szCs w:val="40"/>
        </w:rPr>
        <w:t>rbetsgrupp</w:t>
      </w:r>
    </w:p>
    <w:p w14:paraId="63B4C558" w14:textId="77777777" w:rsidR="00A52DED" w:rsidRPr="00A52DED" w:rsidRDefault="00A52DED" w:rsidP="2CBB2B09">
      <w:pPr>
        <w:spacing w:after="0" w:line="240" w:lineRule="auto"/>
        <w:ind w:left="0" w:right="0"/>
        <w:textAlignment w:val="baseline"/>
      </w:pPr>
      <w:r w:rsidRPr="2CBB2B09">
        <w:t>Lukas Lannemyr, VÖL TIVA och Marielle Fohlin Leidefeldt, instruktör TIVA.</w:t>
      </w:r>
    </w:p>
    <w:p w14:paraId="2903B39C" w14:textId="77777777" w:rsidR="00A52DED" w:rsidRPr="00A52DED" w:rsidRDefault="00A52DED" w:rsidP="2CBB2B09">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A52DE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18EC59" w14:textId="77777777" w:rsidR="00363B23" w:rsidRDefault="00363B23">
      <w:r>
        <w:separator/>
      </w:r>
    </w:p>
  </w:endnote>
  <w:endnote w:type="continuationSeparator" w:id="0">
    <w:p w14:paraId="39E943A9" w14:textId="77777777" w:rsidR="00363B23" w:rsidRDefault="00363B23">
      <w:r>
        <w:continuationSeparator/>
      </w:r>
    </w:p>
  </w:endnote>
  <w:endnote w:type="continuationNotice" w:id="1">
    <w:p w14:paraId="4DBA896B"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D8206F" w14:textId="77777777" w:rsidR="00363B23" w:rsidRDefault="00363B23"/>
  </w:footnote>
  <w:footnote w:type="continuationSeparator" w:id="0">
    <w:p w14:paraId="1D7A575C" w14:textId="77777777" w:rsidR="00363B23" w:rsidRDefault="00363B23">
      <w:r>
        <w:continuationSeparator/>
      </w:r>
    </w:p>
  </w:footnote>
  <w:footnote w:type="continuationNotice" w:id="1">
    <w:p w14:paraId="45AD1FA1"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w14:anchorId="4BCA494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xmlns:arto="http://schemas.microsoft.com/office/word/2006/arto">
          <w:pict w14:anchorId="6BCD4605">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FKpOcaTfEZoIVr" int2:id="K0xjybRa">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72183979">
    <w:abstractNumId w:val="17"/>
  </w:num>
  <w:num w:numId="2" w16cid:durableId="2031255527">
    <w:abstractNumId w:val="14"/>
  </w:num>
  <w:num w:numId="3" w16cid:durableId="601033199">
    <w:abstractNumId w:val="0"/>
  </w:num>
  <w:num w:numId="4" w16cid:durableId="1330988531">
    <w:abstractNumId w:val="6"/>
  </w:num>
  <w:num w:numId="5" w16cid:durableId="1337924631">
    <w:abstractNumId w:val="15"/>
  </w:num>
  <w:num w:numId="6" w16cid:durableId="1596133548">
    <w:abstractNumId w:val="2"/>
  </w:num>
  <w:num w:numId="7" w16cid:durableId="1161627610">
    <w:abstractNumId w:val="11"/>
  </w:num>
  <w:num w:numId="8" w16cid:durableId="1726099428">
    <w:abstractNumId w:val="8"/>
  </w:num>
  <w:num w:numId="9" w16cid:durableId="1888104095">
    <w:abstractNumId w:val="1"/>
  </w:num>
  <w:num w:numId="10" w16cid:durableId="1087382246">
    <w:abstractNumId w:val="1"/>
  </w:num>
  <w:num w:numId="11" w16cid:durableId="257561612">
    <w:abstractNumId w:val="3"/>
  </w:num>
  <w:num w:numId="12" w16cid:durableId="1189098403">
    <w:abstractNumId w:val="4"/>
  </w:num>
  <w:num w:numId="13" w16cid:durableId="903179023">
    <w:abstractNumId w:val="13"/>
  </w:num>
  <w:num w:numId="14" w16cid:durableId="1613397435">
    <w:abstractNumId w:val="9"/>
  </w:num>
  <w:num w:numId="15" w16cid:durableId="1273053398">
    <w:abstractNumId w:val="7"/>
  </w:num>
  <w:num w:numId="16" w16cid:durableId="518666054">
    <w:abstractNumId w:val="12"/>
  </w:num>
  <w:num w:numId="17" w16cid:durableId="852959096">
    <w:abstractNumId w:val="5"/>
  </w:num>
  <w:num w:numId="18" w16cid:durableId="1924605186">
    <w:abstractNumId w:val="10"/>
  </w:num>
  <w:num w:numId="19" w16cid:durableId="180080269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20BB8"/>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A1F"/>
    <w:rsid w:val="00363B23"/>
    <w:rsid w:val="0036594C"/>
    <w:rsid w:val="00367D19"/>
    <w:rsid w:val="00371BED"/>
    <w:rsid w:val="00384019"/>
    <w:rsid w:val="003854F1"/>
    <w:rsid w:val="0039118E"/>
    <w:rsid w:val="00397F54"/>
    <w:rsid w:val="003A0D43"/>
    <w:rsid w:val="003A216A"/>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0929"/>
    <w:rsid w:val="004A355D"/>
    <w:rsid w:val="004A4970"/>
    <w:rsid w:val="004B2183"/>
    <w:rsid w:val="004B2A01"/>
    <w:rsid w:val="004C2559"/>
    <w:rsid w:val="004D2250"/>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58E"/>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2DED"/>
    <w:rsid w:val="00A54A0B"/>
    <w:rsid w:val="00A65FD4"/>
    <w:rsid w:val="00A714D5"/>
    <w:rsid w:val="00A76B5D"/>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3B1E"/>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E655D8"/>
    <w:rsid w:val="024801E3"/>
    <w:rsid w:val="15C85A39"/>
    <w:rsid w:val="17642A9A"/>
    <w:rsid w:val="18E6D29E"/>
    <w:rsid w:val="1C379BBD"/>
    <w:rsid w:val="1C435186"/>
    <w:rsid w:val="1DE0C16C"/>
    <w:rsid w:val="24D41FD4"/>
    <w:rsid w:val="2CBB2B09"/>
    <w:rsid w:val="3710324F"/>
    <w:rsid w:val="3E8E4ED3"/>
    <w:rsid w:val="40A2EA55"/>
    <w:rsid w:val="423EBAB6"/>
    <w:rsid w:val="482F4CF6"/>
    <w:rsid w:val="53998001"/>
    <w:rsid w:val="53F5A2A0"/>
    <w:rsid w:val="5D406247"/>
    <w:rsid w:val="647B2B65"/>
    <w:rsid w:val="6B2CF8ED"/>
    <w:rsid w:val="6CAE78A3"/>
    <w:rsid w:val="6FE61965"/>
    <w:rsid w:val="7181E9C6"/>
    <w:rsid w:val="731DBA27"/>
    <w:rsid w:val="77F918D0"/>
    <w:rsid w:val="7994E931"/>
    <w:rsid w:val="7B30B99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6D600135-BE22-492D-AC27-6699D041ED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tabs>
        <w:tab w:val="num" w:pos="720"/>
      </w:tabs>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samarbete-skyddad.vgregion.se/sites/sy-su-thoraxintensivavdelning/Delade%20dokument/Menytr%C3%A4d%20v%C3%A4.%20sida/Dokument/Arbetsbeskrivningar/Kontrollista-Neurologiskt%20status.pdf" TargetMode="External" Id="rId18" /><Relationship Type="http://schemas.microsoft.com/office/2020/10/relationships/intelligence" Target="intelligence2.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4</TotalTime>
  <Pages>1</Pages>
  <Words>561</Words>
  <Characters>3203</Characters>
  <Application>Microsoft Office Word</Application>
  <DocSecurity>4</DocSecurity>
  <Lines>26</Lines>
  <Paragraphs>7</Paragraphs>
  <ScaleCrop>false</ScaleCrop>
  <Manager/>
  <Company/>
  <LinksUpToDate>false</LinksUpToDate>
  <CharactersWithSpaces>3757</CharactersWithSpaces>
  <SharedDoc>false</SharedDoc>
  <HyperlinkBase/>
  <HLinks>
    <vt:vector size="6" baseType="variant">
      <vt:variant>
        <vt:i4>7340136</vt:i4>
      </vt:variant>
      <vt:variant>
        <vt:i4>0</vt:i4>
      </vt:variant>
      <vt:variant>
        <vt:i4>0</vt:i4>
      </vt:variant>
      <vt:variant>
        <vt:i4>5</vt:i4>
      </vt:variant>
      <vt:variant>
        <vt:lpwstr>https://samarbete-skyddad.vgregion.se/sites/sy-su-thoraxintensivavdelning/Delade dokument/Menytr%C3%A4d v%C3%A4. sida/Dokument/Arbetsbeskrivningar/Kontrollista-Neurologiskt status.pdf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Neurologisk kontroll och dokumentation</dc:title>
  <dc:subject/>
  <dc:creator>patrik.jens.johansson@vgregion.se</dc:creator>
  <keywords/>
  <lastModifiedBy>Marielle Fohlin Leidefeldt</lastModifiedBy>
  <revision>9</revision>
  <lastPrinted>2016-03-31T19:56:00.0000000Z</lastPrinted>
  <dcterms:created xsi:type="dcterms:W3CDTF">2022-06-09T00:10:00.0000000Z</dcterms:created>
  <dcterms:modified xsi:type="dcterms:W3CDTF">2022-12-12T17:39:00.0000000Z</dcterms:modified>
</coreProperties>
</file>