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F167C" w:rsidP="0DE4F60D" w:rsidRDefault="00EF167C" w14:paraId="36B3D0AC" w14:textId="7CF34DD2">
      <w:pPr>
        <w:pStyle w:val="Heading2"/>
        <w:ind w:left="0"/>
        <w:rPr>
          <w:sz w:val="48"/>
          <w:szCs w:val="48"/>
        </w:rPr>
      </w:pPr>
      <w:r w:rsidRPr="0DE4F60D" w:rsidR="069990A5">
        <w:rPr>
          <w:sz w:val="48"/>
          <w:szCs w:val="48"/>
        </w:rPr>
        <w:t>Läkemedel - Diamox</w:t>
      </w:r>
    </w:p>
    <w:p w:rsidR="0DE4F60D" w:rsidP="0DE4F60D" w:rsidRDefault="0DE4F60D" w14:paraId="4D5BFAD3" w14:textId="13C01E72">
      <w:pPr>
        <w:pStyle w:val="Normal"/>
        <w:sectPr w:rsidR="00EF167C" w:rsidSect="00EF16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F167C" w:rsidR="00EF167C" w:rsidP="00EF167C" w:rsidRDefault="00EF167C" w14:paraId="2B592BFB" w14:textId="77777777">
      <w:pPr>
        <w:tabs>
          <w:tab w:val="left" w:pos="3261"/>
        </w:tabs>
        <w:spacing w:after="0" w:line="240" w:lineRule="auto"/>
        <w:ind w:left="2552" w:right="0" w:hanging="2836"/>
        <w:rPr>
          <w:b/>
          <w:bCs/>
          <w:sz w:val="20"/>
          <w:szCs w:val="20"/>
        </w:rPr>
      </w:pPr>
      <w:r w:rsidRPr="00EF167C">
        <w:rPr>
          <w:b/>
          <w:bCs/>
          <w:sz w:val="20"/>
          <w:szCs w:val="20"/>
        </w:rPr>
        <w:t>LÄKEMEDELS-</w:t>
      </w: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>Injektionssubstans i torrampull innehållande 500 mg.</w:t>
      </w:r>
      <w:r w:rsidRPr="00EF167C">
        <w:rPr>
          <w:b/>
          <w:bCs/>
          <w:sz w:val="20"/>
          <w:szCs w:val="20"/>
        </w:rPr>
        <w:tab/>
      </w:r>
    </w:p>
    <w:p w:rsidRPr="00EF167C" w:rsidR="00EF167C" w:rsidP="00EF167C" w:rsidRDefault="00EF167C" w14:paraId="16F8F954" w14:textId="77777777">
      <w:pPr>
        <w:tabs>
          <w:tab w:val="left" w:pos="3261"/>
        </w:tabs>
        <w:spacing w:after="0" w:line="240" w:lineRule="auto"/>
        <w:ind w:left="2552" w:right="0" w:hanging="2836"/>
        <w:rPr>
          <w:b/>
          <w:bCs/>
          <w:sz w:val="20"/>
          <w:szCs w:val="20"/>
        </w:rPr>
      </w:pPr>
      <w:r w:rsidRPr="00EF167C">
        <w:rPr>
          <w:b/>
          <w:bCs/>
          <w:sz w:val="20"/>
          <w:szCs w:val="20"/>
        </w:rPr>
        <w:t>BESKRIVNING</w:t>
      </w: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>Diamox innehåller acetazolamid som är en kolsyre-anhydrashämmare.</w:t>
      </w:r>
    </w:p>
    <w:p w:rsidRPr="00EF167C" w:rsidR="00EF167C" w:rsidP="00EF167C" w:rsidRDefault="00EF167C" w14:paraId="6881C762" w14:textId="77777777">
      <w:pPr>
        <w:tabs>
          <w:tab w:val="left" w:pos="3261"/>
        </w:tabs>
        <w:spacing w:after="0" w:line="240" w:lineRule="auto"/>
        <w:ind w:left="2552" w:right="0" w:hanging="2552"/>
        <w:rPr>
          <w:szCs w:val="20"/>
        </w:rPr>
      </w:pPr>
      <w:r w:rsidRPr="00EF167C">
        <w:rPr>
          <w:szCs w:val="20"/>
        </w:rPr>
        <w:tab/>
      </w:r>
      <w:r w:rsidRPr="00EF167C">
        <w:rPr>
          <w:szCs w:val="20"/>
        </w:rPr>
        <w:t>Acetazolamid är ett sulfonamidderivat utan bakteriostatisk effekt.</w:t>
      </w:r>
    </w:p>
    <w:p w:rsidRPr="00EF167C" w:rsidR="00EF167C" w:rsidP="00EF167C" w:rsidRDefault="00EF167C" w14:paraId="55CAD976" w14:textId="77777777">
      <w:pPr>
        <w:tabs>
          <w:tab w:val="left" w:pos="3261"/>
        </w:tabs>
        <w:spacing w:after="0" w:line="240" w:lineRule="auto"/>
        <w:ind w:left="2552" w:right="0" w:hanging="2552"/>
        <w:rPr>
          <w:szCs w:val="20"/>
        </w:rPr>
      </w:pPr>
      <w:r w:rsidRPr="00EF167C">
        <w:rPr>
          <w:szCs w:val="20"/>
        </w:rPr>
        <w:tab/>
      </w:r>
      <w:r w:rsidRPr="00EF167C">
        <w:rPr>
          <w:szCs w:val="20"/>
        </w:rPr>
        <w:t>Acetazolamids effekter är:</w:t>
      </w:r>
      <w:r w:rsidRPr="00EF167C">
        <w:rPr>
          <w:szCs w:val="20"/>
        </w:rPr>
        <w:br/>
      </w:r>
      <w:r w:rsidRPr="00EF167C">
        <w:rPr>
          <w:szCs w:val="20"/>
        </w:rPr>
        <w:t>I njuren, befrämjar diuresen med förstärkt utsöndring av Na</w:t>
      </w:r>
      <w:r w:rsidRPr="00EF167C">
        <w:rPr>
          <w:szCs w:val="20"/>
          <w:vertAlign w:val="superscript"/>
        </w:rPr>
        <w:t>+</w:t>
      </w:r>
      <w:r w:rsidRPr="00EF167C">
        <w:rPr>
          <w:szCs w:val="20"/>
        </w:rPr>
        <w:t>, K</w:t>
      </w:r>
      <w:r w:rsidRPr="00EF167C">
        <w:rPr>
          <w:szCs w:val="20"/>
          <w:vertAlign w:val="superscript"/>
        </w:rPr>
        <w:t>+</w:t>
      </w:r>
      <w:r w:rsidRPr="00EF167C">
        <w:rPr>
          <w:szCs w:val="20"/>
        </w:rPr>
        <w:t>, HCO</w:t>
      </w:r>
      <w:r w:rsidRPr="00EF167C">
        <w:rPr>
          <w:b/>
          <w:szCs w:val="20"/>
          <w:vertAlign w:val="subscript"/>
        </w:rPr>
        <w:t>3</w:t>
      </w:r>
      <w:r w:rsidRPr="00EF167C">
        <w:rPr>
          <w:szCs w:val="20"/>
        </w:rPr>
        <w:t>- och vatten.</w:t>
      </w:r>
    </w:p>
    <w:p w:rsidRPr="00EF167C" w:rsidR="00EF167C" w:rsidP="00EF167C" w:rsidRDefault="00EF167C" w14:paraId="62055C0E" w14:textId="77777777">
      <w:pPr>
        <w:tabs>
          <w:tab w:val="left" w:pos="3969"/>
        </w:tabs>
        <w:spacing w:after="0" w:line="240" w:lineRule="auto"/>
        <w:ind w:left="2552" w:right="0" w:hanging="2552"/>
        <w:rPr>
          <w:szCs w:val="20"/>
        </w:rPr>
      </w:pPr>
      <w:r w:rsidRPr="00EF167C">
        <w:rPr>
          <w:szCs w:val="20"/>
        </w:rPr>
        <w:tab/>
      </w:r>
      <w:r w:rsidRPr="00EF167C">
        <w:rPr>
          <w:szCs w:val="20"/>
        </w:rPr>
        <w:t>I ögat, sänkning av intraokulärt tryck vid glaukom.</w:t>
      </w:r>
    </w:p>
    <w:p w:rsidRPr="00EF167C" w:rsidR="00EF167C" w:rsidP="00EF167C" w:rsidRDefault="00EF167C" w14:paraId="02A97D46" w14:textId="77777777">
      <w:pPr>
        <w:tabs>
          <w:tab w:val="left" w:pos="3969"/>
        </w:tabs>
        <w:spacing w:after="0" w:line="240" w:lineRule="auto"/>
        <w:ind w:left="2552" w:right="0" w:hanging="2552"/>
        <w:rPr>
          <w:szCs w:val="20"/>
        </w:rPr>
      </w:pPr>
      <w:r w:rsidRPr="00EF167C">
        <w:rPr>
          <w:szCs w:val="20"/>
        </w:rPr>
        <w:tab/>
      </w:r>
      <w:r w:rsidRPr="00EF167C">
        <w:rPr>
          <w:szCs w:val="20"/>
        </w:rPr>
        <w:t>I centrala nervsystemet, gynnsam effekt vid hjärnödem och epilepsi.</w:t>
      </w:r>
    </w:p>
    <w:p w:rsidRPr="00EF167C" w:rsidR="00EF167C" w:rsidP="00EF167C" w:rsidRDefault="00EF167C" w14:paraId="3B37A765" w14:textId="77777777">
      <w:pPr>
        <w:tabs>
          <w:tab w:val="left" w:pos="2552"/>
        </w:tabs>
        <w:spacing w:after="0" w:line="240" w:lineRule="auto"/>
        <w:ind w:left="3969" w:right="0" w:hanging="3969"/>
        <w:rPr>
          <w:szCs w:val="20"/>
        </w:rPr>
      </w:pPr>
      <w:r w:rsidRPr="00EF167C">
        <w:rPr>
          <w:szCs w:val="20"/>
        </w:rPr>
        <w:tab/>
      </w:r>
      <w:r w:rsidRPr="00EF167C">
        <w:rPr>
          <w:szCs w:val="20"/>
        </w:rPr>
        <w:t>Preparatet har snabbt insättande effekt och utsöndras inom</w:t>
      </w:r>
    </w:p>
    <w:p w:rsidRPr="00EF167C" w:rsidR="00EF167C" w:rsidP="00EF167C" w:rsidRDefault="00EF167C" w14:paraId="611D93AD" w14:textId="77777777">
      <w:pPr>
        <w:tabs>
          <w:tab w:val="left" w:pos="2552"/>
        </w:tabs>
        <w:spacing w:after="0" w:line="240" w:lineRule="auto"/>
        <w:ind w:left="3969" w:right="0" w:hanging="3969"/>
        <w:rPr>
          <w:szCs w:val="20"/>
        </w:rPr>
      </w:pPr>
      <w:r w:rsidRPr="00EF167C">
        <w:rPr>
          <w:szCs w:val="20"/>
        </w:rPr>
        <w:tab/>
      </w:r>
      <w:r w:rsidRPr="00EF167C">
        <w:rPr>
          <w:szCs w:val="20"/>
        </w:rPr>
        <w:t>24 timmar.</w:t>
      </w:r>
    </w:p>
    <w:p w:rsidRPr="00EF167C" w:rsidR="00EF167C" w:rsidP="00EF167C" w:rsidRDefault="00EF167C" w14:paraId="46B7375A" w14:textId="77777777">
      <w:pPr>
        <w:tabs>
          <w:tab w:val="left" w:pos="2552"/>
        </w:tabs>
        <w:spacing w:after="0" w:line="240" w:lineRule="auto"/>
        <w:ind w:left="3969" w:right="0" w:hanging="3969"/>
        <w:rPr>
          <w:szCs w:val="20"/>
        </w:rPr>
      </w:pPr>
    </w:p>
    <w:p w:rsidRPr="00EF167C" w:rsidR="00EF167C" w:rsidP="00EF167C" w:rsidRDefault="00EF167C" w14:paraId="7DD359EC" w14:textId="77777777">
      <w:pPr>
        <w:tabs>
          <w:tab w:val="left" w:pos="2552"/>
        </w:tabs>
        <w:spacing w:after="0" w:line="240" w:lineRule="auto"/>
        <w:ind w:left="3969" w:right="0" w:hanging="3969"/>
        <w:rPr>
          <w:szCs w:val="20"/>
        </w:rPr>
      </w:pPr>
    </w:p>
    <w:p w:rsidRPr="00EF167C" w:rsidR="00EF167C" w:rsidP="00EF167C" w:rsidRDefault="00EF167C" w14:paraId="302DB7F5" w14:textId="77777777">
      <w:pPr>
        <w:tabs>
          <w:tab w:val="left" w:pos="3261"/>
        </w:tabs>
        <w:spacing w:after="0" w:line="240" w:lineRule="auto"/>
        <w:ind w:left="2552" w:right="0" w:hanging="2836"/>
        <w:rPr>
          <w:b/>
          <w:bCs/>
          <w:sz w:val="20"/>
          <w:szCs w:val="20"/>
        </w:rPr>
      </w:pPr>
      <w:r w:rsidRPr="00EF167C">
        <w:rPr>
          <w:b/>
          <w:bCs/>
          <w:sz w:val="20"/>
          <w:szCs w:val="20"/>
        </w:rPr>
        <w:t>INDIKATION</w:t>
      </w: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>Ödem av olika genes</w:t>
      </w:r>
    </w:p>
    <w:p w:rsidRPr="00EF167C" w:rsidR="00EF167C" w:rsidP="00EF167C" w:rsidRDefault="00EF167C" w14:paraId="64F70A58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>Diuretikum vid alkalos</w:t>
      </w:r>
      <w:r w:rsidRPr="00EF167C">
        <w:rPr>
          <w:color w:val="FF0000"/>
          <w:szCs w:val="20"/>
        </w:rPr>
        <w:t xml:space="preserve"> </w:t>
      </w:r>
      <w:r w:rsidRPr="00EF167C">
        <w:rPr>
          <w:color w:val="FF0000"/>
          <w:szCs w:val="20"/>
        </w:rPr>
        <w:br/>
      </w:r>
      <w:r w:rsidRPr="00EF167C">
        <w:rPr>
          <w:szCs w:val="20"/>
        </w:rPr>
        <w:t xml:space="preserve">Glaucom </w:t>
      </w:r>
      <w:r w:rsidRPr="00EF167C">
        <w:rPr>
          <w:szCs w:val="20"/>
        </w:rPr>
        <w:br/>
      </w:r>
      <w:r w:rsidRPr="00EF167C">
        <w:rPr>
          <w:szCs w:val="20"/>
        </w:rPr>
        <w:br/>
      </w:r>
    </w:p>
    <w:p w:rsidRPr="00EF167C" w:rsidR="00EF167C" w:rsidP="00EF167C" w:rsidRDefault="00EF167C" w14:paraId="7454B1B9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  <w:r w:rsidRPr="00EF167C">
        <w:rPr>
          <w:b/>
          <w:bCs/>
          <w:sz w:val="20"/>
          <w:szCs w:val="20"/>
        </w:rPr>
        <w:t>BIVERKNINGAR</w:t>
      </w: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 xml:space="preserve">Trötthet, yrsel, metabolisk acidos. </w:t>
      </w:r>
      <w:r w:rsidRPr="00EF167C">
        <w:rPr>
          <w:szCs w:val="20"/>
        </w:rPr>
        <w:br/>
      </w:r>
    </w:p>
    <w:p w:rsidRPr="00EF167C" w:rsidR="00EF167C" w:rsidP="00EF167C" w:rsidRDefault="00EF167C" w14:paraId="70330BA7" w14:textId="77777777">
      <w:pPr>
        <w:tabs>
          <w:tab w:val="left" w:pos="3261"/>
        </w:tabs>
        <w:spacing w:after="0" w:line="240" w:lineRule="auto"/>
        <w:ind w:left="2552" w:right="0" w:hanging="2836"/>
        <w:rPr>
          <w:b/>
          <w:bCs/>
          <w:sz w:val="20"/>
          <w:szCs w:val="20"/>
        </w:rPr>
      </w:pPr>
    </w:p>
    <w:p w:rsidRPr="00EF167C" w:rsidR="00EF167C" w:rsidP="00EF167C" w:rsidRDefault="00EF167C" w14:paraId="7152F2D6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  <w:r w:rsidRPr="00EF167C">
        <w:rPr>
          <w:b/>
          <w:bCs/>
          <w:sz w:val="20"/>
          <w:szCs w:val="20"/>
        </w:rPr>
        <w:t>KONTRAINDIKATIONER</w:t>
      </w: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>Mb Addison, grav lever eller njurfunktionsnedsättning.</w:t>
      </w:r>
    </w:p>
    <w:p w:rsidRPr="00EF167C" w:rsidR="00EF167C" w:rsidP="00EF167C" w:rsidRDefault="00EF167C" w14:paraId="163AEE9C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  <w:r w:rsidRPr="00EF167C">
        <w:rPr>
          <w:szCs w:val="20"/>
        </w:rPr>
        <w:tab/>
      </w:r>
      <w:r w:rsidRPr="00EF167C">
        <w:rPr>
          <w:szCs w:val="20"/>
        </w:rPr>
        <w:t>Överkänslighet mot sulfonamider.</w:t>
      </w:r>
    </w:p>
    <w:p w:rsidRPr="00EF167C" w:rsidR="00EF167C" w:rsidP="00EF167C" w:rsidRDefault="00EF167C" w14:paraId="6DE09BAE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</w:p>
    <w:p w:rsidRPr="00EF167C" w:rsidR="00EF167C" w:rsidP="00EF167C" w:rsidRDefault="00EF167C" w14:paraId="5CC14736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</w:p>
    <w:p w:rsidRPr="00EF167C" w:rsidR="00EF167C" w:rsidP="00EF167C" w:rsidRDefault="00EF167C" w14:paraId="7DD5DD1F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  <w:r w:rsidRPr="00EF167C">
        <w:rPr>
          <w:b/>
          <w:bCs/>
          <w:sz w:val="20"/>
          <w:szCs w:val="20"/>
        </w:rPr>
        <w:t>SPÄDNING</w:t>
      </w: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 xml:space="preserve">Injektionsflaskans innehåll löses i 5 ml sterilt vatten. </w:t>
      </w:r>
    </w:p>
    <w:p w:rsidRPr="00EF167C" w:rsidR="00EF167C" w:rsidP="00EF167C" w:rsidRDefault="00EF167C" w14:paraId="1090EDCB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</w:p>
    <w:p w:rsidRPr="00EF167C" w:rsidR="00EF167C" w:rsidP="00EF167C" w:rsidRDefault="00EF167C" w14:paraId="22FF3E38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</w:p>
    <w:p w:rsidRPr="00EF167C" w:rsidR="00EF167C" w:rsidP="00EF167C" w:rsidRDefault="00EF167C" w14:paraId="3502AA09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  <w:r w:rsidRPr="00EF167C">
        <w:rPr>
          <w:b/>
          <w:bCs/>
          <w:sz w:val="20"/>
          <w:szCs w:val="20"/>
        </w:rPr>
        <w:t>DOSERING</w:t>
      </w: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>500 mg x 1-4 efter behov och patientens syra-bas-status.</w:t>
      </w:r>
    </w:p>
    <w:p w:rsidRPr="00EF167C" w:rsidR="00EF167C" w:rsidP="00EF167C" w:rsidRDefault="00EF167C" w14:paraId="4241DDE2" w14:textId="77777777">
      <w:pPr>
        <w:tabs>
          <w:tab w:val="left" w:pos="3261"/>
        </w:tabs>
        <w:spacing w:after="0" w:line="240" w:lineRule="auto"/>
        <w:ind w:left="2552" w:right="0" w:hanging="2836"/>
        <w:rPr>
          <w:sz w:val="22"/>
          <w:szCs w:val="20"/>
        </w:rPr>
      </w:pPr>
    </w:p>
    <w:p w:rsidRPr="00EF167C" w:rsidR="00EF167C" w:rsidP="00EF167C" w:rsidRDefault="00EF167C" w14:paraId="73E9ECEF" w14:textId="77777777">
      <w:pPr>
        <w:tabs>
          <w:tab w:val="left" w:pos="3261"/>
        </w:tabs>
        <w:spacing w:after="0" w:line="240" w:lineRule="auto"/>
        <w:ind w:left="2552" w:right="0" w:hanging="2836"/>
        <w:rPr>
          <w:sz w:val="22"/>
          <w:szCs w:val="20"/>
        </w:rPr>
      </w:pPr>
    </w:p>
    <w:p w:rsidRPr="00EF167C" w:rsidR="00EF167C" w:rsidP="00EF167C" w:rsidRDefault="00EF167C" w14:paraId="703371C0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  <w:r w:rsidRPr="00EF167C">
        <w:rPr>
          <w:b/>
          <w:bCs/>
          <w:sz w:val="20"/>
          <w:szCs w:val="20"/>
        </w:rPr>
        <w:t>HÅLLBARHET</w:t>
      </w: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>Färdigblandad lösning är hållbar i 12 timmar i rumstemperatur.</w:t>
      </w:r>
    </w:p>
    <w:p w:rsidRPr="00EF167C" w:rsidR="00EF167C" w:rsidP="00EF167C" w:rsidRDefault="00EF167C" w14:paraId="009FC65E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</w:p>
    <w:p w:rsidRPr="00EF167C" w:rsidR="00EF167C" w:rsidP="00EF167C" w:rsidRDefault="00EF167C" w14:paraId="0C89C21E" w14:textId="77777777">
      <w:pPr>
        <w:tabs>
          <w:tab w:val="left" w:pos="3261"/>
        </w:tabs>
        <w:spacing w:after="0" w:line="240" w:lineRule="auto"/>
        <w:ind w:left="2552" w:right="0" w:hanging="2836"/>
        <w:rPr>
          <w:szCs w:val="20"/>
        </w:rPr>
      </w:pPr>
    </w:p>
    <w:p w:rsidRPr="00EF167C" w:rsidR="00EF167C" w:rsidP="00EF167C" w:rsidRDefault="00EF167C" w14:paraId="1BE8B4B2" w14:textId="77777777">
      <w:pPr>
        <w:tabs>
          <w:tab w:val="left" w:pos="3261"/>
        </w:tabs>
        <w:spacing w:after="0" w:line="240" w:lineRule="auto"/>
        <w:ind w:left="2552" w:right="0" w:hanging="2836"/>
        <w:rPr>
          <w:b/>
          <w:bCs/>
          <w:sz w:val="20"/>
          <w:szCs w:val="20"/>
        </w:rPr>
      </w:pPr>
      <w:r w:rsidRPr="00EF167C">
        <w:rPr>
          <w:b/>
          <w:bCs/>
          <w:sz w:val="20"/>
          <w:szCs w:val="20"/>
        </w:rPr>
        <w:t>ADMINISTRATION</w:t>
      </w:r>
      <w:r w:rsidRPr="00EF167C">
        <w:rPr>
          <w:b/>
          <w:bCs/>
          <w:sz w:val="20"/>
          <w:szCs w:val="20"/>
        </w:rPr>
        <w:tab/>
      </w:r>
      <w:r w:rsidRPr="00EF167C">
        <w:rPr>
          <w:szCs w:val="20"/>
        </w:rPr>
        <w:t>Långsam intravenös injektion, lösningen är alkalisk (pH 9) och kan orsaka sveda och irritation i perifer ven.</w:t>
      </w:r>
    </w:p>
    <w:p w:rsidRPr="00EF167C" w:rsidR="00EF167C" w:rsidP="00EF167C" w:rsidRDefault="00EF167C" w14:paraId="4968CDB1" w14:textId="77777777">
      <w:pPr>
        <w:tabs>
          <w:tab w:val="left" w:pos="3261"/>
        </w:tabs>
        <w:spacing w:after="0" w:line="240" w:lineRule="auto"/>
        <w:ind w:left="3686" w:right="0" w:hanging="3686"/>
        <w:rPr>
          <w:szCs w:val="20"/>
        </w:rPr>
      </w:pPr>
      <w:r w:rsidRPr="00EF167C">
        <w:rPr>
          <w:szCs w:val="20"/>
        </w:rPr>
        <w:tab/>
      </w:r>
    </w:p>
    <w:bookmarkEnd w:id="0"/>
    <w:p w:rsidRPr="00536A5A" w:rsidR="00536A5A" w:rsidP="0DE4F60D" w:rsidRDefault="00536A5A" w14:paraId="76B9F95B" w14:textId="24513497">
      <w:pPr>
        <w:pStyle w:val="Normal"/>
        <w:tabs>
          <w:tab w:val="left" w:leader="none" w:pos="3261"/>
        </w:tabs>
        <w:spacing w:after="0" w:line="240" w:lineRule="auto"/>
        <w:ind w:left="0" w:right="0"/>
      </w:pPr>
    </w:p>
    <w:sectPr w:rsidRPr="00536A5A" w:rsidR="00536A5A" w:rsidSect="00EF167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F0A7B9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3ACD06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23951004">
    <w:abstractNumId w:val="17"/>
  </w:num>
  <w:num w:numId="2" w16cid:durableId="592476664">
    <w:abstractNumId w:val="14"/>
  </w:num>
  <w:num w:numId="3" w16cid:durableId="1586843424">
    <w:abstractNumId w:val="0"/>
  </w:num>
  <w:num w:numId="4" w16cid:durableId="994337347">
    <w:abstractNumId w:val="6"/>
  </w:num>
  <w:num w:numId="5" w16cid:durableId="931206351">
    <w:abstractNumId w:val="15"/>
  </w:num>
  <w:num w:numId="6" w16cid:durableId="2006081894">
    <w:abstractNumId w:val="2"/>
  </w:num>
  <w:num w:numId="7" w16cid:durableId="864711221">
    <w:abstractNumId w:val="11"/>
  </w:num>
  <w:num w:numId="8" w16cid:durableId="1192188268">
    <w:abstractNumId w:val="8"/>
  </w:num>
  <w:num w:numId="9" w16cid:durableId="1135754946">
    <w:abstractNumId w:val="1"/>
  </w:num>
  <w:num w:numId="10" w16cid:durableId="566109610">
    <w:abstractNumId w:val="1"/>
  </w:num>
  <w:num w:numId="11" w16cid:durableId="430975466">
    <w:abstractNumId w:val="3"/>
  </w:num>
  <w:num w:numId="12" w16cid:durableId="1216309782">
    <w:abstractNumId w:val="4"/>
  </w:num>
  <w:num w:numId="13" w16cid:durableId="665089719">
    <w:abstractNumId w:val="13"/>
  </w:num>
  <w:num w:numId="14" w16cid:durableId="1818454554">
    <w:abstractNumId w:val="9"/>
  </w:num>
  <w:num w:numId="15" w16cid:durableId="666522501">
    <w:abstractNumId w:val="7"/>
  </w:num>
  <w:num w:numId="16" w16cid:durableId="1736005383">
    <w:abstractNumId w:val="12"/>
  </w:num>
  <w:num w:numId="17" w16cid:durableId="9184504">
    <w:abstractNumId w:val="5"/>
  </w:num>
  <w:num w:numId="18" w16cid:durableId="1597909023">
    <w:abstractNumId w:val="10"/>
  </w:num>
  <w:num w:numId="19" w16cid:durableId="129066787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67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9990A5"/>
    <w:rsid w:val="0DE4F60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Diamox</dc:title>
  <dc:subject/>
  <dc:creator>patrik.jens.johansson@vgregion.se</dc:creator>
  <keywords/>
  <lastModifiedBy>Mikael Löfgren</lastModifiedBy>
  <revision>3</revision>
  <lastPrinted>2016-03-31T10:56:00.0000000Z</lastPrinted>
  <dcterms:created xsi:type="dcterms:W3CDTF">2022-06-08T15:00:00.0000000Z</dcterms:created>
  <dcterms:modified xsi:type="dcterms:W3CDTF">2024-05-27T10:12:35.0000000Z</dcterms:modified>
</coreProperties>
</file>