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36EF4" w:rsidP="64AD6781" w:rsidRDefault="00D36EF4" w14:paraId="5D7435BF" w14:textId="591CD9FD">
      <w:pPr>
        <w:pStyle w:val="Heading2"/>
        <w:ind w:left="0"/>
        <w:rPr>
          <w:sz w:val="48"/>
          <w:szCs w:val="48"/>
        </w:rPr>
      </w:pPr>
      <w:r w:rsidRPr="64AD6781" w:rsidR="519D6FB6">
        <w:rPr>
          <w:sz w:val="48"/>
          <w:szCs w:val="48"/>
        </w:rPr>
        <w:t>Läkemedel - Burinex® (</w:t>
      </w:r>
      <w:r w:rsidRPr="64AD6781" w:rsidR="519D6FB6">
        <w:rPr>
          <w:sz w:val="48"/>
          <w:szCs w:val="48"/>
        </w:rPr>
        <w:t>Bumetanid</w:t>
      </w:r>
      <w:r w:rsidRPr="64AD6781" w:rsidR="519D6FB6">
        <w:rPr>
          <w:sz w:val="48"/>
          <w:szCs w:val="48"/>
        </w:rPr>
        <w:t>)</w:t>
      </w:r>
    </w:p>
    <w:p w:rsidR="64AD6781" w:rsidP="64AD6781" w:rsidRDefault="64AD6781" w14:paraId="6DF39460" w14:textId="769F967B">
      <w:pPr>
        <w:pStyle w:val="Normal"/>
        <w:sectPr w:rsidR="00D36EF4" w:rsidSect="00D36E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36EF4" w:rsidR="00D36EF4" w:rsidP="00D36EF4" w:rsidRDefault="00D36EF4" w14:paraId="4E3ECB29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 xml:space="preserve">Denna rutin gäller för Thorax-intensiven, Område 6. </w:t>
      </w:r>
    </w:p>
    <w:p w:rsidRPr="00D36EF4" w:rsidR="00D36EF4" w:rsidP="00D36EF4" w:rsidRDefault="00D36EF4" w14:paraId="5A04B783" w14:textId="77777777">
      <w:pPr>
        <w:spacing w:after="0" w:line="240" w:lineRule="auto"/>
        <w:ind w:left="0" w:right="0"/>
        <w:rPr>
          <w:rFonts w:ascii="Arial" w:hAnsi="Arial" w:cs="Arial"/>
          <w:b/>
        </w:rPr>
      </w:pPr>
    </w:p>
    <w:p w:rsidRPr="00D36EF4" w:rsidR="00D36EF4" w:rsidP="00D36EF4" w:rsidRDefault="00D36EF4" w14:paraId="020111B5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D36EF4">
        <w:rPr>
          <w:rFonts w:ascii="Arial" w:hAnsi="Arial" w:cs="Arial"/>
          <w:b/>
        </w:rPr>
        <w:t xml:space="preserve">Syfte: </w:t>
      </w:r>
      <w:r w:rsidRPr="00D36EF4">
        <w:rPr>
          <w:rFonts w:ascii="Arial" w:hAnsi="Arial" w:cs="Arial"/>
        </w:rPr>
        <w:t>Alternativt loopdiuretikum att använda vid allergisk reaktion mot Furosemid.</w:t>
      </w:r>
    </w:p>
    <w:p w:rsidRPr="00D36EF4" w:rsidR="00D36EF4" w:rsidP="00D36EF4" w:rsidRDefault="00D36EF4" w14:paraId="7E10FC8E" w14:textId="77777777">
      <w:pPr>
        <w:spacing w:after="0" w:line="240" w:lineRule="auto"/>
        <w:ind w:left="0" w:right="0"/>
        <w:rPr>
          <w:rFonts w:ascii="Arial" w:hAnsi="Arial" w:cs="Arial"/>
          <w:b/>
        </w:rPr>
      </w:pPr>
    </w:p>
    <w:p w:rsidRPr="00D36EF4" w:rsidR="00D36EF4" w:rsidP="00D36EF4" w:rsidRDefault="00D36EF4" w14:paraId="6CB5CF71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  <w:b/>
        </w:rPr>
        <w:t>Läkemedelsbeskrivning:</w:t>
      </w:r>
    </w:p>
    <w:p w:rsidRPr="00D36EF4" w:rsidR="00D36EF4" w:rsidP="00D36EF4" w:rsidRDefault="00D36EF4" w14:paraId="15E41C90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>Burinex® injektionsvätska, lösning 0,5 mg/ml.</w:t>
      </w:r>
    </w:p>
    <w:p w:rsidRPr="00D36EF4" w:rsidR="00D36EF4" w:rsidP="00D36EF4" w:rsidRDefault="00D36EF4" w14:paraId="6B287330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>Förpackning: 5 x 4 ml/ampull</w:t>
      </w:r>
    </w:p>
    <w:p w:rsidRPr="00D36EF4" w:rsidR="00D36EF4" w:rsidP="00D36EF4" w:rsidRDefault="00D36EF4" w14:paraId="09D7DF18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>1 mg Burinex® iv. motsvarar 40 mg Furosemid iv.</w:t>
      </w:r>
    </w:p>
    <w:p w:rsidRPr="00D36EF4" w:rsidR="00D36EF4" w:rsidP="00D36EF4" w:rsidRDefault="00D36EF4" w14:paraId="39964980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>Burinex® är ett snabb och kortverkande loopdiuretikum.</w:t>
      </w:r>
    </w:p>
    <w:p w:rsidRPr="00D36EF4" w:rsidR="00D36EF4" w:rsidP="00D36EF4" w:rsidRDefault="00D36EF4" w14:paraId="558E8CAA" w14:textId="77777777">
      <w:pPr>
        <w:spacing w:after="0" w:line="240" w:lineRule="auto"/>
        <w:ind w:left="0" w:right="0"/>
        <w:rPr>
          <w:rFonts w:ascii="Arial" w:hAnsi="Arial" w:cs="Arial"/>
          <w:b/>
        </w:rPr>
      </w:pPr>
    </w:p>
    <w:p w:rsidRPr="00D36EF4" w:rsidR="00D36EF4" w:rsidP="00D36EF4" w:rsidRDefault="00D36EF4" w14:paraId="58B73571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  <w:b/>
        </w:rPr>
        <w:t>Dosering</w:t>
      </w:r>
      <w:r w:rsidRPr="00D36EF4">
        <w:rPr>
          <w:rFonts w:ascii="Arial" w:hAnsi="Arial" w:cs="Arial"/>
        </w:rPr>
        <w:t xml:space="preserve">: </w:t>
      </w:r>
    </w:p>
    <w:p w:rsidRPr="00D36EF4" w:rsidR="00D36EF4" w:rsidP="00D36EF4" w:rsidRDefault="00D36EF4" w14:paraId="078A082C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>Bolus: 0,5-1,0 mg iv.</w:t>
      </w:r>
    </w:p>
    <w:p w:rsidRPr="00D36EF4" w:rsidR="00D36EF4" w:rsidP="00D36EF4" w:rsidRDefault="00D36EF4" w14:paraId="55682479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>Infusion: Administreras enligt vår erfarenhet på Thorax-intensiven, outspätt, ensamt i CVK, i så låg dos som möjligt, 0,25 -1,0 mg/h.</w:t>
      </w:r>
    </w:p>
    <w:p w:rsidRPr="00D36EF4" w:rsidR="00D36EF4" w:rsidP="00D36EF4" w:rsidRDefault="00D36EF4" w14:paraId="174C2168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>Enligt FASS: Max dos 7 mg/dygn men i litteraturen finns beskrivet högre doser per dygn.</w:t>
      </w:r>
    </w:p>
    <w:p w:rsidRPr="00D36EF4" w:rsidR="00D36EF4" w:rsidP="00D36EF4" w:rsidRDefault="00D36EF4" w14:paraId="5EAA5863" w14:textId="77777777">
      <w:pPr>
        <w:spacing w:after="0" w:line="240" w:lineRule="auto"/>
        <w:ind w:left="0" w:right="0"/>
        <w:rPr>
          <w:rFonts w:ascii="Arial" w:hAnsi="Arial" w:cs="Arial"/>
          <w:b/>
        </w:rPr>
      </w:pPr>
    </w:p>
    <w:p w:rsidRPr="00D36EF4" w:rsidR="00D36EF4" w:rsidP="00D36EF4" w:rsidRDefault="00D36EF4" w14:paraId="480DC45A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D36EF4">
        <w:rPr>
          <w:rFonts w:ascii="Arial" w:hAnsi="Arial" w:cs="Arial"/>
          <w:b/>
        </w:rPr>
        <w:t>Biverkningar:</w:t>
      </w:r>
    </w:p>
    <w:p w:rsidRPr="00D36EF4" w:rsidR="00D36EF4" w:rsidP="00D36EF4" w:rsidRDefault="00D36EF4" w14:paraId="53328A3C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>Elektrolytrubbningar, ototoxicitet. Burinex® innehåller formaldehyd med risk för allergi. Korsallergi vid överkänslighet för sulfonamider</w:t>
      </w:r>
    </w:p>
    <w:p w:rsidRPr="00D36EF4" w:rsidR="00D36EF4" w:rsidP="00D36EF4" w:rsidRDefault="00D36EF4" w14:paraId="54EDFBF5" w14:textId="77777777">
      <w:pPr>
        <w:spacing w:after="0" w:line="240" w:lineRule="auto"/>
        <w:ind w:left="0" w:right="0"/>
        <w:rPr>
          <w:rFonts w:ascii="Arial" w:hAnsi="Arial" w:cs="Arial"/>
          <w:b/>
        </w:rPr>
      </w:pPr>
    </w:p>
    <w:p w:rsidRPr="00D36EF4" w:rsidR="00D36EF4" w:rsidP="00D36EF4" w:rsidRDefault="00D36EF4" w14:paraId="48E7CFE1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D36EF4">
        <w:rPr>
          <w:rFonts w:ascii="Arial" w:hAnsi="Arial" w:cs="Arial"/>
          <w:b/>
        </w:rPr>
        <w:t xml:space="preserve">Interaktion: </w:t>
      </w:r>
    </w:p>
    <w:p w:rsidRPr="00D36EF4" w:rsidR="00D36EF4" w:rsidP="00D36EF4" w:rsidRDefault="00D36EF4" w14:paraId="001EB778" w14:textId="77777777">
      <w:pPr>
        <w:spacing w:after="0" w:line="240" w:lineRule="auto"/>
        <w:ind w:left="0" w:right="0"/>
        <w:rPr>
          <w:rFonts w:ascii="Arial" w:hAnsi="Arial" w:cs="Arial"/>
        </w:rPr>
      </w:pPr>
      <w:r w:rsidRPr="00D36EF4">
        <w:rPr>
          <w:rFonts w:ascii="Arial" w:hAnsi="Arial" w:cs="Arial"/>
        </w:rPr>
        <w:t>Burinex® givet tillsammans med aminoglykosid eller cefalosporiner kan orsaka fördröjd elimination med ökad risk för njur- och ototoxicitet</w:t>
      </w:r>
    </w:p>
    <w:p w:rsidRPr="00D36EF4" w:rsidR="00D36EF4" w:rsidP="00D36EF4" w:rsidRDefault="00D36EF4" w14:paraId="35712A12" w14:textId="77777777">
      <w:pPr>
        <w:spacing w:after="0" w:line="240" w:lineRule="auto"/>
        <w:ind w:left="0" w:right="0"/>
        <w:rPr>
          <w:rFonts w:ascii="Arial" w:hAnsi="Arial" w:cs="Arial"/>
          <w:b/>
          <w:lang w:val="en-US"/>
        </w:rPr>
      </w:pPr>
    </w:p>
    <w:p w:rsidRPr="00D36EF4" w:rsidR="00D36EF4" w:rsidP="00D36EF4" w:rsidRDefault="00D36EF4" w14:paraId="5167C636" w14:textId="77777777">
      <w:pPr>
        <w:spacing w:after="0" w:line="240" w:lineRule="auto"/>
        <w:ind w:left="0" w:right="0"/>
        <w:rPr>
          <w:rFonts w:ascii="Arial" w:hAnsi="Arial" w:cs="Arial"/>
          <w:lang w:val="en-US"/>
        </w:rPr>
      </w:pPr>
      <w:r w:rsidRPr="00D36EF4">
        <w:rPr>
          <w:rFonts w:ascii="Arial" w:hAnsi="Arial" w:cs="Arial"/>
          <w:b/>
          <w:lang w:val="en-US"/>
        </w:rPr>
        <w:t>Kontraindikation:</w:t>
      </w:r>
    </w:p>
    <w:p w:rsidRPr="00D36EF4" w:rsidR="00D36EF4" w:rsidP="00D36EF4" w:rsidRDefault="00D36EF4" w14:paraId="152BED65" w14:textId="77777777">
      <w:pPr>
        <w:spacing w:after="0" w:line="240" w:lineRule="auto"/>
        <w:ind w:left="0" w:right="0"/>
        <w:rPr>
          <w:rFonts w:ascii="Arial" w:hAnsi="Arial" w:cs="Arial"/>
          <w:lang w:val="en-US"/>
        </w:rPr>
      </w:pPr>
      <w:r w:rsidRPr="00D36EF4">
        <w:rPr>
          <w:rFonts w:ascii="Arial" w:hAnsi="Arial" w:cs="Arial"/>
          <w:lang w:val="en-US"/>
        </w:rPr>
        <w:t>Leverencephalopati/koma.</w:t>
      </w:r>
    </w:p>
    <w:p w:rsidRPr="00D36EF4" w:rsidR="00D36EF4" w:rsidP="00D36EF4" w:rsidRDefault="00D36EF4" w14:paraId="513F051F" w14:textId="77777777">
      <w:pPr>
        <w:spacing w:after="0" w:line="240" w:lineRule="auto"/>
        <w:ind w:left="0" w:right="0"/>
        <w:rPr>
          <w:rFonts w:ascii="Arial" w:hAnsi="Arial" w:cs="Arial"/>
          <w:b/>
          <w:lang w:val="en-US"/>
        </w:rPr>
      </w:pPr>
    </w:p>
    <w:p w:rsidRPr="00D36EF4" w:rsidR="00D36EF4" w:rsidP="00D36EF4" w:rsidRDefault="00D36EF4" w14:paraId="79B45066" w14:textId="77777777">
      <w:pPr>
        <w:spacing w:after="0" w:line="240" w:lineRule="auto"/>
        <w:ind w:left="0" w:right="0"/>
        <w:rPr>
          <w:rFonts w:ascii="Arial" w:hAnsi="Arial" w:cs="Arial"/>
          <w:b/>
          <w:lang w:val="en-US"/>
        </w:rPr>
      </w:pPr>
      <w:r w:rsidRPr="00D36EF4">
        <w:rPr>
          <w:rFonts w:ascii="Arial" w:hAnsi="Arial" w:cs="Arial"/>
          <w:b/>
          <w:lang w:val="en-US"/>
        </w:rPr>
        <w:t>Källa:</w:t>
      </w:r>
    </w:p>
    <w:p w:rsidRPr="00D36EF4" w:rsidR="00D36EF4" w:rsidP="00D36EF4" w:rsidRDefault="00D36EF4" w14:paraId="157D469A" w14:textId="77777777">
      <w:pPr>
        <w:spacing w:after="0" w:line="240" w:lineRule="auto"/>
        <w:ind w:left="0" w:right="0"/>
        <w:rPr>
          <w:rFonts w:ascii="Arial" w:hAnsi="Arial" w:cs="Arial"/>
          <w:lang w:val="en-US"/>
        </w:rPr>
      </w:pPr>
      <w:r w:rsidRPr="00D36EF4">
        <w:rPr>
          <w:rFonts w:ascii="Arial" w:hAnsi="Arial" w:cs="Arial"/>
          <w:lang w:val="en-US"/>
        </w:rPr>
        <w:t>FASS</w:t>
      </w:r>
    </w:p>
    <w:p w:rsidRPr="00D36EF4" w:rsidR="00D36EF4" w:rsidP="00D36EF4" w:rsidRDefault="00D36EF4" w14:paraId="020A4B01" w14:textId="77777777">
      <w:pPr>
        <w:spacing w:after="0" w:line="240" w:lineRule="auto"/>
        <w:ind w:left="0" w:right="0"/>
        <w:rPr>
          <w:rFonts w:ascii="Arial" w:hAnsi="Arial" w:cs="Arial"/>
          <w:lang w:val="en-US"/>
        </w:rPr>
      </w:pPr>
      <w:r w:rsidRPr="00D36EF4">
        <w:rPr>
          <w:rFonts w:ascii="Arial" w:hAnsi="Arial" w:cs="Arial"/>
          <w:lang w:val="en-US"/>
        </w:rPr>
        <w:t xml:space="preserve">Effectiveness of Bumetanide Infusion in Treatment of Generalized Edema and Congestive Heart Failure, Anil K. Mandal, </w:t>
      </w:r>
      <w:r w:rsidRPr="00D36EF4">
        <w:rPr>
          <w:rFonts w:ascii="Arial" w:hAnsi="Arial" w:cs="Arial"/>
          <w:bCs/>
          <w:lang w:val="en-US"/>
        </w:rPr>
        <w:t>Open Journal of Internal Medicine, 2014, 4, 73-81</w:t>
      </w:r>
    </w:p>
    <w:p w:rsidRPr="00D36EF4" w:rsidR="00D36EF4" w:rsidP="00D36EF4" w:rsidRDefault="00D36EF4" w14:paraId="5FEC1CA9" w14:textId="77777777">
      <w:pPr>
        <w:spacing w:after="0" w:line="240" w:lineRule="auto"/>
        <w:ind w:left="0" w:right="0"/>
        <w:rPr>
          <w:rFonts w:ascii="Arial" w:hAnsi="Arial" w:cs="Arial"/>
          <w:lang w:val="en-US"/>
        </w:rPr>
      </w:pPr>
    </w:p>
    <w:p w:rsidRPr="00D36EF4" w:rsidR="00D36EF4" w:rsidP="00D36EF4" w:rsidRDefault="00D36EF4" w14:paraId="00145B30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en-US"/>
        </w:rPr>
      </w:pPr>
    </w:p>
    <w:p w:rsidRPr="00D36EF4" w:rsidR="00D36EF4" w:rsidP="00D36EF4" w:rsidRDefault="00D36EF4" w14:paraId="27FAF81C" w14:textId="77777777">
      <w:pPr>
        <w:spacing w:after="0" w:line="240" w:lineRule="auto"/>
        <w:ind w:left="0" w:right="0"/>
        <w:rPr>
          <w:lang w:val="en-US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36EF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71468430">
    <w:abstractNumId w:val="17"/>
  </w:num>
  <w:num w:numId="2" w16cid:durableId="1990011148">
    <w:abstractNumId w:val="14"/>
  </w:num>
  <w:num w:numId="3" w16cid:durableId="1528830737">
    <w:abstractNumId w:val="0"/>
  </w:num>
  <w:num w:numId="4" w16cid:durableId="1662536129">
    <w:abstractNumId w:val="6"/>
  </w:num>
  <w:num w:numId="5" w16cid:durableId="1858887656">
    <w:abstractNumId w:val="15"/>
  </w:num>
  <w:num w:numId="6" w16cid:durableId="1482388844">
    <w:abstractNumId w:val="2"/>
  </w:num>
  <w:num w:numId="7" w16cid:durableId="2067100605">
    <w:abstractNumId w:val="11"/>
  </w:num>
  <w:num w:numId="8" w16cid:durableId="617109334">
    <w:abstractNumId w:val="8"/>
  </w:num>
  <w:num w:numId="9" w16cid:durableId="1083065746">
    <w:abstractNumId w:val="1"/>
  </w:num>
  <w:num w:numId="10" w16cid:durableId="393698395">
    <w:abstractNumId w:val="1"/>
  </w:num>
  <w:num w:numId="11" w16cid:durableId="1794902695">
    <w:abstractNumId w:val="3"/>
  </w:num>
  <w:num w:numId="12" w16cid:durableId="1597133812">
    <w:abstractNumId w:val="4"/>
  </w:num>
  <w:num w:numId="13" w16cid:durableId="1408117055">
    <w:abstractNumId w:val="13"/>
  </w:num>
  <w:num w:numId="14" w16cid:durableId="1798335154">
    <w:abstractNumId w:val="9"/>
  </w:num>
  <w:num w:numId="15" w16cid:durableId="2135755075">
    <w:abstractNumId w:val="7"/>
  </w:num>
  <w:num w:numId="16" w16cid:durableId="1733625562">
    <w:abstractNumId w:val="12"/>
  </w:num>
  <w:num w:numId="17" w16cid:durableId="968242490">
    <w:abstractNumId w:val="5"/>
  </w:num>
  <w:num w:numId="18" w16cid:durableId="439178705">
    <w:abstractNumId w:val="10"/>
  </w:num>
  <w:num w:numId="19" w16cid:durableId="37940674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EF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19D6FB6"/>
    <w:rsid w:val="647B2B65"/>
    <w:rsid w:val="64AD6781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Burinex® (Bumetanid)</dc:title>
  <dc:subject/>
  <dc:creator>patrik.jens.johansson@vgregion.se</dc:creator>
  <keywords/>
  <lastModifiedBy>Mikael Löfgren</lastModifiedBy>
  <revision>3</revision>
  <lastPrinted>2016-03-31T10:56:00.0000000Z</lastPrinted>
  <dcterms:created xsi:type="dcterms:W3CDTF">2022-06-08T15:00:00.0000000Z</dcterms:created>
  <dcterms:modified xsi:type="dcterms:W3CDTF">2024-05-27T10:11:08.0000000Z</dcterms:modified>
</coreProperties>
</file>