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footer2.xml" ContentType="application/vnd.openxmlformats-officedocument.wordprocessingml.footer+xml"/>
  <Override PartName="/word/header2.xml" ContentType="application/vnd.openxmlformats-officedocument.wordprocessingml.header+xml"/>
  <Override PartName="/word/footer1.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customXml/itemProps4.xml" ContentType="application/vnd.openxmlformats-officedocument.customXmlProperties+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Override PartName="/docProps/app.xml" ContentType="application/vnd.openxmlformats-officedocument.extended-properties+xml"/>
  <Override PartName="/word/styles.xml" ContentType="application/vnd.openxmlformats-officedocument.wordprocessingml.styles+xml"/>
  <Override PartName="/word/numbering.xml" ContentType="application/vnd.openxmlformats-officedocument.wordprocessingml.numbering+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A71912" w:rsidP="2C31A12A" w:rsidRDefault="00A71912" w14:paraId="4012C14B" w14:textId="73DA8E6E">
      <w:pPr>
        <w:pStyle w:val="Heading2"/>
        <w:ind w:left="0"/>
        <w:rPr>
          <w:sz w:val="48"/>
          <w:szCs w:val="48"/>
        </w:rPr>
      </w:pPr>
      <w:r w:rsidRPr="2C31A12A" w:rsidR="6ED63815">
        <w:rPr>
          <w:sz w:val="48"/>
          <w:szCs w:val="48"/>
        </w:rPr>
        <w:t>Blod och blodprodukter, riktlinjer och rutiner för thorax</w:t>
      </w:r>
    </w:p>
    <w:p w:rsidR="2C31A12A" w:rsidP="2C31A12A" w:rsidRDefault="2C31A12A" w14:paraId="3E4791E6" w14:textId="2F47C6EF">
      <w:pPr>
        <w:pStyle w:val="Normal"/>
        <w:sectPr w:rsidR="00A71912" w:rsidSect="00A71912">
          <w:headerReference w:type="default" r:id="rId12"/>
          <w:footerReference w:type="even" r:id="rId13"/>
          <w:footerReference w:type="default" r:id="rId14"/>
          <w:headerReference w:type="first" r:id="rId15"/>
          <w:footerReference w:type="first" r:id="rId16"/>
          <w:type w:val="continuous"/>
          <w:pgSz w:w="11900" w:h="16840" w:orient="portrait"/>
          <w:pgMar w:top="3402" w:right="1979" w:bottom="1276" w:left="992" w:header="283" w:footer="737" w:gutter="0"/>
          <w:cols w:space="708"/>
          <w:noEndnote/>
          <w:titlePg/>
          <w:docGrid w:linePitch="326"/>
        </w:sectPr>
      </w:pPr>
      <w:bookmarkStart w:name="_Toc321146591" w:id="0"/>
    </w:p>
    <w:p w:rsidRPr="00A71912" w:rsidR="00A71912" w:rsidP="00A71912" w:rsidRDefault="00A71912" w14:paraId="2A8E2EFE" w14:textId="77777777">
      <w:pPr>
        <w:keepNext/>
        <w:spacing w:after="60" w:line="240" w:lineRule="auto"/>
        <w:ind w:left="0" w:right="0"/>
        <w:outlineLvl w:val="2"/>
        <w:rPr>
          <w:b/>
          <w:bCs/>
        </w:rPr>
      </w:pPr>
      <w:r w:rsidRPr="00A71912">
        <w:rPr>
          <w:b/>
          <w:bCs/>
        </w:rPr>
        <w:t>Syfte</w:t>
      </w:r>
    </w:p>
    <w:p w:rsidRPr="00A71912" w:rsidR="00A71912" w:rsidP="00A71912" w:rsidRDefault="00A71912" w14:paraId="2BAD8A76" w14:textId="77777777">
      <w:pPr>
        <w:spacing w:after="0" w:line="240" w:lineRule="auto"/>
        <w:ind w:left="0" w:right="0"/>
      </w:pPr>
      <w:r w:rsidRPr="00A71912">
        <w:t>Rutinen syftar till att ge en enhetlig vård samt dokumentation baserad på kunskap, erfarenhet och forskningsresultat. Att systematisera och effektivisera omvårdnadsarbetet och säkerställa patientens vård och omhändertagande på ett optimalt sätt, samt att minska risken för att fel och brister uppstår samt att underlätta introduktionen av nya medarbetare.</w:t>
      </w:r>
    </w:p>
    <w:p w:rsidRPr="00A71912" w:rsidR="00A71912" w:rsidP="00A71912" w:rsidRDefault="00A71912" w14:paraId="3BA58F95" w14:textId="77777777">
      <w:pPr>
        <w:spacing w:after="0" w:line="240" w:lineRule="auto"/>
        <w:ind w:left="0" w:right="0"/>
      </w:pPr>
    </w:p>
    <w:p w:rsidRPr="00A71912" w:rsidR="00A71912" w:rsidP="00A71912" w:rsidRDefault="00A71912" w14:paraId="5982223E" w14:textId="77777777">
      <w:pPr>
        <w:keepNext/>
        <w:spacing w:after="60" w:line="240" w:lineRule="auto"/>
        <w:ind w:left="0" w:right="0"/>
        <w:outlineLvl w:val="2"/>
        <w:rPr>
          <w:b/>
          <w:bCs/>
        </w:rPr>
      </w:pPr>
      <w:r w:rsidRPr="00A71912">
        <w:rPr>
          <w:b/>
          <w:bCs/>
        </w:rPr>
        <w:t>Ansvar</w:t>
      </w:r>
    </w:p>
    <w:p w:rsidRPr="00A71912" w:rsidR="00A71912" w:rsidP="00A71912" w:rsidRDefault="00A71912" w14:paraId="70687990" w14:textId="77777777">
      <w:pPr>
        <w:spacing w:after="0" w:line="240" w:lineRule="auto"/>
        <w:ind w:left="0" w:right="0"/>
      </w:pPr>
      <w:r w:rsidRPr="00A71912">
        <w:t xml:space="preserve">Medicinskt ansvarig sektionschef på enheten är tillsammans med vårdenhetschefen på enheten ansvarig för att rutinen är känd och följs. </w:t>
      </w:r>
    </w:p>
    <w:p w:rsidRPr="00A71912" w:rsidR="00A71912" w:rsidP="00A71912" w:rsidRDefault="00A71912" w14:paraId="730C8FBB" w14:textId="77777777">
      <w:pPr>
        <w:spacing w:after="0" w:line="240" w:lineRule="auto"/>
        <w:ind w:left="0" w:right="0"/>
      </w:pPr>
    </w:p>
    <w:p w:rsidRPr="00A71912" w:rsidR="00A71912" w:rsidP="00A71912" w:rsidRDefault="00A71912" w14:paraId="43F2F40A" w14:textId="77777777">
      <w:pPr>
        <w:keepNext/>
        <w:spacing w:after="60" w:line="240" w:lineRule="auto"/>
        <w:ind w:left="0" w:right="0"/>
        <w:outlineLvl w:val="2"/>
        <w:rPr>
          <w:b/>
          <w:bCs/>
        </w:rPr>
      </w:pPr>
    </w:p>
    <w:p w:rsidRPr="00A71912" w:rsidR="00A71912" w:rsidP="00A71912" w:rsidRDefault="00A71912" w14:paraId="5A890E41" w14:textId="77777777">
      <w:pPr>
        <w:keepNext/>
        <w:spacing w:after="60" w:line="240" w:lineRule="auto"/>
        <w:ind w:left="0" w:right="0"/>
        <w:outlineLvl w:val="2"/>
        <w:rPr>
          <w:b/>
          <w:bCs/>
        </w:rPr>
      </w:pPr>
      <w:r w:rsidRPr="00A71912">
        <w:rPr>
          <w:b/>
          <w:bCs/>
        </w:rPr>
        <w:t>Arbetsbeskrivning</w:t>
      </w:r>
    </w:p>
    <w:p w:rsidRPr="00A71912" w:rsidR="00A71912" w:rsidP="00A71912" w:rsidRDefault="00A71912" w14:paraId="56F4BFA9" w14:textId="77777777">
      <w:pPr>
        <w:spacing w:after="0" w:line="240" w:lineRule="auto"/>
        <w:ind w:left="3119" w:right="0" w:hanging="3119"/>
      </w:pPr>
      <w:r w:rsidRPr="00A71912">
        <w:rPr>
          <w:b/>
          <w:bCs/>
        </w:rPr>
        <w:t>BAKGRUND</w:t>
      </w:r>
      <w:r w:rsidRPr="00A71912">
        <w:t xml:space="preserve"> </w:t>
      </w:r>
      <w:r w:rsidRPr="00A71912">
        <w:tab/>
      </w:r>
      <w:r w:rsidRPr="00A71912">
        <w:t>Under år 2010 genomfördes transfusionsprojektet i samband med thoraxkirurgi. Syftet var att minska antalet icke livsnödvändiga blodtransfusioner till dessa patienter. År 2009 transfunderades 59% av de elektiva hjärtkirurgiska patienterna. Under 2010 minskade andelen transfunderade patienter som fick rödablodkroppar med 26%, plasma minskade med 43 % och trombocyter med 32 %. Den ekonomiska besparingen uppgick till ca 3,3 miljoner kronor. Utvärdering under 2012 visade att det har skett en ökning av andelen transfunderade patienter. Transfusionsprojektet reaktiverades därmed hösten 2012</w:t>
      </w:r>
    </w:p>
    <w:p w:rsidRPr="00A71912" w:rsidR="00A71912" w:rsidP="00A71912" w:rsidRDefault="00A71912" w14:paraId="06698D64" w14:textId="77777777">
      <w:pPr>
        <w:widowControl w:val="0"/>
        <w:tabs>
          <w:tab w:val="left" w:pos="2340"/>
        </w:tabs>
        <w:autoSpaceDE w:val="0"/>
        <w:autoSpaceDN w:val="0"/>
        <w:adjustRightInd w:val="0"/>
        <w:spacing w:after="0" w:line="240" w:lineRule="auto"/>
        <w:ind w:left="3119" w:right="0" w:hanging="3119"/>
      </w:pPr>
      <w:r w:rsidRPr="00A71912">
        <w:t xml:space="preserve"> </w:t>
      </w:r>
    </w:p>
    <w:p w:rsidRPr="00A71912" w:rsidR="00A71912" w:rsidP="00A71912" w:rsidRDefault="00A71912" w14:paraId="1A61E463" w14:textId="77777777">
      <w:pPr>
        <w:widowControl w:val="0"/>
        <w:autoSpaceDE w:val="0"/>
        <w:autoSpaceDN w:val="0"/>
        <w:adjustRightInd w:val="0"/>
        <w:spacing w:after="0" w:line="240" w:lineRule="auto"/>
        <w:ind w:left="3119" w:right="0" w:hanging="3119"/>
      </w:pPr>
      <w:r w:rsidRPr="00A71912">
        <w:t xml:space="preserve"> </w:t>
      </w:r>
    </w:p>
    <w:p w:rsidRPr="00A71912" w:rsidR="00A71912" w:rsidP="00A71912" w:rsidRDefault="00A71912" w14:paraId="38836024" w14:textId="77777777">
      <w:pPr>
        <w:widowControl w:val="0"/>
        <w:autoSpaceDE w:val="0"/>
        <w:autoSpaceDN w:val="0"/>
        <w:adjustRightInd w:val="0"/>
        <w:spacing w:after="0" w:line="240" w:lineRule="auto"/>
        <w:ind w:left="3119" w:right="0" w:hanging="3119"/>
        <w:rPr>
          <w:b/>
          <w:bCs/>
        </w:rPr>
      </w:pPr>
      <w:r w:rsidRPr="00A71912">
        <w:rPr>
          <w:b/>
          <w:bCs/>
        </w:rPr>
        <w:t>RIKTLINJER</w:t>
      </w:r>
      <w:r w:rsidRPr="00A71912">
        <w:t xml:space="preserve"> </w:t>
      </w:r>
      <w:r w:rsidRPr="00A71912">
        <w:tab/>
      </w:r>
      <w:r w:rsidRPr="00A71912">
        <w:rPr>
          <w:b/>
          <w:bCs/>
        </w:rPr>
        <w:t>● Allmänna riktlinjer för icke akut transfusion av blodprodukter</w:t>
      </w:r>
    </w:p>
    <w:p w:rsidRPr="00A71912" w:rsidR="00A71912" w:rsidP="00A71912" w:rsidRDefault="00A71912" w14:paraId="230C0512" w14:textId="77777777">
      <w:pPr>
        <w:widowControl w:val="0"/>
        <w:tabs>
          <w:tab w:val="left" w:pos="2340"/>
        </w:tabs>
        <w:autoSpaceDE w:val="0"/>
        <w:autoSpaceDN w:val="0"/>
        <w:adjustRightInd w:val="0"/>
        <w:spacing w:after="0" w:line="240" w:lineRule="auto"/>
        <w:ind w:left="3119" w:right="0" w:hanging="3119"/>
        <w:rPr>
          <w:b/>
          <w:bCs/>
        </w:rPr>
      </w:pPr>
    </w:p>
    <w:p w:rsidRPr="00A71912" w:rsidR="00A71912" w:rsidP="00A71912" w:rsidRDefault="00A71912" w14:paraId="1F2B3BAA" w14:textId="77777777">
      <w:pPr>
        <w:widowControl w:val="0"/>
        <w:autoSpaceDE w:val="0"/>
        <w:autoSpaceDN w:val="0"/>
        <w:adjustRightInd w:val="0"/>
        <w:spacing w:after="0" w:line="240" w:lineRule="auto"/>
        <w:ind w:left="3119" w:right="0"/>
      </w:pPr>
      <w:r w:rsidRPr="00A71912">
        <w:rPr>
          <w:b/>
          <w:bCs/>
        </w:rPr>
        <w:t>● Behandlingsrekommendation vid akut pågående blödning i samband med hjärtkirurgi</w:t>
      </w:r>
    </w:p>
    <w:p w:rsidRPr="00A71912" w:rsidR="00A71912" w:rsidP="00A71912" w:rsidRDefault="00A71912" w14:paraId="589C9E1B" w14:textId="77777777">
      <w:pPr>
        <w:widowControl w:val="0"/>
        <w:autoSpaceDE w:val="0"/>
        <w:autoSpaceDN w:val="0"/>
        <w:adjustRightInd w:val="0"/>
        <w:spacing w:after="0" w:line="240" w:lineRule="auto"/>
        <w:ind w:left="3119" w:right="0"/>
        <w:rPr>
          <w:b/>
          <w:bCs/>
          <w:u w:val="single"/>
        </w:rPr>
      </w:pPr>
    </w:p>
    <w:p w:rsidRPr="00A71912" w:rsidR="00A71912" w:rsidP="00A71912" w:rsidRDefault="00A71912" w14:paraId="0B6A583D" w14:textId="77777777">
      <w:pPr>
        <w:widowControl w:val="0"/>
        <w:autoSpaceDE w:val="0"/>
        <w:autoSpaceDN w:val="0"/>
        <w:adjustRightInd w:val="0"/>
        <w:spacing w:after="0" w:line="240" w:lineRule="auto"/>
        <w:ind w:left="3119" w:right="0"/>
        <w:rPr>
          <w:b/>
          <w:bCs/>
          <w:u w:val="single"/>
        </w:rPr>
      </w:pPr>
    </w:p>
    <w:p w:rsidRPr="00A71912" w:rsidR="00A71912" w:rsidP="00A71912" w:rsidRDefault="00A71912" w14:paraId="09C7DB41" w14:textId="77777777">
      <w:pPr>
        <w:widowControl w:val="0"/>
        <w:autoSpaceDE w:val="0"/>
        <w:autoSpaceDN w:val="0"/>
        <w:adjustRightInd w:val="0"/>
        <w:spacing w:after="0" w:line="240" w:lineRule="auto"/>
        <w:ind w:left="3119" w:right="0"/>
        <w:rPr>
          <w:b/>
          <w:bCs/>
          <w:u w:val="single"/>
        </w:rPr>
      </w:pPr>
    </w:p>
    <w:p w:rsidRPr="00A71912" w:rsidR="00A71912" w:rsidP="00A71912" w:rsidRDefault="00A71912" w14:paraId="5332FDD7" w14:textId="77777777">
      <w:pPr>
        <w:widowControl w:val="0"/>
        <w:autoSpaceDE w:val="0"/>
        <w:autoSpaceDN w:val="0"/>
        <w:adjustRightInd w:val="0"/>
        <w:spacing w:after="0" w:line="240" w:lineRule="auto"/>
        <w:ind w:left="3119" w:right="0"/>
        <w:rPr>
          <w:b w:val="1"/>
          <w:bCs w:val="1"/>
          <w:u w:val="single"/>
        </w:rPr>
      </w:pPr>
    </w:p>
    <w:p w:rsidR="2C31A12A" w:rsidP="2C31A12A" w:rsidRDefault="2C31A12A" w14:paraId="1CF10108" w14:textId="65B1D64C">
      <w:pPr>
        <w:pStyle w:val="Normal"/>
        <w:widowControl w:val="0"/>
        <w:spacing w:after="0" w:line="240" w:lineRule="auto"/>
        <w:ind w:left="3119" w:right="0"/>
        <w:rPr>
          <w:b w:val="1"/>
          <w:bCs w:val="1"/>
          <w:u w:val="single"/>
        </w:rPr>
      </w:pPr>
    </w:p>
    <w:p w:rsidRPr="00A71912" w:rsidR="00A71912" w:rsidP="00A71912" w:rsidRDefault="00A71912" w14:paraId="664107E8" w14:textId="77777777">
      <w:pPr>
        <w:widowControl w:val="0"/>
        <w:autoSpaceDE w:val="0"/>
        <w:autoSpaceDN w:val="0"/>
        <w:adjustRightInd w:val="0"/>
        <w:spacing w:after="0" w:line="240" w:lineRule="auto"/>
        <w:ind w:left="3119" w:right="0"/>
        <w:rPr>
          <w:b/>
          <w:bCs/>
          <w:u w:val="single"/>
        </w:rPr>
      </w:pPr>
    </w:p>
    <w:p w:rsidRPr="00A71912" w:rsidR="00A71912" w:rsidP="00A71912" w:rsidRDefault="00A71912" w14:paraId="67D93136" w14:textId="77777777">
      <w:pPr>
        <w:widowControl w:val="0"/>
        <w:autoSpaceDE w:val="0"/>
        <w:autoSpaceDN w:val="0"/>
        <w:adjustRightInd w:val="0"/>
        <w:spacing w:after="0" w:line="240" w:lineRule="auto"/>
        <w:ind w:left="0" w:right="0"/>
        <w:rPr>
          <w:b/>
          <w:bCs/>
          <w:u w:val="single"/>
        </w:rPr>
      </w:pPr>
    </w:p>
    <w:p w:rsidRPr="00A71912" w:rsidR="00A71912" w:rsidP="00A71912" w:rsidRDefault="00A71912" w14:paraId="1241CDF8" w14:textId="77777777">
      <w:pPr>
        <w:widowControl w:val="0"/>
        <w:autoSpaceDE w:val="0"/>
        <w:autoSpaceDN w:val="0"/>
        <w:adjustRightInd w:val="0"/>
        <w:spacing w:after="0" w:line="240" w:lineRule="auto"/>
        <w:ind w:left="3119" w:right="0"/>
        <w:rPr>
          <w:b/>
          <w:bCs/>
          <w:u w:val="single"/>
        </w:rPr>
      </w:pPr>
      <w:r w:rsidRPr="00A71912">
        <w:rPr>
          <w:b/>
          <w:bCs/>
          <w:u w:val="single"/>
        </w:rPr>
        <w:t xml:space="preserve">Allmänna riktlinjer för icke akut transfusion av blodprodukter </w:t>
      </w:r>
    </w:p>
    <w:p w:rsidRPr="00A71912" w:rsidR="00A71912" w:rsidP="00A71912" w:rsidRDefault="00A71912" w14:paraId="01876569" w14:textId="77777777">
      <w:pPr>
        <w:widowControl w:val="0"/>
        <w:autoSpaceDE w:val="0"/>
        <w:autoSpaceDN w:val="0"/>
        <w:adjustRightInd w:val="0"/>
        <w:spacing w:after="0" w:line="240" w:lineRule="auto"/>
        <w:ind w:left="0" w:right="0"/>
        <w:rPr>
          <w:b/>
          <w:bCs/>
        </w:rPr>
      </w:pPr>
      <w:r w:rsidRPr="00A71912">
        <w:rPr>
          <w:b/>
          <w:bCs/>
        </w:rPr>
        <w:t>Indikation för Erytrocyter</w:t>
      </w:r>
    </w:p>
    <w:p w:rsidRPr="00A71912" w:rsidR="00A71912" w:rsidP="00A71912" w:rsidRDefault="00A71912" w14:paraId="424A171B" w14:textId="77777777">
      <w:pPr>
        <w:widowControl w:val="0"/>
        <w:autoSpaceDE w:val="0"/>
        <w:autoSpaceDN w:val="0"/>
        <w:adjustRightInd w:val="0"/>
        <w:spacing w:after="0" w:line="240" w:lineRule="auto"/>
        <w:ind w:left="3119" w:right="0"/>
        <w:rPr>
          <w:color w:val="000000"/>
        </w:rPr>
      </w:pPr>
      <w:r w:rsidRPr="00A71912">
        <w:rPr>
          <w:b/>
          <w:color w:val="000000"/>
        </w:rPr>
        <w:t>Under ECC</w:t>
      </w:r>
    </w:p>
    <w:p w:rsidRPr="00A71912" w:rsidR="00A71912" w:rsidP="00A71912" w:rsidRDefault="00A71912" w14:paraId="2F6535DC" w14:textId="77777777">
      <w:pPr>
        <w:widowControl w:val="0"/>
        <w:autoSpaceDE w:val="0"/>
        <w:autoSpaceDN w:val="0"/>
        <w:adjustRightInd w:val="0"/>
        <w:spacing w:after="0" w:line="240" w:lineRule="auto"/>
        <w:ind w:left="3119" w:right="0"/>
        <w:rPr>
          <w:rFonts w:ascii="Verdana" w:hAnsi="Verdana" w:cs="Times-Roman"/>
          <w:color w:val="000000"/>
        </w:rPr>
      </w:pPr>
      <w:r w:rsidRPr="00A71912">
        <w:rPr>
          <w:color w:val="000000"/>
        </w:rPr>
        <w:t>Transfundera om Hb &lt;80 g/L, Hct &lt;20% och vensaturation &lt;70%. INVOS &lt;75% av utgångsvärdet</w:t>
      </w:r>
      <w:r w:rsidRPr="00A71912">
        <w:rPr>
          <w:rFonts w:ascii="Verdana" w:hAnsi="Verdana" w:cs="Times-Roman"/>
          <w:color w:val="000000"/>
        </w:rPr>
        <w:t>.</w:t>
      </w:r>
    </w:p>
    <w:p w:rsidR="2C31A12A" w:rsidP="2C31A12A" w:rsidRDefault="2C31A12A" w14:paraId="3FADD239" w14:textId="55819432">
      <w:pPr>
        <w:pStyle w:val="Normal"/>
        <w:tabs>
          <w:tab w:val="left" w:leader="none" w:pos="3969"/>
        </w:tabs>
        <w:spacing w:after="0" w:line="240" w:lineRule="auto"/>
        <w:ind w:left="0" w:right="0"/>
      </w:pPr>
    </w:p>
    <w:p w:rsidRPr="00A71912" w:rsidR="00A71912" w:rsidP="00A71912" w:rsidRDefault="00A71912" w14:paraId="4105192B" w14:textId="77777777">
      <w:pPr>
        <w:autoSpaceDE w:val="0"/>
        <w:autoSpaceDN w:val="0"/>
        <w:adjustRightInd w:val="0"/>
        <w:spacing w:after="0" w:line="240" w:lineRule="auto"/>
        <w:ind w:left="3119" w:right="0"/>
        <w:rPr>
          <w:b/>
        </w:rPr>
      </w:pPr>
      <w:r w:rsidRPr="00A71912">
        <w:rPr>
          <w:b/>
        </w:rPr>
        <w:t>Postoperativt</w:t>
      </w:r>
    </w:p>
    <w:p w:rsidRPr="00A71912" w:rsidR="00A71912" w:rsidP="00A71912" w:rsidRDefault="00A71912" w14:paraId="7BA35AE9" w14:textId="77777777">
      <w:pPr>
        <w:autoSpaceDE w:val="0"/>
        <w:autoSpaceDN w:val="0"/>
        <w:adjustRightInd w:val="0"/>
        <w:spacing w:after="0" w:line="240" w:lineRule="auto"/>
        <w:ind w:left="3119" w:right="0"/>
      </w:pPr>
      <w:r w:rsidRPr="00A71912">
        <w:t>Det är omöjligt att ange en enskild transfusionstrigger.</w:t>
      </w:r>
    </w:p>
    <w:p w:rsidRPr="00A71912" w:rsidR="00A71912" w:rsidP="00A71912" w:rsidRDefault="00A71912" w14:paraId="44E3AA1C" w14:textId="77777777">
      <w:pPr>
        <w:autoSpaceDE w:val="0"/>
        <w:autoSpaceDN w:val="0"/>
        <w:adjustRightInd w:val="0"/>
        <w:spacing w:after="0" w:line="240" w:lineRule="auto"/>
        <w:ind w:left="3119" w:right="0"/>
        <w:rPr>
          <w:sz w:val="16"/>
          <w:szCs w:val="16"/>
        </w:rPr>
      </w:pPr>
    </w:p>
    <w:p w:rsidRPr="00A71912" w:rsidR="00A71912" w:rsidP="00A71912" w:rsidRDefault="00A71912" w14:paraId="6D01CB9C" w14:textId="77777777">
      <w:pPr>
        <w:autoSpaceDE w:val="0"/>
        <w:autoSpaceDN w:val="0"/>
        <w:adjustRightInd w:val="0"/>
        <w:spacing w:after="0" w:line="240" w:lineRule="auto"/>
        <w:ind w:left="3119" w:right="0"/>
      </w:pPr>
      <w:r w:rsidRPr="00A71912">
        <w:t>- Var restriktiv med transfusion och transfundera på symtom av anemi och inte Hb-värde.</w:t>
      </w:r>
    </w:p>
    <w:p w:rsidRPr="00A71912" w:rsidR="00A71912" w:rsidP="00A71912" w:rsidRDefault="00A71912" w14:paraId="78ED1EE6" w14:textId="77777777">
      <w:pPr>
        <w:autoSpaceDE w:val="0"/>
        <w:autoSpaceDN w:val="0"/>
        <w:adjustRightInd w:val="0"/>
        <w:spacing w:after="0" w:line="240" w:lineRule="auto"/>
        <w:ind w:left="3119" w:right="0"/>
        <w:rPr>
          <w:sz w:val="16"/>
          <w:szCs w:val="16"/>
        </w:rPr>
      </w:pPr>
    </w:p>
    <w:p w:rsidRPr="00A71912" w:rsidR="00A71912" w:rsidP="00A71912" w:rsidRDefault="00A71912" w14:paraId="3BC747E1" w14:textId="77777777">
      <w:pPr>
        <w:autoSpaceDE w:val="0"/>
        <w:autoSpaceDN w:val="0"/>
        <w:adjustRightInd w:val="0"/>
        <w:spacing w:after="0" w:line="240" w:lineRule="auto"/>
        <w:ind w:left="3119" w:right="0"/>
      </w:pPr>
      <w:r w:rsidRPr="00A71912">
        <w:t>- Tänk på att vid ankomst till TIVA är patienterna utspädda och ligger ofta lågt i Hb men har bra SvO</w:t>
      </w:r>
      <w:r w:rsidRPr="00A71912">
        <w:rPr>
          <w:vertAlign w:val="subscript"/>
        </w:rPr>
        <w:t>2</w:t>
      </w:r>
      <w:r w:rsidRPr="00A71912">
        <w:t xml:space="preserve">. Hb värdet stiger med god diures de första postoperativa timmarna.    </w:t>
      </w:r>
    </w:p>
    <w:p w:rsidRPr="00A71912" w:rsidR="00A71912" w:rsidP="00A71912" w:rsidRDefault="00A71912" w14:paraId="671D52FC" w14:textId="77777777">
      <w:pPr>
        <w:autoSpaceDE w:val="0"/>
        <w:autoSpaceDN w:val="0"/>
        <w:adjustRightInd w:val="0"/>
        <w:spacing w:after="0" w:line="240" w:lineRule="auto"/>
        <w:ind w:left="3119" w:right="0" w:hanging="3119"/>
        <w:rPr>
          <w:sz w:val="16"/>
          <w:szCs w:val="16"/>
        </w:rPr>
      </w:pPr>
    </w:p>
    <w:p w:rsidRPr="00A71912" w:rsidR="00A71912" w:rsidP="00A71912" w:rsidRDefault="00A71912" w14:paraId="6B057BFD" w14:textId="77777777">
      <w:pPr>
        <w:autoSpaceDE w:val="0"/>
        <w:autoSpaceDN w:val="0"/>
        <w:adjustRightInd w:val="0"/>
        <w:spacing w:after="0" w:line="240" w:lineRule="auto"/>
        <w:ind w:left="3119" w:right="0"/>
      </w:pPr>
      <w:r w:rsidRPr="00A71912">
        <w:t>Beslutet om transfusion får grundas på klinisk bedömning av symtomatisk anemi med hemodynamisk instabilitet eller tecken på för låg syrgastransport, SvO</w:t>
      </w:r>
      <w:r w:rsidRPr="00A71912">
        <w:rPr>
          <w:vertAlign w:val="subscript"/>
        </w:rPr>
        <w:t>2</w:t>
      </w:r>
      <w:r w:rsidRPr="00A71912">
        <w:t xml:space="preserve"> &lt;55%. </w:t>
      </w:r>
    </w:p>
    <w:p w:rsidRPr="00A71912" w:rsidR="00A71912" w:rsidP="00A71912" w:rsidRDefault="00A71912" w14:paraId="4C728F12" w14:textId="77777777">
      <w:pPr>
        <w:autoSpaceDE w:val="0"/>
        <w:autoSpaceDN w:val="0"/>
        <w:adjustRightInd w:val="0"/>
        <w:spacing w:after="0" w:line="240" w:lineRule="auto"/>
        <w:ind w:left="3119" w:right="0" w:hanging="3119"/>
      </w:pPr>
    </w:p>
    <w:p w:rsidRPr="00A71912" w:rsidR="00A71912" w:rsidP="00A71912" w:rsidRDefault="00A71912" w14:paraId="61E7909C" w14:textId="77777777">
      <w:pPr>
        <w:numPr>
          <w:ilvl w:val="0"/>
          <w:numId w:val="20"/>
        </w:numPr>
        <w:autoSpaceDE w:val="0"/>
        <w:autoSpaceDN w:val="0"/>
        <w:adjustRightInd w:val="0"/>
        <w:spacing w:after="0" w:line="240" w:lineRule="auto"/>
        <w:ind w:left="3060" w:right="-53"/>
      </w:pPr>
      <w:r w:rsidRPr="00A71912">
        <w:t xml:space="preserve">Transfusion bör ges till alla patienter med Hb ≤ 60 g/l. </w:t>
      </w:r>
    </w:p>
    <w:p w:rsidRPr="00A71912" w:rsidR="00A71912" w:rsidP="00A71912" w:rsidRDefault="00A71912" w14:paraId="0BA3A02B" w14:textId="77777777">
      <w:pPr>
        <w:autoSpaceDE w:val="0"/>
        <w:autoSpaceDN w:val="0"/>
        <w:adjustRightInd w:val="0"/>
        <w:spacing w:after="0" w:line="240" w:lineRule="auto"/>
        <w:ind w:left="3060" w:right="0"/>
        <w:rPr>
          <w:sz w:val="16"/>
          <w:szCs w:val="16"/>
        </w:rPr>
      </w:pPr>
    </w:p>
    <w:p w:rsidRPr="00A71912" w:rsidR="00A71912" w:rsidP="00A71912" w:rsidRDefault="00A71912" w14:paraId="1F444FE4" w14:textId="77777777">
      <w:pPr>
        <w:numPr>
          <w:ilvl w:val="0"/>
          <w:numId w:val="20"/>
        </w:numPr>
        <w:autoSpaceDE w:val="0"/>
        <w:autoSpaceDN w:val="0"/>
        <w:adjustRightInd w:val="0"/>
        <w:spacing w:after="0" w:line="240" w:lineRule="auto"/>
        <w:ind w:left="3060" w:right="0"/>
      </w:pPr>
      <w:r w:rsidRPr="00A71912">
        <w:t>Transfusion bör ges till de flesta patienter med Hb ≤ 70g/l.</w:t>
      </w:r>
    </w:p>
    <w:p w:rsidRPr="00A71912" w:rsidR="00A71912" w:rsidP="00A71912" w:rsidRDefault="00A71912" w14:paraId="1AB98F22" w14:textId="77777777">
      <w:pPr>
        <w:autoSpaceDE w:val="0"/>
        <w:autoSpaceDN w:val="0"/>
        <w:adjustRightInd w:val="0"/>
        <w:spacing w:after="0" w:line="240" w:lineRule="auto"/>
        <w:ind w:left="3060" w:right="0"/>
        <w:rPr>
          <w:sz w:val="16"/>
          <w:szCs w:val="16"/>
        </w:rPr>
      </w:pPr>
    </w:p>
    <w:p w:rsidRPr="00A71912" w:rsidR="00A71912" w:rsidP="00A71912" w:rsidRDefault="00A71912" w14:paraId="5BB4D2C2" w14:textId="77777777">
      <w:pPr>
        <w:numPr>
          <w:ilvl w:val="0"/>
          <w:numId w:val="20"/>
        </w:numPr>
        <w:autoSpaceDE w:val="0"/>
        <w:autoSpaceDN w:val="0"/>
        <w:adjustRightInd w:val="0"/>
        <w:spacing w:after="0" w:line="240" w:lineRule="auto"/>
        <w:ind w:left="3960" w:right="0" w:hanging="900"/>
      </w:pPr>
      <w:r w:rsidRPr="00A71912">
        <w:t xml:space="preserve"> För stabila patienter med Hb 70-100 grundas beslutet på den samlade kliniska bilden inklusive SvO</w:t>
      </w:r>
      <w:r w:rsidRPr="00A71912">
        <w:rPr>
          <w:vertAlign w:val="subscript"/>
        </w:rPr>
        <w:t>2</w:t>
      </w:r>
      <w:r w:rsidRPr="00A71912">
        <w:t>, patientens ålder och organ påverkan.</w:t>
      </w:r>
    </w:p>
    <w:p w:rsidRPr="00A71912" w:rsidR="00A71912" w:rsidP="00A71912" w:rsidRDefault="00A71912" w14:paraId="43063A49" w14:textId="77777777">
      <w:pPr>
        <w:autoSpaceDE w:val="0"/>
        <w:autoSpaceDN w:val="0"/>
        <w:adjustRightInd w:val="0"/>
        <w:spacing w:after="0" w:line="240" w:lineRule="auto"/>
        <w:ind w:left="3060" w:right="0"/>
        <w:rPr>
          <w:sz w:val="16"/>
          <w:szCs w:val="16"/>
        </w:rPr>
      </w:pPr>
    </w:p>
    <w:p w:rsidRPr="00A71912" w:rsidR="00A71912" w:rsidP="00A71912" w:rsidRDefault="00A71912" w14:paraId="60F6EC3E" w14:textId="77777777">
      <w:pPr>
        <w:widowControl w:val="0"/>
        <w:tabs>
          <w:tab w:val="left" w:pos="3119"/>
        </w:tabs>
        <w:autoSpaceDE w:val="0"/>
        <w:autoSpaceDN w:val="0"/>
        <w:adjustRightInd w:val="0"/>
        <w:spacing w:after="0" w:line="240" w:lineRule="auto"/>
        <w:ind w:left="3119" w:right="0" w:hanging="3119"/>
      </w:pPr>
      <w:r w:rsidRPr="00A71912">
        <w:rPr>
          <w:b/>
          <w:bCs/>
        </w:rPr>
        <w:t>Indikation för Plasma</w:t>
      </w:r>
      <w:r w:rsidRPr="00A71912">
        <w:t xml:space="preserve"> </w:t>
      </w:r>
    </w:p>
    <w:p w:rsidRPr="00A71912" w:rsidR="00A71912" w:rsidP="00A71912" w:rsidRDefault="00A71912" w14:paraId="7BD1EBAC" w14:textId="77777777">
      <w:pPr>
        <w:widowControl w:val="0"/>
        <w:numPr>
          <w:ilvl w:val="0"/>
          <w:numId w:val="21"/>
        </w:numPr>
        <w:tabs>
          <w:tab w:val="left" w:pos="3960"/>
        </w:tabs>
        <w:autoSpaceDE w:val="0"/>
        <w:autoSpaceDN w:val="0"/>
        <w:adjustRightInd w:val="0"/>
        <w:spacing w:after="0" w:line="240" w:lineRule="auto"/>
        <w:ind w:left="3240" w:right="0" w:hanging="180"/>
      </w:pPr>
      <w:r w:rsidRPr="00A71912">
        <w:t>Under ECC – ingen indikation.</w:t>
      </w:r>
    </w:p>
    <w:p w:rsidRPr="00A71912" w:rsidR="00A71912" w:rsidP="00A71912" w:rsidRDefault="00A71912" w14:paraId="3F4B2DEE" w14:textId="77777777">
      <w:pPr>
        <w:widowControl w:val="0"/>
        <w:tabs>
          <w:tab w:val="left" w:pos="3119"/>
        </w:tabs>
        <w:autoSpaceDE w:val="0"/>
        <w:autoSpaceDN w:val="0"/>
        <w:adjustRightInd w:val="0"/>
        <w:spacing w:after="0" w:line="240" w:lineRule="auto"/>
        <w:ind w:left="0" w:right="0"/>
        <w:rPr>
          <w:b/>
          <w:bCs/>
          <w:sz w:val="16"/>
          <w:szCs w:val="16"/>
        </w:rPr>
      </w:pPr>
    </w:p>
    <w:p w:rsidRPr="00A71912" w:rsidR="00A71912" w:rsidP="00A71912" w:rsidRDefault="00A71912" w14:paraId="422DD475" w14:textId="77777777">
      <w:pPr>
        <w:widowControl w:val="0"/>
        <w:numPr>
          <w:ilvl w:val="0"/>
          <w:numId w:val="21"/>
        </w:numPr>
        <w:tabs>
          <w:tab w:val="left" w:pos="3060"/>
          <w:tab w:val="num" w:pos="3960"/>
        </w:tabs>
        <w:autoSpaceDE w:val="0"/>
        <w:autoSpaceDN w:val="0"/>
        <w:adjustRightInd w:val="0"/>
        <w:spacing w:after="0" w:line="240" w:lineRule="auto"/>
        <w:ind w:left="3960" w:right="0" w:hanging="900"/>
      </w:pPr>
      <w:r w:rsidRPr="00A71912">
        <w:t xml:space="preserve">Postoperativt – vid stor postoperativ blödning, &gt;200 ml/h, och med dokumenterad koagulationsfaktorbrist på tromboelastogram. </w:t>
      </w:r>
    </w:p>
    <w:p w:rsidRPr="00A71912" w:rsidR="00A71912" w:rsidP="00A71912" w:rsidRDefault="00A71912" w14:paraId="733C73E7" w14:textId="77777777">
      <w:pPr>
        <w:widowControl w:val="0"/>
        <w:tabs>
          <w:tab w:val="left" w:pos="3119"/>
        </w:tabs>
        <w:autoSpaceDE w:val="0"/>
        <w:autoSpaceDN w:val="0"/>
        <w:adjustRightInd w:val="0"/>
        <w:spacing w:after="0" w:line="240" w:lineRule="auto"/>
        <w:ind w:left="3119" w:right="0" w:hanging="3119"/>
        <w:rPr>
          <w:b/>
          <w:bCs/>
        </w:rPr>
      </w:pPr>
      <w:r w:rsidRPr="00A71912">
        <w:rPr>
          <w:b/>
          <w:bCs/>
        </w:rPr>
        <w:t xml:space="preserve">Indikation för </w:t>
      </w:r>
    </w:p>
    <w:p w:rsidRPr="00A71912" w:rsidR="00A71912" w:rsidP="00A71912" w:rsidRDefault="00A71912" w14:paraId="7137583B" w14:textId="77777777">
      <w:pPr>
        <w:widowControl w:val="0"/>
        <w:tabs>
          <w:tab w:val="left" w:pos="3119"/>
        </w:tabs>
        <w:autoSpaceDE w:val="0"/>
        <w:autoSpaceDN w:val="0"/>
        <w:adjustRightInd w:val="0"/>
        <w:spacing w:after="0" w:line="240" w:lineRule="auto"/>
        <w:ind w:left="3119" w:right="0" w:hanging="3119"/>
        <w:rPr>
          <w:b/>
          <w:bCs/>
        </w:rPr>
      </w:pPr>
      <w:r w:rsidRPr="00A71912">
        <w:rPr>
          <w:b/>
          <w:bCs/>
        </w:rPr>
        <w:t>Trombocytkoncentrat</w:t>
      </w:r>
    </w:p>
    <w:p w:rsidRPr="00A71912" w:rsidR="00A71912" w:rsidP="00A71912" w:rsidRDefault="00A71912" w14:paraId="7340BE40" w14:textId="77777777">
      <w:pPr>
        <w:widowControl w:val="0"/>
        <w:tabs>
          <w:tab w:val="left" w:pos="3119"/>
        </w:tabs>
        <w:autoSpaceDE w:val="0"/>
        <w:autoSpaceDN w:val="0"/>
        <w:adjustRightInd w:val="0"/>
        <w:spacing w:after="0" w:line="240" w:lineRule="auto"/>
        <w:ind w:left="0" w:right="0"/>
        <w:rPr>
          <w:b/>
          <w:bCs/>
        </w:rPr>
      </w:pPr>
    </w:p>
    <w:p w:rsidRPr="00A71912" w:rsidR="00A71912" w:rsidP="00A71912" w:rsidRDefault="00A71912" w14:paraId="15CF8FF8" w14:textId="77777777">
      <w:pPr>
        <w:widowControl w:val="0"/>
        <w:numPr>
          <w:ilvl w:val="0"/>
          <w:numId w:val="24"/>
        </w:numPr>
        <w:tabs>
          <w:tab w:val="left" w:pos="3960"/>
        </w:tabs>
        <w:autoSpaceDE w:val="0"/>
        <w:autoSpaceDN w:val="0"/>
        <w:adjustRightInd w:val="0"/>
        <w:spacing w:after="0" w:line="240" w:lineRule="auto"/>
        <w:ind w:left="3960" w:right="0" w:hanging="900"/>
      </w:pPr>
      <w:r w:rsidRPr="00A71912">
        <w:t xml:space="preserve">Under ECC – ingen indikation. </w:t>
      </w:r>
    </w:p>
    <w:p w:rsidRPr="00A71912" w:rsidR="00A71912" w:rsidP="00A71912" w:rsidRDefault="00A71912" w14:paraId="56D2D42A" w14:textId="77777777">
      <w:pPr>
        <w:widowControl w:val="0"/>
        <w:tabs>
          <w:tab w:val="left" w:pos="3119"/>
          <w:tab w:val="left" w:pos="3960"/>
        </w:tabs>
        <w:autoSpaceDE w:val="0"/>
        <w:autoSpaceDN w:val="0"/>
        <w:adjustRightInd w:val="0"/>
        <w:spacing w:after="0" w:line="240" w:lineRule="auto"/>
        <w:ind w:left="3060" w:right="0"/>
        <w:rPr>
          <w:sz w:val="16"/>
          <w:szCs w:val="16"/>
        </w:rPr>
      </w:pPr>
    </w:p>
    <w:p w:rsidRPr="00A71912" w:rsidR="00A71912" w:rsidP="00A71912" w:rsidRDefault="00A71912" w14:paraId="71223C80" w14:textId="77777777">
      <w:pPr>
        <w:widowControl w:val="0"/>
        <w:numPr>
          <w:ilvl w:val="0"/>
          <w:numId w:val="24"/>
        </w:numPr>
        <w:autoSpaceDE w:val="0"/>
        <w:autoSpaceDN w:val="0"/>
        <w:adjustRightInd w:val="0"/>
        <w:spacing w:after="0" w:line="240" w:lineRule="auto"/>
        <w:ind w:left="3960" w:right="0" w:hanging="900"/>
      </w:pPr>
      <w:r w:rsidRPr="00A71912">
        <w:t xml:space="preserve"> Postoperativt – vid stor postoperativ blödning, &gt;200 ml/h, och med dokumenterad trombocytdysfunktion eller trombocytbrist på tromboelastogram. </w:t>
      </w:r>
    </w:p>
    <w:p w:rsidRPr="00A71912" w:rsidR="00A71912" w:rsidP="00A71912" w:rsidRDefault="00A71912" w14:paraId="4977F442" w14:textId="77777777">
      <w:pPr>
        <w:widowControl w:val="0"/>
        <w:autoSpaceDE w:val="0"/>
        <w:autoSpaceDN w:val="0"/>
        <w:adjustRightInd w:val="0"/>
        <w:spacing w:after="0" w:line="240" w:lineRule="auto"/>
        <w:ind w:left="0" w:right="0"/>
      </w:pPr>
    </w:p>
    <w:p w:rsidRPr="00A71912" w:rsidR="00A71912" w:rsidP="00A71912" w:rsidRDefault="00A71912" w14:paraId="19E26843" w14:textId="77777777">
      <w:pPr>
        <w:widowControl w:val="0"/>
        <w:tabs>
          <w:tab w:val="left" w:pos="3119"/>
        </w:tabs>
        <w:autoSpaceDE w:val="0"/>
        <w:autoSpaceDN w:val="0"/>
        <w:adjustRightInd w:val="0"/>
        <w:spacing w:after="0" w:line="240" w:lineRule="auto"/>
        <w:ind w:left="3119" w:right="0" w:hanging="3119"/>
        <w:rPr>
          <w:b/>
          <w:bCs/>
          <w:u w:val="single"/>
        </w:rPr>
      </w:pPr>
      <w:r w:rsidRPr="00A71912">
        <w:tab/>
      </w:r>
      <w:r w:rsidRPr="00A71912">
        <w:rPr>
          <w:b/>
          <w:bCs/>
          <w:u w:val="single"/>
        </w:rPr>
        <w:t>Behandlingsrekommendation vid pågående blödning i</w:t>
      </w:r>
      <w:r w:rsidRPr="00A71912">
        <w:rPr>
          <w:b/>
          <w:bCs/>
        </w:rPr>
        <w:t xml:space="preserve"> </w:t>
      </w:r>
      <w:r w:rsidRPr="00A71912">
        <w:rPr>
          <w:b/>
          <w:bCs/>
          <w:u w:val="single"/>
        </w:rPr>
        <w:t>samband med hjärtkirurgi</w:t>
      </w:r>
      <w:r w:rsidRPr="00A71912">
        <w:rPr>
          <w:b/>
          <w:bCs/>
          <w:u w:val="single"/>
        </w:rPr>
        <w:br/>
      </w:r>
    </w:p>
    <w:p w:rsidRPr="00A71912" w:rsidR="00A71912" w:rsidP="00A71912" w:rsidRDefault="00A71912" w14:paraId="1DC6957A" w14:textId="77777777">
      <w:pPr>
        <w:widowControl w:val="0"/>
        <w:numPr>
          <w:ilvl w:val="0"/>
          <w:numId w:val="22"/>
        </w:numPr>
        <w:tabs>
          <w:tab w:val="left" w:pos="3119"/>
        </w:tabs>
        <w:autoSpaceDE w:val="0"/>
        <w:autoSpaceDN w:val="0"/>
        <w:adjustRightInd w:val="0"/>
        <w:spacing w:after="0" w:line="240" w:lineRule="auto"/>
        <w:ind w:right="0"/>
      </w:pPr>
      <w:r w:rsidRPr="00A71912">
        <w:rPr>
          <w:b/>
          <w:bCs/>
        </w:rPr>
        <w:t xml:space="preserve">Att tänka på </w:t>
      </w:r>
      <w:r w:rsidRPr="00A71912">
        <w:rPr>
          <w:b/>
          <w:bCs/>
          <w:i/>
          <w:iCs/>
        </w:rPr>
        <w:t>generellt</w:t>
      </w:r>
      <w:r w:rsidRPr="00A71912">
        <w:rPr>
          <w:b/>
          <w:bCs/>
        </w:rPr>
        <w:t xml:space="preserve"> för att undvika koagulopati </w:t>
      </w:r>
      <w:r w:rsidRPr="00A71912">
        <w:rPr>
          <w:b/>
          <w:bCs/>
        </w:rPr>
        <w:br/>
      </w:r>
      <w:r w:rsidRPr="00A71912">
        <w:t xml:space="preserve"> </w:t>
      </w:r>
    </w:p>
    <w:p w:rsidRPr="00A71912" w:rsidR="00A71912" w:rsidP="00A71912" w:rsidRDefault="00A71912" w14:paraId="66613991" w14:textId="77777777">
      <w:pPr>
        <w:widowControl w:val="0"/>
        <w:numPr>
          <w:ilvl w:val="0"/>
          <w:numId w:val="23"/>
        </w:numPr>
        <w:tabs>
          <w:tab w:val="left" w:pos="3119"/>
        </w:tabs>
        <w:autoSpaceDE w:val="0"/>
        <w:autoSpaceDN w:val="0"/>
        <w:adjustRightInd w:val="0"/>
        <w:spacing w:after="0" w:line="240" w:lineRule="auto"/>
        <w:ind w:right="0"/>
      </w:pPr>
      <w:r w:rsidRPr="00A71912">
        <w:t>Korrigera hypotermi</w:t>
      </w:r>
    </w:p>
    <w:p w:rsidRPr="00A71912" w:rsidR="00A71912" w:rsidP="00A71912" w:rsidRDefault="00A71912" w14:paraId="3AEA5E1F" w14:textId="77777777">
      <w:pPr>
        <w:widowControl w:val="0"/>
        <w:tabs>
          <w:tab w:val="left" w:pos="3119"/>
        </w:tabs>
        <w:autoSpaceDE w:val="0"/>
        <w:autoSpaceDN w:val="0"/>
        <w:adjustRightInd w:val="0"/>
        <w:spacing w:after="0" w:line="240" w:lineRule="auto"/>
        <w:ind w:left="3119" w:right="0"/>
        <w:rPr>
          <w:sz w:val="16"/>
          <w:szCs w:val="16"/>
        </w:rPr>
      </w:pPr>
    </w:p>
    <w:p w:rsidRPr="00A71912" w:rsidR="00A71912" w:rsidP="00A71912" w:rsidRDefault="00A71912" w14:paraId="4C299B0F" w14:textId="77777777">
      <w:pPr>
        <w:widowControl w:val="0"/>
        <w:numPr>
          <w:ilvl w:val="0"/>
          <w:numId w:val="23"/>
        </w:numPr>
        <w:tabs>
          <w:tab w:val="left" w:pos="3119"/>
        </w:tabs>
        <w:autoSpaceDE w:val="0"/>
        <w:autoSpaceDN w:val="0"/>
        <w:adjustRightInd w:val="0"/>
        <w:spacing w:after="0" w:line="240" w:lineRule="auto"/>
        <w:ind w:right="0"/>
      </w:pPr>
      <w:r w:rsidRPr="00A71912">
        <w:t xml:space="preserve">Korrigera acidos </w:t>
      </w:r>
    </w:p>
    <w:p w:rsidRPr="00A71912" w:rsidR="00A71912" w:rsidP="00A71912" w:rsidRDefault="00A71912" w14:paraId="732E7972" w14:textId="77777777">
      <w:pPr>
        <w:widowControl w:val="0"/>
        <w:tabs>
          <w:tab w:val="left" w:pos="3119"/>
        </w:tabs>
        <w:autoSpaceDE w:val="0"/>
        <w:autoSpaceDN w:val="0"/>
        <w:adjustRightInd w:val="0"/>
        <w:spacing w:after="0" w:line="240" w:lineRule="auto"/>
        <w:ind w:left="3119" w:right="0"/>
        <w:rPr>
          <w:sz w:val="16"/>
          <w:szCs w:val="16"/>
        </w:rPr>
      </w:pPr>
    </w:p>
    <w:p w:rsidRPr="00A71912" w:rsidR="00A71912" w:rsidP="00A71912" w:rsidRDefault="00A71912" w14:paraId="58F5F2F0" w14:textId="77777777">
      <w:pPr>
        <w:widowControl w:val="0"/>
        <w:numPr>
          <w:ilvl w:val="0"/>
          <w:numId w:val="23"/>
        </w:numPr>
        <w:tabs>
          <w:tab w:val="left" w:pos="3119"/>
        </w:tabs>
        <w:autoSpaceDE w:val="0"/>
        <w:autoSpaceDN w:val="0"/>
        <w:adjustRightInd w:val="0"/>
        <w:spacing w:after="0" w:line="240" w:lineRule="auto"/>
        <w:ind w:right="0"/>
      </w:pPr>
      <w:r w:rsidRPr="00A71912">
        <w:t xml:space="preserve">Korrigera hypocalcemi </w:t>
      </w:r>
    </w:p>
    <w:p w:rsidRPr="00A71912" w:rsidR="00A71912" w:rsidP="00A71912" w:rsidRDefault="00A71912" w14:paraId="6E75CA02" w14:textId="77777777">
      <w:pPr>
        <w:spacing w:after="0" w:line="240" w:lineRule="auto"/>
        <w:ind w:left="0" w:right="0"/>
      </w:pPr>
      <w:r w:rsidRPr="00A71912">
        <w:br w:type="page"/>
      </w:r>
    </w:p>
    <w:p w:rsidRPr="00A71912" w:rsidR="00A71912" w:rsidP="00A71912" w:rsidRDefault="00A71912" w14:paraId="37D3B35A" w14:textId="77777777">
      <w:pPr>
        <w:widowControl w:val="0"/>
        <w:tabs>
          <w:tab w:val="left" w:pos="3119"/>
        </w:tabs>
        <w:autoSpaceDE w:val="0"/>
        <w:autoSpaceDN w:val="0"/>
        <w:adjustRightInd w:val="0"/>
        <w:spacing w:after="0" w:line="240" w:lineRule="auto"/>
        <w:ind w:left="3119" w:right="0"/>
      </w:pPr>
      <w:r w:rsidRPr="00A71912">
        <w:rPr>
          <w:b/>
          <w:color w:val="000000"/>
        </w:rPr>
        <w:t>B. Uteslut medicinsk blödning</w:t>
      </w:r>
      <w:r w:rsidRPr="00A71912">
        <w:rPr>
          <w:color w:val="000000"/>
        </w:rPr>
        <w:t xml:space="preserve"> </w:t>
      </w:r>
      <w:r w:rsidRPr="00A71912">
        <w:rPr>
          <w:color w:val="000000"/>
        </w:rPr>
        <w:br/>
      </w:r>
      <w:r w:rsidRPr="00A71912">
        <w:rPr>
          <w:color w:val="000000"/>
        </w:rPr>
        <w:t xml:space="preserve">Kontrollera ACT, &lt;130 sek, överväg ytterligare Protamin® men beakta och behandla andra faktorer som kan förlänga ACT som tex Waran, låga nivåer av fibrinogen, hypotermi. </w:t>
      </w:r>
      <w:r w:rsidRPr="00A71912">
        <w:rPr>
          <w:color w:val="000000"/>
        </w:rPr>
        <w:br/>
      </w:r>
    </w:p>
    <w:p w:rsidRPr="00A71912" w:rsidR="00A71912" w:rsidP="00A71912" w:rsidRDefault="00A71912" w14:paraId="4F944AA7" w14:textId="77777777">
      <w:pPr>
        <w:widowControl w:val="0"/>
        <w:tabs>
          <w:tab w:val="left" w:pos="3119"/>
        </w:tabs>
        <w:autoSpaceDE w:val="0"/>
        <w:autoSpaceDN w:val="0"/>
        <w:adjustRightInd w:val="0"/>
        <w:spacing w:after="0" w:line="240" w:lineRule="auto"/>
        <w:ind w:left="3119" w:right="0"/>
      </w:pPr>
      <w:r w:rsidRPr="00A71912">
        <w:t xml:space="preserve">Ansvarig läkare ordinerar </w:t>
      </w:r>
      <w:r w:rsidRPr="00A71912">
        <w:rPr>
          <w:b/>
          <w:bCs/>
        </w:rPr>
        <w:t>tromboelastogram</w:t>
      </w:r>
      <w:r w:rsidRPr="00A71912">
        <w:t xml:space="preserve"> (TEG). På TIVA finns möjlighet till följande analyser på ROTEM: </w:t>
      </w:r>
    </w:p>
    <w:p w:rsidRPr="00A71912" w:rsidR="00A71912" w:rsidP="00A71912" w:rsidRDefault="00A71912" w14:paraId="0700C309" w14:textId="77777777">
      <w:pPr>
        <w:widowControl w:val="0"/>
        <w:tabs>
          <w:tab w:val="left" w:pos="3119"/>
        </w:tabs>
        <w:autoSpaceDE w:val="0"/>
        <w:autoSpaceDN w:val="0"/>
        <w:adjustRightInd w:val="0"/>
        <w:spacing w:after="0" w:line="240" w:lineRule="auto"/>
        <w:ind w:left="3119" w:right="0"/>
      </w:pPr>
      <w:r w:rsidRPr="00A71912">
        <w:t xml:space="preserve">INTEM, HEPTEM, FIBTEM och EXTEM. Normalisera. </w:t>
      </w:r>
      <w:r w:rsidRPr="00A71912">
        <w:br/>
      </w:r>
    </w:p>
    <w:p w:rsidRPr="00A71912" w:rsidR="00A71912" w:rsidP="00A71912" w:rsidRDefault="00A71912" w14:paraId="4346E5FE" w14:textId="77777777">
      <w:pPr>
        <w:widowControl w:val="0"/>
        <w:tabs>
          <w:tab w:val="left" w:pos="3119"/>
        </w:tabs>
        <w:autoSpaceDE w:val="0"/>
        <w:autoSpaceDN w:val="0"/>
        <w:adjustRightInd w:val="0"/>
        <w:spacing w:after="0" w:line="240" w:lineRule="auto"/>
        <w:ind w:left="3119" w:right="0"/>
      </w:pPr>
      <w:r w:rsidRPr="00A71912">
        <w:rPr>
          <w:b/>
        </w:rPr>
        <w:t>1</w:t>
      </w:r>
      <w:r w:rsidRPr="00A71912">
        <w:t xml:space="preserve">. Vid misstänkt koagulationsfaktorbrist överväg </w:t>
      </w:r>
      <w:r w:rsidRPr="00A71912">
        <w:rPr>
          <w:b/>
          <w:bCs/>
        </w:rPr>
        <w:t>Ocplex</w:t>
      </w:r>
      <w:r w:rsidRPr="00A71912">
        <w:rPr>
          <w:b/>
          <w:bCs/>
          <w:position w:val="10"/>
          <w:vertAlign w:val="superscript"/>
        </w:rPr>
        <w:t xml:space="preserve">®   </w:t>
      </w:r>
      <w:r w:rsidRPr="00A71912">
        <w:t xml:space="preserve">(protrombinkomplexkoncentrat) </w:t>
      </w:r>
      <w:r w:rsidRPr="00A71912">
        <w:rPr>
          <w:b/>
          <w:bCs/>
        </w:rPr>
        <w:t>1000-2000E,</w:t>
      </w:r>
      <w:r w:rsidRPr="00A71912">
        <w:t xml:space="preserve"> alternativt plasma</w:t>
      </w:r>
      <w:r w:rsidRPr="00A71912">
        <w:br/>
      </w:r>
      <w:r w:rsidRPr="00A71912">
        <w:rPr>
          <w:sz w:val="16"/>
          <w:szCs w:val="16"/>
        </w:rPr>
        <w:t xml:space="preserve"> </w:t>
      </w:r>
      <w:r w:rsidRPr="00A71912">
        <w:rPr>
          <w:sz w:val="16"/>
          <w:szCs w:val="16"/>
        </w:rPr>
        <w:br/>
      </w:r>
      <w:r w:rsidRPr="00A71912">
        <w:rPr>
          <w:b/>
        </w:rPr>
        <w:t>2.</w:t>
      </w:r>
      <w:r w:rsidRPr="00A71912">
        <w:t xml:space="preserve"> Vid misstänkt trombocytdysfunktion överväg </w:t>
      </w:r>
      <w:r w:rsidRPr="00A71912">
        <w:rPr>
          <w:b/>
          <w:bCs/>
        </w:rPr>
        <w:t>Octostim</w:t>
      </w:r>
      <w:r w:rsidRPr="00A71912">
        <w:rPr>
          <w:b/>
          <w:bCs/>
          <w:position w:val="10"/>
          <w:vertAlign w:val="superscript"/>
        </w:rPr>
        <w:t>®</w:t>
      </w:r>
      <w:r w:rsidRPr="00A71912">
        <w:rPr>
          <w:position w:val="10"/>
          <w:vertAlign w:val="superscript"/>
        </w:rPr>
        <w:t xml:space="preserve"> </w:t>
      </w:r>
      <w:r w:rsidRPr="00A71912">
        <w:rPr>
          <w:position w:val="10"/>
          <w:vertAlign w:val="superscript"/>
        </w:rPr>
        <w:br/>
      </w:r>
      <w:r w:rsidRPr="00A71912">
        <w:t xml:space="preserve">(desmopressin) </w:t>
      </w:r>
      <w:r w:rsidRPr="00A71912">
        <w:rPr>
          <w:b/>
          <w:bCs/>
        </w:rPr>
        <w:t>30µg</w:t>
      </w:r>
      <w:r w:rsidRPr="00A71912">
        <w:t xml:space="preserve"> samt </w:t>
      </w:r>
      <w:r w:rsidRPr="00A71912">
        <w:rPr>
          <w:b/>
          <w:bCs/>
        </w:rPr>
        <w:t>Cyklocapron</w:t>
      </w:r>
      <w:r w:rsidRPr="00A71912">
        <w:rPr>
          <w:b/>
          <w:bCs/>
          <w:position w:val="10"/>
          <w:vertAlign w:val="superscript"/>
        </w:rPr>
        <w:t>®</w:t>
      </w:r>
      <w:r w:rsidRPr="00A71912">
        <w:rPr>
          <w:position w:val="10"/>
          <w:vertAlign w:val="superscript"/>
        </w:rPr>
        <w:t xml:space="preserve"> </w:t>
      </w:r>
      <w:r w:rsidRPr="00A71912">
        <w:t xml:space="preserve">(tranexamsyra) </w:t>
      </w:r>
      <w:r w:rsidRPr="00A71912">
        <w:rPr>
          <w:b/>
          <w:bCs/>
        </w:rPr>
        <w:t>2g</w:t>
      </w:r>
      <w:r w:rsidRPr="00A71912">
        <w:t>, alternativt trombocytkoncentrat 2-4 enheter</w:t>
      </w:r>
    </w:p>
    <w:p w:rsidRPr="00A71912" w:rsidR="00A71912" w:rsidP="00A71912" w:rsidRDefault="00A71912" w14:paraId="11F2242F" w14:textId="77777777">
      <w:pPr>
        <w:widowControl w:val="0"/>
        <w:tabs>
          <w:tab w:val="left" w:pos="3119"/>
        </w:tabs>
        <w:autoSpaceDE w:val="0"/>
        <w:autoSpaceDN w:val="0"/>
        <w:adjustRightInd w:val="0"/>
        <w:spacing w:after="0" w:line="240" w:lineRule="auto"/>
        <w:ind w:left="3119" w:right="0"/>
        <w:rPr>
          <w:sz w:val="16"/>
          <w:szCs w:val="16"/>
        </w:rPr>
      </w:pPr>
      <w:r w:rsidRPr="00A71912">
        <w:br/>
      </w:r>
      <w:r w:rsidRPr="00A71912">
        <w:rPr>
          <w:b/>
        </w:rPr>
        <w:t>3</w:t>
      </w:r>
      <w:r w:rsidRPr="00A71912">
        <w:t xml:space="preserve">. Vid låga fibrinogennivåer ge </w:t>
      </w:r>
      <w:r w:rsidRPr="00A71912">
        <w:rPr>
          <w:b/>
        </w:rPr>
        <w:t>Fibrinogen</w:t>
      </w:r>
      <w:r w:rsidRPr="00A71912">
        <w:rPr>
          <w:b/>
          <w:bCs/>
        </w:rPr>
        <w:t xml:space="preserve"> 2-4g</w:t>
      </w:r>
      <w:r w:rsidRPr="00A71912">
        <w:t xml:space="preserve"> </w:t>
      </w:r>
      <w:r w:rsidRPr="00A71912">
        <w:br/>
      </w:r>
    </w:p>
    <w:p w:rsidRPr="00A71912" w:rsidR="00A71912" w:rsidP="00A71912" w:rsidRDefault="00A71912" w14:paraId="1162C990" w14:textId="77777777">
      <w:pPr>
        <w:tabs>
          <w:tab w:val="left" w:pos="3119"/>
        </w:tabs>
        <w:spacing w:after="0" w:line="240" w:lineRule="auto"/>
        <w:ind w:left="3119" w:right="0"/>
      </w:pPr>
      <w:r w:rsidRPr="00A71912">
        <w:t xml:space="preserve">Behandlingsmål vid pågående blödning är </w:t>
      </w:r>
      <w:r w:rsidRPr="00A71912">
        <w:rPr>
          <w:b/>
        </w:rPr>
        <w:t>Hb 100 g/l, TPK &gt;100x10</w:t>
      </w:r>
      <w:r w:rsidRPr="00A71912">
        <w:rPr>
          <w:b/>
          <w:vertAlign w:val="superscript"/>
        </w:rPr>
        <w:t>9</w:t>
      </w:r>
      <w:r w:rsidRPr="00A71912">
        <w:rPr>
          <w:b/>
        </w:rPr>
        <w:t>/l, fibrinogen &gt;2,5g/l</w:t>
      </w:r>
      <w:r w:rsidRPr="00A71912">
        <w:t xml:space="preserve">. </w:t>
      </w:r>
    </w:p>
    <w:p w:rsidRPr="00A71912" w:rsidR="00A71912" w:rsidP="00A71912" w:rsidRDefault="00A71912" w14:paraId="15DB4C6B" w14:textId="77777777">
      <w:pPr>
        <w:tabs>
          <w:tab w:val="left" w:pos="3119"/>
        </w:tabs>
        <w:spacing w:after="0" w:line="240" w:lineRule="auto"/>
        <w:ind w:left="3119" w:right="0"/>
      </w:pPr>
    </w:p>
    <w:p w:rsidRPr="00A71912" w:rsidR="00A71912" w:rsidP="00A71912" w:rsidRDefault="00A71912" w14:paraId="190F53B4" w14:textId="77777777">
      <w:pPr>
        <w:widowControl w:val="0"/>
        <w:tabs>
          <w:tab w:val="left" w:pos="3119"/>
        </w:tabs>
        <w:autoSpaceDE w:val="0"/>
        <w:autoSpaceDN w:val="0"/>
        <w:adjustRightInd w:val="0"/>
        <w:spacing w:after="0" w:line="240" w:lineRule="auto"/>
        <w:ind w:left="3119" w:right="0"/>
      </w:pPr>
      <w:r w:rsidRPr="00A71912">
        <w:rPr>
          <w:b/>
          <w:bCs/>
        </w:rPr>
        <w:t xml:space="preserve">C. Uteslut kirurgisk blödning </w:t>
      </w:r>
      <w:r w:rsidRPr="00A71912">
        <w:rPr>
          <w:b/>
          <w:bCs/>
        </w:rPr>
        <w:br/>
      </w:r>
      <w:r w:rsidRPr="00A71912">
        <w:t xml:space="preserve">Kontakta ansvarig thoraxkirurg för ställningstagande till reoperation vid stor postoperativ blödning, &gt;200ml första timmen och därefter &gt;100 ml/h. </w:t>
      </w:r>
    </w:p>
    <w:p w:rsidRPr="00A71912" w:rsidR="00A71912" w:rsidP="00A71912" w:rsidRDefault="00A71912" w14:paraId="7C0AE805" w14:textId="77777777">
      <w:pPr>
        <w:widowControl w:val="0"/>
        <w:tabs>
          <w:tab w:val="left" w:pos="3119"/>
        </w:tabs>
        <w:autoSpaceDE w:val="0"/>
        <w:autoSpaceDN w:val="0"/>
        <w:adjustRightInd w:val="0"/>
        <w:spacing w:line="240" w:lineRule="auto"/>
        <w:ind w:left="3119" w:right="0"/>
      </w:pPr>
      <w:r w:rsidRPr="00A71912">
        <w:rPr>
          <w:b/>
          <w:bCs/>
        </w:rPr>
        <w:t>D</w:t>
      </w:r>
      <w:r w:rsidRPr="00A71912">
        <w:t xml:space="preserve">. Eventuellt </w:t>
      </w:r>
      <w:r w:rsidRPr="00A71912">
        <w:rPr>
          <w:b/>
          <w:bCs/>
        </w:rPr>
        <w:t>NovoSeven</w:t>
      </w:r>
      <w:r w:rsidRPr="00A71912">
        <w:rPr>
          <w:b/>
          <w:bCs/>
          <w:position w:val="10"/>
          <w:vertAlign w:val="superscript"/>
        </w:rPr>
        <w:t xml:space="preserve">® </w:t>
      </w:r>
      <w:r w:rsidRPr="00A71912">
        <w:t xml:space="preserve">(rFVIIa) </w:t>
      </w:r>
      <w:r w:rsidRPr="00A71912">
        <w:br/>
      </w:r>
      <w:r w:rsidRPr="00A71912">
        <w:t xml:space="preserve">Vid fortsatt stor blödning trots adekvat medicinsk och kirurgisk behandling. </w:t>
      </w:r>
    </w:p>
    <w:p w:rsidRPr="00A71912" w:rsidR="00A71912" w:rsidP="00A71912" w:rsidRDefault="00A71912" w14:paraId="4973FA88" w14:textId="77777777">
      <w:pPr>
        <w:widowControl w:val="0"/>
        <w:tabs>
          <w:tab w:val="left" w:pos="3119"/>
        </w:tabs>
        <w:autoSpaceDE w:val="0"/>
        <w:autoSpaceDN w:val="0"/>
        <w:adjustRightInd w:val="0"/>
        <w:spacing w:after="0" w:line="240" w:lineRule="auto"/>
        <w:ind w:left="3119" w:right="0"/>
      </w:pPr>
      <w:r w:rsidRPr="00A71912">
        <w:rPr>
          <w:b/>
          <w:bCs/>
        </w:rPr>
        <w:t>2.4 - 4.8 mg</w:t>
      </w:r>
      <w:r w:rsidRPr="00A71912">
        <w:t xml:space="preserve"> (35-70 µg/kg) som intravenös bolusdos, upprepas inom 15-30 minuter om ej tillfredställande hemostatisk effekt uppnåtts på första dosen. Obs! Optimera med fibrinogen och trombocyter innan dosen ges. </w:t>
      </w:r>
    </w:p>
    <w:p w:rsidRPr="00A71912" w:rsidR="00A71912" w:rsidP="00A71912" w:rsidRDefault="00A71912" w14:paraId="015F10D9" w14:textId="77777777">
      <w:pPr>
        <w:widowControl w:val="0"/>
        <w:autoSpaceDE w:val="0"/>
        <w:autoSpaceDN w:val="0"/>
        <w:adjustRightInd w:val="0"/>
        <w:spacing w:after="0" w:line="240" w:lineRule="auto"/>
        <w:ind w:left="3119" w:right="0" w:hanging="3119"/>
        <w:rPr>
          <w:b/>
          <w:bCs/>
          <w:sz w:val="16"/>
          <w:szCs w:val="16"/>
        </w:rPr>
      </w:pPr>
    </w:p>
    <w:p w:rsidRPr="00A71912" w:rsidR="00A71912" w:rsidP="00A71912" w:rsidRDefault="00A71912" w14:paraId="3715F55A" w14:textId="77777777">
      <w:pPr>
        <w:widowControl w:val="0"/>
        <w:autoSpaceDE w:val="0"/>
        <w:autoSpaceDN w:val="0"/>
        <w:adjustRightInd w:val="0"/>
        <w:spacing w:after="0" w:line="240" w:lineRule="auto"/>
        <w:ind w:left="3119" w:right="0" w:hanging="3119"/>
        <w:rPr>
          <w:b/>
          <w:bCs/>
        </w:rPr>
      </w:pPr>
      <w:r w:rsidRPr="00A71912">
        <w:rPr>
          <w:b/>
          <w:bCs/>
        </w:rPr>
        <w:t xml:space="preserve">RUTINER </w:t>
      </w:r>
    </w:p>
    <w:p w:rsidRPr="00A71912" w:rsidR="00A71912" w:rsidP="00A71912" w:rsidRDefault="00A71912" w14:paraId="60725117" w14:textId="77777777">
      <w:pPr>
        <w:widowControl w:val="0"/>
        <w:autoSpaceDE w:val="0"/>
        <w:autoSpaceDN w:val="0"/>
        <w:adjustRightInd w:val="0"/>
        <w:spacing w:after="0" w:line="240" w:lineRule="auto"/>
        <w:ind w:left="3119" w:right="0" w:hanging="3119"/>
        <w:rPr>
          <w:b/>
          <w:bCs/>
          <w:sz w:val="16"/>
          <w:szCs w:val="16"/>
        </w:rPr>
      </w:pPr>
    </w:p>
    <w:p w:rsidRPr="00A71912" w:rsidR="00A71912" w:rsidP="00A71912" w:rsidRDefault="00A71912" w14:paraId="1C9DCB08" w14:textId="77777777">
      <w:pPr>
        <w:widowControl w:val="0"/>
        <w:tabs>
          <w:tab w:val="left" w:pos="3060"/>
        </w:tabs>
        <w:autoSpaceDE w:val="0"/>
        <w:autoSpaceDN w:val="0"/>
        <w:adjustRightInd w:val="0"/>
        <w:spacing w:after="0" w:line="240" w:lineRule="auto"/>
        <w:ind w:left="3060" w:right="0" w:hanging="3060"/>
      </w:pPr>
      <w:r w:rsidRPr="00A71912">
        <w:rPr>
          <w:b/>
          <w:bCs/>
        </w:rPr>
        <w:t>Ordination</w:t>
      </w:r>
      <w:r w:rsidRPr="00A71912">
        <w:t xml:space="preserve"> </w:t>
      </w:r>
      <w:r w:rsidRPr="00A71912">
        <w:tab/>
      </w:r>
      <w:r w:rsidRPr="00A71912">
        <w:t xml:space="preserve">Under vårdtiden skall alla blodprodukter ordineras av ansvarig läkare. </w:t>
      </w:r>
    </w:p>
    <w:p w:rsidRPr="00A71912" w:rsidR="00A71912" w:rsidP="00A71912" w:rsidRDefault="00A71912" w14:paraId="6C82A60E" w14:textId="77777777">
      <w:pPr>
        <w:widowControl w:val="0"/>
        <w:autoSpaceDE w:val="0"/>
        <w:autoSpaceDN w:val="0"/>
        <w:adjustRightInd w:val="0"/>
        <w:spacing w:after="0" w:line="240" w:lineRule="auto"/>
        <w:ind w:left="0" w:right="0"/>
        <w:rPr>
          <w:b/>
          <w:bCs/>
          <w:sz w:val="16"/>
          <w:szCs w:val="16"/>
        </w:rPr>
      </w:pPr>
    </w:p>
    <w:p w:rsidRPr="00A71912" w:rsidR="00A71912" w:rsidP="00A71912" w:rsidRDefault="00A71912" w14:paraId="6B29511B" w14:textId="77777777">
      <w:pPr>
        <w:widowControl w:val="0"/>
        <w:tabs>
          <w:tab w:val="left" w:pos="3060"/>
        </w:tabs>
        <w:autoSpaceDE w:val="0"/>
        <w:autoSpaceDN w:val="0"/>
        <w:adjustRightInd w:val="0"/>
        <w:spacing w:after="0" w:line="240" w:lineRule="auto"/>
        <w:ind w:left="0" w:right="0"/>
        <w:rPr>
          <w:b/>
        </w:rPr>
      </w:pPr>
      <w:r w:rsidRPr="00A71912">
        <w:rPr>
          <w:b/>
          <w:bCs/>
        </w:rPr>
        <w:t xml:space="preserve">Beställning av </w:t>
      </w:r>
      <w:r w:rsidRPr="00A71912">
        <w:rPr>
          <w:b/>
          <w:bCs/>
        </w:rPr>
        <w:tab/>
      </w:r>
      <w:r w:rsidRPr="00A71912">
        <w:rPr>
          <w:b/>
          <w:bCs/>
        </w:rPr>
        <w:t>Blod och plasma skall endast beställas i förväg till akuta blodprodukter</w:t>
      </w:r>
      <w:r w:rsidRPr="00A71912">
        <w:t xml:space="preserve"> </w:t>
      </w:r>
      <w:r w:rsidRPr="00A71912">
        <w:tab/>
      </w:r>
      <w:r w:rsidRPr="00A71912">
        <w:rPr>
          <w:b/>
        </w:rPr>
        <w:t xml:space="preserve">patienter. Beställ inte mer blodprodukter än det finns </w:t>
      </w:r>
      <w:r w:rsidRPr="00A71912">
        <w:rPr>
          <w:b/>
        </w:rPr>
        <w:tab/>
      </w:r>
      <w:r w:rsidRPr="00A71912">
        <w:rPr>
          <w:b/>
        </w:rPr>
        <w:t>indikation för!</w:t>
      </w:r>
    </w:p>
    <w:p w:rsidRPr="00A71912" w:rsidR="00A71912" w:rsidP="00A71912" w:rsidRDefault="00A71912" w14:paraId="2B1979E9" w14:textId="77777777">
      <w:pPr>
        <w:widowControl w:val="0"/>
        <w:tabs>
          <w:tab w:val="left" w:pos="3060"/>
        </w:tabs>
        <w:autoSpaceDE w:val="0"/>
        <w:autoSpaceDN w:val="0"/>
        <w:adjustRightInd w:val="0"/>
        <w:spacing w:after="0" w:line="240" w:lineRule="auto"/>
        <w:ind w:left="0" w:right="0"/>
        <w:rPr>
          <w:b/>
          <w:sz w:val="16"/>
          <w:szCs w:val="16"/>
        </w:rPr>
      </w:pPr>
    </w:p>
    <w:p w:rsidRPr="00A71912" w:rsidR="00A71912" w:rsidP="00A71912" w:rsidRDefault="00A71912" w14:paraId="0B66B84A" w14:textId="77777777">
      <w:pPr>
        <w:widowControl w:val="0"/>
        <w:tabs>
          <w:tab w:val="left" w:pos="3060"/>
        </w:tabs>
        <w:autoSpaceDE w:val="0"/>
        <w:autoSpaceDN w:val="0"/>
        <w:adjustRightInd w:val="0"/>
        <w:spacing w:after="0" w:line="240" w:lineRule="auto"/>
        <w:ind w:left="3060" w:right="0"/>
      </w:pPr>
      <w:r w:rsidRPr="00A71912">
        <w:t xml:space="preserve">Transfusionsmedicin kan lämna ut blod omedelbart till alla </w:t>
      </w:r>
      <w:r w:rsidRPr="00A71912">
        <w:t>patienter som har ett giltigt bastest efter telefonbeställning.</w:t>
      </w:r>
    </w:p>
    <w:p w:rsidRPr="00A71912" w:rsidR="00A71912" w:rsidP="00A71912" w:rsidRDefault="00A71912" w14:paraId="7EB89DC9" w14:textId="77777777">
      <w:pPr>
        <w:widowControl w:val="0"/>
        <w:tabs>
          <w:tab w:val="left" w:pos="3060"/>
        </w:tabs>
        <w:autoSpaceDE w:val="0"/>
        <w:autoSpaceDN w:val="0"/>
        <w:adjustRightInd w:val="0"/>
        <w:spacing w:after="0" w:line="240" w:lineRule="auto"/>
        <w:ind w:left="3060" w:right="0"/>
        <w:rPr>
          <w:sz w:val="16"/>
          <w:szCs w:val="16"/>
        </w:rPr>
      </w:pPr>
      <w:r w:rsidRPr="00A71912">
        <w:rPr>
          <w:sz w:val="16"/>
          <w:szCs w:val="16"/>
        </w:rPr>
        <w:br w:type="page"/>
      </w:r>
    </w:p>
    <w:p w:rsidRPr="00A71912" w:rsidR="00A71912" w:rsidP="00A71912" w:rsidRDefault="00A71912" w14:paraId="0B8A1CFC" w14:textId="77777777">
      <w:pPr>
        <w:widowControl w:val="0"/>
        <w:tabs>
          <w:tab w:val="left" w:pos="3060"/>
        </w:tabs>
        <w:autoSpaceDE w:val="0"/>
        <w:autoSpaceDN w:val="0"/>
        <w:adjustRightInd w:val="0"/>
        <w:spacing w:after="0" w:line="240" w:lineRule="auto"/>
        <w:ind w:left="3060" w:right="0"/>
      </w:pPr>
      <w:r w:rsidRPr="00A71912">
        <w:t>Blod som beställs reserveras för patienten i 3 dygn fr o m reservationsdatum men inte längre än BAS-testens giltighet.</w:t>
      </w:r>
    </w:p>
    <w:p w:rsidRPr="00A71912" w:rsidR="00A71912" w:rsidP="00A71912" w:rsidRDefault="00A71912" w14:paraId="4C86B7DA" w14:textId="77777777">
      <w:pPr>
        <w:widowControl w:val="0"/>
        <w:autoSpaceDE w:val="0"/>
        <w:autoSpaceDN w:val="0"/>
        <w:adjustRightInd w:val="0"/>
        <w:spacing w:after="0" w:line="240" w:lineRule="auto"/>
        <w:ind w:left="3119" w:right="0" w:hanging="3119"/>
        <w:rPr>
          <w:b/>
          <w:bCs/>
        </w:rPr>
      </w:pPr>
    </w:p>
    <w:p w:rsidRPr="00A71912" w:rsidR="00A71912" w:rsidP="00A71912" w:rsidRDefault="00A71912" w14:paraId="67480AE6" w14:textId="77777777">
      <w:pPr>
        <w:widowControl w:val="0"/>
        <w:autoSpaceDE w:val="0"/>
        <w:autoSpaceDN w:val="0"/>
        <w:adjustRightInd w:val="0"/>
        <w:spacing w:after="0" w:line="240" w:lineRule="auto"/>
        <w:ind w:left="3119" w:right="0" w:hanging="3119"/>
        <w:rPr>
          <w:b/>
          <w:bCs/>
        </w:rPr>
      </w:pPr>
    </w:p>
    <w:p w:rsidRPr="00A71912" w:rsidR="00A71912" w:rsidP="00A71912" w:rsidRDefault="00A71912" w14:paraId="51D6F830" w14:textId="77777777">
      <w:pPr>
        <w:widowControl w:val="0"/>
        <w:tabs>
          <w:tab w:val="left" w:pos="3060"/>
        </w:tabs>
        <w:autoSpaceDE w:val="0"/>
        <w:autoSpaceDN w:val="0"/>
        <w:adjustRightInd w:val="0"/>
        <w:spacing w:after="0" w:line="240" w:lineRule="auto"/>
        <w:ind w:left="0" w:right="0"/>
      </w:pPr>
      <w:r w:rsidRPr="00A71912">
        <w:rPr>
          <w:b/>
          <w:bCs/>
        </w:rPr>
        <w:t xml:space="preserve">Blodgruppering  </w:t>
      </w:r>
      <w:r w:rsidRPr="00A71912">
        <w:rPr>
          <w:b/>
          <w:bCs/>
        </w:rPr>
        <w:tab/>
      </w:r>
      <w:r w:rsidRPr="00A71912">
        <w:t>Alla patienter blodgrupperas och BAS-testas enligt rutin på Thorax</w:t>
      </w:r>
    </w:p>
    <w:p w:rsidRPr="00A71912" w:rsidR="00A71912" w:rsidP="00A71912" w:rsidRDefault="00A71912" w14:paraId="3EFC3316" w14:textId="77777777">
      <w:pPr>
        <w:widowControl w:val="0"/>
        <w:tabs>
          <w:tab w:val="left" w:pos="3060"/>
        </w:tabs>
        <w:autoSpaceDE w:val="0"/>
        <w:autoSpaceDN w:val="0"/>
        <w:adjustRightInd w:val="0"/>
        <w:spacing w:after="0" w:line="240" w:lineRule="auto"/>
        <w:ind w:left="0" w:right="0"/>
      </w:pPr>
      <w:r w:rsidRPr="00A71912">
        <w:rPr>
          <w:b/>
          <w:bCs/>
        </w:rPr>
        <w:t>och BAS-test</w:t>
      </w:r>
      <w:r w:rsidRPr="00A71912">
        <w:t xml:space="preserve"> </w:t>
      </w:r>
      <w:r w:rsidRPr="00A71912">
        <w:tab/>
      </w:r>
    </w:p>
    <w:p w:rsidRPr="00A71912" w:rsidR="00A71912" w:rsidP="00A71912" w:rsidRDefault="00A71912" w14:paraId="6C40B12D" w14:textId="77777777">
      <w:pPr>
        <w:widowControl w:val="0"/>
        <w:tabs>
          <w:tab w:val="left" w:pos="3060"/>
        </w:tabs>
        <w:autoSpaceDE w:val="0"/>
        <w:autoSpaceDN w:val="0"/>
        <w:adjustRightInd w:val="0"/>
        <w:spacing w:after="0" w:line="240" w:lineRule="auto"/>
        <w:ind w:left="3060" w:right="0"/>
      </w:pPr>
      <w:r w:rsidRPr="00A71912">
        <w:t>En normal blodgruppering tar 4 timmar och en akut tar 40 min.</w:t>
      </w:r>
      <w:r w:rsidRPr="00A71912">
        <w:rPr>
          <w:b/>
          <w:bCs/>
        </w:rPr>
        <w:t xml:space="preserve"> </w:t>
      </w:r>
      <w:r w:rsidRPr="00A71912">
        <w:rPr>
          <w:b/>
          <w:bCs/>
        </w:rPr>
        <w:br/>
      </w:r>
      <w:r w:rsidRPr="00A71912">
        <w:t xml:space="preserve">En bastest tar ca 1- 1,5 timme att analysera om den är akutmärkt. Den är giltig i 5 dygn från provtagning och provtagningsdatum räknas som dag 1. Bastest som inte är akutmärkt tar ca 4 timmar att få svar på. </w:t>
      </w:r>
    </w:p>
    <w:p w:rsidRPr="00A71912" w:rsidR="00A71912" w:rsidP="00A71912" w:rsidRDefault="00A71912" w14:paraId="08D9F18E" w14:textId="77777777">
      <w:pPr>
        <w:widowControl w:val="0"/>
        <w:tabs>
          <w:tab w:val="left" w:pos="2340"/>
        </w:tabs>
        <w:autoSpaceDE w:val="0"/>
        <w:autoSpaceDN w:val="0"/>
        <w:adjustRightInd w:val="0"/>
        <w:spacing w:after="0" w:line="240" w:lineRule="auto"/>
        <w:ind w:left="3119" w:right="0" w:hanging="3119"/>
      </w:pPr>
    </w:p>
    <w:p w:rsidRPr="00A71912" w:rsidR="00A71912" w:rsidP="00A71912" w:rsidRDefault="00A71912" w14:paraId="2C147EC6" w14:textId="77777777">
      <w:pPr>
        <w:widowControl w:val="0"/>
        <w:tabs>
          <w:tab w:val="left" w:pos="2340"/>
        </w:tabs>
        <w:autoSpaceDE w:val="0"/>
        <w:autoSpaceDN w:val="0"/>
        <w:adjustRightInd w:val="0"/>
        <w:spacing w:after="0" w:line="240" w:lineRule="auto"/>
        <w:ind w:left="3119" w:right="0" w:hanging="3119"/>
      </w:pPr>
    </w:p>
    <w:p w:rsidRPr="00A71912" w:rsidR="00A71912" w:rsidP="00A71912" w:rsidRDefault="00A71912" w14:paraId="29502F86" w14:textId="77777777">
      <w:pPr>
        <w:widowControl w:val="0"/>
        <w:tabs>
          <w:tab w:val="left" w:pos="3060"/>
          <w:tab w:val="left" w:pos="3960"/>
        </w:tabs>
        <w:autoSpaceDE w:val="0"/>
        <w:autoSpaceDN w:val="0"/>
        <w:adjustRightInd w:val="0"/>
        <w:spacing w:after="0" w:line="240" w:lineRule="auto"/>
        <w:ind w:left="3060" w:right="0" w:hanging="3060"/>
      </w:pPr>
      <w:r w:rsidRPr="00A71912">
        <w:rPr>
          <w:b/>
          <w:bCs/>
        </w:rPr>
        <w:t xml:space="preserve">MG- test </w:t>
      </w:r>
      <w:r w:rsidRPr="00A71912">
        <w:rPr>
          <w:bCs/>
        </w:rPr>
        <w:t>(fd. Korstest)</w:t>
      </w:r>
      <w:r w:rsidRPr="00A71912">
        <w:t xml:space="preserve"> </w:t>
      </w:r>
      <w:r w:rsidRPr="00A71912">
        <w:tab/>
      </w:r>
      <w:r w:rsidRPr="00A71912">
        <w:t>Om patienten behöver MG-test (Mottagare Givare -test) tar det lång tid, det kan ta flera timmar beroende på vilka antikroppar som ska analyseras. Vid förekomst av irregulära erytrocytantikroppar och vissa andra serologiska problem måste patientens plasma testas mot varje blodenhet som ska lämnas ut. MG-testset kan göras under 3 dygn (provtagningsdagen inräknad) från samma blodprov. Blodenheter kan reserveras under 4 dygn (provtagningsdagen inräknad).</w:t>
      </w:r>
    </w:p>
    <w:p w:rsidRPr="00A71912" w:rsidR="00A71912" w:rsidP="00A71912" w:rsidRDefault="00A71912" w14:paraId="043BE700" w14:textId="77777777">
      <w:pPr>
        <w:widowControl w:val="0"/>
        <w:tabs>
          <w:tab w:val="left" w:pos="2340"/>
        </w:tabs>
        <w:autoSpaceDE w:val="0"/>
        <w:autoSpaceDN w:val="0"/>
        <w:adjustRightInd w:val="0"/>
        <w:spacing w:after="0" w:line="240" w:lineRule="auto"/>
        <w:ind w:left="3119" w:right="0" w:hanging="3119"/>
      </w:pPr>
    </w:p>
    <w:p w:rsidRPr="00A71912" w:rsidR="00A71912" w:rsidP="00A71912" w:rsidRDefault="00A71912" w14:paraId="09198AC6" w14:textId="77777777">
      <w:pPr>
        <w:widowControl w:val="0"/>
        <w:tabs>
          <w:tab w:val="left" w:pos="3060"/>
        </w:tabs>
        <w:autoSpaceDE w:val="0"/>
        <w:autoSpaceDN w:val="0"/>
        <w:adjustRightInd w:val="0"/>
        <w:spacing w:after="0" w:line="240" w:lineRule="auto"/>
        <w:ind w:left="3060" w:right="0" w:hanging="3060"/>
      </w:pPr>
      <w:r w:rsidRPr="00A71912">
        <w:tab/>
      </w:r>
      <w:r w:rsidRPr="00A71912">
        <w:rPr>
          <w:b/>
          <w:bCs/>
        </w:rPr>
        <w:t>Blod skall beställas i god tid till de patienter som behöver korstestas</w:t>
      </w:r>
      <w:r w:rsidRPr="00A71912">
        <w:t xml:space="preserve">. </w:t>
      </w:r>
    </w:p>
    <w:p w:rsidRPr="00A71912" w:rsidR="00A71912" w:rsidP="00A71912" w:rsidRDefault="00A71912" w14:paraId="33ED8202" w14:textId="77777777">
      <w:pPr>
        <w:widowControl w:val="0"/>
        <w:tabs>
          <w:tab w:val="left" w:pos="2340"/>
        </w:tabs>
        <w:autoSpaceDE w:val="0"/>
        <w:autoSpaceDN w:val="0"/>
        <w:adjustRightInd w:val="0"/>
        <w:spacing w:after="0" w:line="240" w:lineRule="auto"/>
        <w:ind w:left="3119" w:right="0" w:hanging="3119"/>
      </w:pPr>
    </w:p>
    <w:p w:rsidRPr="00A71912" w:rsidR="00A71912" w:rsidP="00A71912" w:rsidRDefault="00A71912" w14:paraId="39A1436B" w14:textId="77777777">
      <w:pPr>
        <w:widowControl w:val="0"/>
        <w:tabs>
          <w:tab w:val="left" w:pos="3060"/>
        </w:tabs>
        <w:autoSpaceDE w:val="0"/>
        <w:autoSpaceDN w:val="0"/>
        <w:adjustRightInd w:val="0"/>
        <w:spacing w:after="0" w:line="240" w:lineRule="auto"/>
        <w:ind w:left="3119" w:right="0" w:hanging="3119"/>
      </w:pPr>
      <w:r w:rsidRPr="00A71912">
        <w:rPr>
          <w:b/>
          <w:bCs/>
        </w:rPr>
        <w:t>Administering</w:t>
      </w:r>
      <w:r w:rsidRPr="00A71912">
        <w:t xml:space="preserve"> </w:t>
      </w:r>
      <w:r w:rsidRPr="00A71912">
        <w:tab/>
      </w:r>
      <w:r w:rsidRPr="00A71912">
        <w:t xml:space="preserve">All administrering av blod sker enl Socialstyrelsens föreskrifter (SOSFS 2006:18) om transfusion av blodkomponenter. </w:t>
      </w:r>
    </w:p>
    <w:p w:rsidRPr="00A71912" w:rsidR="00A71912" w:rsidP="00A71912" w:rsidRDefault="00A71912" w14:paraId="7AA43EA7" w14:textId="77777777">
      <w:pPr>
        <w:widowControl w:val="0"/>
        <w:tabs>
          <w:tab w:val="left" w:pos="3060"/>
        </w:tabs>
        <w:autoSpaceDE w:val="0"/>
        <w:autoSpaceDN w:val="0"/>
        <w:adjustRightInd w:val="0"/>
        <w:spacing w:after="0" w:line="240" w:lineRule="auto"/>
        <w:ind w:left="3119" w:right="0" w:hanging="3119"/>
      </w:pPr>
    </w:p>
    <w:p w:rsidRPr="00A71912" w:rsidR="00A71912" w:rsidP="00A71912" w:rsidRDefault="00A71912" w14:paraId="0A048442" w14:textId="77777777">
      <w:pPr>
        <w:widowControl w:val="0"/>
        <w:tabs>
          <w:tab w:val="left" w:pos="3060"/>
        </w:tabs>
        <w:autoSpaceDE w:val="0"/>
        <w:autoSpaceDN w:val="0"/>
        <w:adjustRightInd w:val="0"/>
        <w:spacing w:after="0" w:line="240" w:lineRule="auto"/>
        <w:ind w:left="3060" w:right="0" w:hanging="3060"/>
      </w:pPr>
      <w:r w:rsidRPr="00A71912">
        <w:rPr>
          <w:b/>
          <w:bCs/>
        </w:rPr>
        <w:tab/>
      </w:r>
      <w:r w:rsidRPr="00A71912">
        <w:t>När Blod eller plasma ges på thorax skall respektive transfusionsjournal för blod (röd), plasma (blå) och trombocyter (svart) användas och följesedel sparas inte. Alla blodprodukter registreras även till i interinfo.</w:t>
      </w:r>
    </w:p>
    <w:p w:rsidRPr="00A71912" w:rsidR="00A71912" w:rsidP="00A71912" w:rsidRDefault="00A71912" w14:paraId="6A52878E" w14:textId="77777777">
      <w:pPr>
        <w:widowControl w:val="0"/>
        <w:autoSpaceDE w:val="0"/>
        <w:autoSpaceDN w:val="0"/>
        <w:adjustRightInd w:val="0"/>
        <w:spacing w:after="0" w:line="240" w:lineRule="auto"/>
        <w:ind w:left="3100" w:right="0"/>
      </w:pPr>
      <w:r w:rsidRPr="00A71912">
        <w:rPr>
          <w:b/>
          <w:bCs/>
        </w:rPr>
        <w:t xml:space="preserve"> </w:t>
      </w:r>
    </w:p>
    <w:p w:rsidRPr="00A71912" w:rsidR="00A71912" w:rsidP="00A71912" w:rsidRDefault="00A71912" w14:paraId="7B273989" w14:textId="77777777">
      <w:pPr>
        <w:widowControl w:val="0"/>
        <w:autoSpaceDE w:val="0"/>
        <w:autoSpaceDN w:val="0"/>
        <w:adjustRightInd w:val="0"/>
        <w:spacing w:line="240" w:lineRule="auto"/>
        <w:ind w:left="3100" w:right="0"/>
        <w:rPr>
          <w:color w:val="000000"/>
        </w:rPr>
      </w:pPr>
    </w:p>
    <w:p w:rsidRPr="00A71912" w:rsidR="00A71912" w:rsidP="00A71912" w:rsidRDefault="00A71912" w14:paraId="2AD72CA4" w14:textId="77777777">
      <w:pPr>
        <w:keepNext/>
        <w:spacing w:after="60" w:line="240" w:lineRule="auto"/>
        <w:ind w:left="0" w:right="0"/>
        <w:outlineLvl w:val="2"/>
        <w:rPr>
          <w:b/>
          <w:bCs/>
        </w:rPr>
      </w:pPr>
      <w:r w:rsidRPr="00A71912">
        <w:rPr>
          <w:b/>
          <w:bCs/>
        </w:rPr>
        <w:t>Uppföljning, utvärdering och revision</w:t>
      </w:r>
    </w:p>
    <w:p w:rsidRPr="00A71912" w:rsidR="00A71912" w:rsidP="00A71912" w:rsidRDefault="00A71912" w14:paraId="1BD84A66" w14:textId="77777777">
      <w:pPr>
        <w:spacing w:after="0" w:line="240" w:lineRule="auto"/>
        <w:ind w:left="0" w:right="0"/>
      </w:pPr>
      <w:r w:rsidRPr="00A71912">
        <w:t>Avvikelse från rutinen ska dokumenteras i patientjournalen och inträffade negativa händelser ska rapporteras i avvikelsesystemet Med Control Pro där aktuell linjechef ansvarar för utredning, åtgärd och uppföljning.</w:t>
      </w:r>
    </w:p>
    <w:p w:rsidRPr="00A71912" w:rsidR="00A71912" w:rsidP="00A71912" w:rsidRDefault="00A71912" w14:paraId="53AAF515" w14:textId="77777777">
      <w:pPr>
        <w:spacing w:after="0" w:line="240" w:lineRule="auto"/>
        <w:ind w:left="0" w:right="0"/>
      </w:pPr>
      <w:r w:rsidRPr="00A71912">
        <w:t xml:space="preserve">Utvärdering och revidering av rutindokumentet ska ske senast ett år efter godkännande. Ansvar för revidering har rutinansvarig tillsammans med vårdenhetschefen. </w:t>
      </w:r>
    </w:p>
    <w:p w:rsidRPr="00A71912" w:rsidR="00A71912" w:rsidP="00A71912" w:rsidRDefault="00A71912" w14:paraId="60891226" w14:textId="77777777">
      <w:pPr>
        <w:spacing w:after="0" w:line="240" w:lineRule="auto"/>
        <w:ind w:left="0" w:right="0"/>
      </w:pPr>
    </w:p>
    <w:p w:rsidRPr="00A71912" w:rsidR="00A71912" w:rsidP="00A71912" w:rsidRDefault="00A71912" w14:paraId="058A2EC0" w14:textId="77777777">
      <w:pPr>
        <w:keepNext/>
        <w:spacing w:after="60" w:line="240" w:lineRule="auto"/>
        <w:ind w:left="0" w:right="0"/>
        <w:outlineLvl w:val="2"/>
        <w:rPr>
          <w:bCs/>
        </w:rPr>
      </w:pPr>
      <w:r w:rsidRPr="00A71912">
        <w:rPr>
          <w:b/>
          <w:bCs/>
        </w:rPr>
        <w:t>Relaterad information</w:t>
      </w:r>
      <w:r w:rsidRPr="00A71912">
        <w:rPr>
          <w:b/>
          <w:bCs/>
        </w:rPr>
        <w:br/>
      </w:r>
      <w:r w:rsidRPr="00A71912">
        <w:rPr>
          <w:bCs/>
        </w:rPr>
        <w:t>Transfusionsjournal blod</w:t>
      </w:r>
      <w:r w:rsidRPr="00A71912">
        <w:rPr>
          <w:bCs/>
        </w:rPr>
        <w:br/>
      </w:r>
      <w:r w:rsidRPr="00A71912">
        <w:rPr>
          <w:bCs/>
        </w:rPr>
        <w:t>Transfusionsjournal plasma</w:t>
      </w:r>
    </w:p>
    <w:p w:rsidRPr="00A71912" w:rsidR="00A71912" w:rsidP="00A71912" w:rsidRDefault="00A71912" w14:paraId="2130214B" w14:textId="77777777">
      <w:pPr>
        <w:spacing w:after="0" w:line="240" w:lineRule="auto"/>
        <w:ind w:left="0" w:right="0"/>
      </w:pPr>
      <w:r w:rsidRPr="00A71912">
        <w:br w:type="page"/>
      </w:r>
    </w:p>
    <w:p w:rsidRPr="00A71912" w:rsidR="00A71912" w:rsidP="00A71912" w:rsidRDefault="00A71912" w14:paraId="4E79EDCC" w14:textId="77777777">
      <w:pPr>
        <w:keepNext/>
        <w:spacing w:after="60" w:line="240" w:lineRule="auto"/>
        <w:ind w:left="0" w:right="0"/>
        <w:outlineLvl w:val="2"/>
        <w:rPr>
          <w:b/>
          <w:bCs/>
        </w:rPr>
      </w:pPr>
      <w:r w:rsidRPr="00A71912">
        <w:rPr>
          <w:b/>
          <w:bCs/>
        </w:rPr>
        <w:t>Dokumentation</w:t>
      </w:r>
    </w:p>
    <w:p w:rsidRPr="00A71912" w:rsidR="00A71912" w:rsidP="00A71912" w:rsidRDefault="00A71912" w14:paraId="36A483C0" w14:textId="77777777">
      <w:pPr>
        <w:spacing w:after="0" w:line="240" w:lineRule="auto"/>
        <w:ind w:left="0" w:right="0"/>
      </w:pPr>
      <w:r w:rsidRPr="00A71912">
        <w:t xml:space="preserve">Styrande dokument arkiveras i Barium. Redovisande dokument ska hanteras enligt sjukhusets gällande rutiner för arkivering av allmänna handlingar. </w:t>
      </w:r>
    </w:p>
    <w:p w:rsidRPr="00A71912" w:rsidR="00A71912" w:rsidP="7279CD54" w:rsidRDefault="00A71912" w14:paraId="32DC7181" w14:textId="4A84AB14">
      <w:pPr>
        <w:pStyle w:val="Normal"/>
        <w:spacing w:after="0" w:line="240" w:lineRule="auto"/>
        <w:ind w:left="0" w:right="0"/>
      </w:pPr>
    </w:p>
    <w:bookmarkEnd w:id="0"/>
    <w:p w:rsidRPr="00536A5A" w:rsidR="00536A5A" w:rsidP="00536A5A" w:rsidRDefault="00536A5A" w14:paraId="76B9F95B" w14:textId="24513497">
      <w:pPr>
        <w:spacing w:after="0" w:line="240" w:lineRule="auto"/>
        <w:ind w:left="0" w:right="0"/>
      </w:pPr>
    </w:p>
    <w:sectPr w:rsidRPr="00536A5A" w:rsidR="00536A5A" w:rsidSect="00A71912">
      <w:type w:val="continuous"/>
      <w:pgSz w:w="11900" w:h="16840" w:orient="portrait"/>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363B23" w:rsidRDefault="00363B23" w14:paraId="496D9698" w14:textId="77777777">
      <w:r>
        <w:separator/>
      </w:r>
    </w:p>
  </w:endnote>
  <w:endnote w:type="continuationSeparator" w:id="0">
    <w:p w:rsidR="00363B23" w:rsidRDefault="00363B23" w14:paraId="38030764" w14:textId="77777777">
      <w:r>
        <w:continuationSeparator/>
      </w:r>
    </w:p>
  </w:endnote>
  <w:endnote w:type="continuationNotice" w:id="1">
    <w:p w:rsidR="00363B23" w:rsidRDefault="00363B23" w14:paraId="0576E0AF"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0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Verdana">
    <w:panose1 w:val="020B0604030504040204"/>
    <w:charset w:val="00"/>
    <w:family w:val="swiss"/>
    <w:pitch w:val="variable"/>
    <w:sig w:usb0="A00006FF" w:usb1="4000205B" w:usb2="00000010" w:usb3="00000000" w:csb0="0000019F" w:csb1="00000000"/>
  </w:font>
  <w:font w:name="Times-Roman">
    <w:panose1 w:val="00000000000000000000"/>
    <w:charset w:val="00"/>
    <w:family w:val="roman"/>
    <w:notTrueType/>
    <w:pitch w:val="default"/>
    <w:sig w:usb0="00000003" w:usb1="00000000" w:usb2="00000000" w:usb3="00000000" w:csb0="00000001" w:csb1="00000000"/>
  </w:font>
  <w:font w:name="MS Mincho">
    <w:altName w:val="MS Mincho"/>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660269" w:rsidP="00C43BDD" w:rsidRDefault="00660269" w14:paraId="1FE2B820" w14:textId="77777777">
    <w:pPr>
      <w:pStyle w:val="Footer"/>
      <w:framePr w:wrap="around" w:hAnchor="margin" w:vAnchor="text" w:y="1"/>
      <w:rPr>
        <w:rStyle w:val="PageNumber"/>
      </w:rPr>
    </w:pPr>
    <w:r>
      <w:rPr>
        <w:rStyle w:val="PageNumber"/>
      </w:rPr>
      <w:fldChar w:fldCharType="begin"/>
    </w:r>
    <w:r>
      <w:rPr>
        <w:rStyle w:val="PageNumber"/>
      </w:rPr>
      <w:instrText xml:space="preserve">PAGE  </w:instrText>
    </w:r>
    <w:r>
      <w:rPr>
        <w:rStyle w:val="PageNumber"/>
      </w:rPr>
      <w:fldChar w:fldCharType="end"/>
    </w:r>
  </w:p>
  <w:p w:rsidR="00660269" w:rsidP="00C43BDD" w:rsidRDefault="00660269" w14:paraId="1FE2B821" w14:textId="77777777">
    <w:pPr>
      <w:pStyle w:val="Footer"/>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rsidRPr="00EC0A68" w:rsidR="00C50EE5" w:rsidP="00EC0A68" w:rsidRDefault="00A65FD4" w14:paraId="47BD2091" w14:textId="4558F808">
        <w:pPr>
          <w:pStyle w:val="Footer"/>
          <w:rPr>
            <w:sz w:val="16"/>
            <w:szCs w:val="16"/>
          </w:rPr>
        </w:pPr>
        <w:r w:rsidRPr="00EC0A68">
          <w:rPr>
            <w:sz w:val="16"/>
            <w:szCs w:val="16"/>
          </w:rPr>
          <w:t xml:space="preserve"> </w:t>
        </w:r>
        <w:r w:rsidRPr="00EC0A68" w:rsidR="00EC0A68">
          <w:rPr>
            <w:sz w:val="16"/>
            <w:szCs w:val="16"/>
          </w:rPr>
          <w:fldChar w:fldCharType="begin"/>
        </w:r>
        <w:r w:rsidRPr="00EC0A68" w:rsidR="00EC0A68">
          <w:rPr>
            <w:sz w:val="16"/>
            <w:szCs w:val="16"/>
          </w:rPr>
          <w:instrText>PAGE   \* MERGEFORMAT</w:instrText>
        </w:r>
        <w:r w:rsidRPr="00EC0A68" w:rsidR="00EC0A68">
          <w:rPr>
            <w:sz w:val="16"/>
            <w:szCs w:val="16"/>
          </w:rPr>
          <w:fldChar w:fldCharType="separate"/>
        </w:r>
        <w:r w:rsidRPr="00EC0A68" w:rsidR="00EC0A68">
          <w:rPr>
            <w:sz w:val="16"/>
            <w:szCs w:val="16"/>
          </w:rPr>
          <w:t>2</w:t>
        </w:r>
        <w:r w:rsidRPr="00EC0A68" w:rsid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660269" w:rsidP="00FB2F0F" w:rsidRDefault="009228AB" w14:paraId="1FE2B822" w14:textId="063AE373">
    <w:pPr>
      <w:pStyle w:val="Footer"/>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363B23" w:rsidRDefault="00363B23" w14:paraId="6E5526E6" w14:textId="77777777"/>
  </w:footnote>
  <w:footnote w:type="continuationSeparator" w:id="0">
    <w:p w:rsidR="00363B23" w:rsidRDefault="00363B23" w14:paraId="5C57738A" w14:textId="77777777">
      <w:r>
        <w:continuationSeparator/>
      </w:r>
    </w:p>
  </w:footnote>
  <w:footnote w:type="continuationNotice" w:id="1">
    <w:p w:rsidR="00363B23" w:rsidRDefault="00363B23" w14:paraId="4F5088BD"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p14">
  <w:p w:rsidRPr="00DA65C4" w:rsidR="00294791" w:rsidP="00DA65C4" w:rsidRDefault="00DA65C4" w14:paraId="68F18EE5" w14:textId="39C06E14">
    <w:pPr>
      <w:pStyle w:val="Header"/>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w14:anchorId="1656EF2B">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6D41DF98"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8A4EB9" w:rsidP="00413A60" w:rsidRDefault="00413A60" w14:paraId="058CDD4D" w14:textId="4A49575C">
    <w:pPr>
      <w:pStyle w:val="Header"/>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w14:anchorId="12BC0EDF">
            <v:shapetype id="_x0000_t202" coordsize="21600,21600" o:spt="202" path="m,l,21600r21600,l21600,xe" w14:anchorId="5B7982AB">
              <v:stroke joinstyle="miter"/>
              <v:path gradientshapeok="t" o:connecttype="rect"/>
            </v:shapetype>
            <v:shape id="Textruta 6"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v:textbox>
                <w:txbxContent>
                  <w:p w:rsidR="00413A60" w:rsidRDefault="00413A60" w14:paraId="685B7E76" w14:textId="0A2CCBAA">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Pr="00762EE0" w:rsidR="00CA39EF">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762EE0" w:rsidR="00BC48A6">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hint="default" w:ascii="Symbol" w:hAnsi="Symbol"/>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4" w15:restartNumberingAfterBreak="0">
    <w:nsid w:val="0A807A86"/>
    <w:multiLevelType w:val="hybridMultilevel"/>
    <w:tmpl w:val="A3AA5462"/>
    <w:lvl w:ilvl="0" w:tplc="FFFFFFFF">
      <w:start w:val="1"/>
      <w:numFmt w:val="bullet"/>
      <w:lvlText w:val=""/>
      <w:lvlJc w:val="left"/>
      <w:pPr>
        <w:tabs>
          <w:tab w:val="num" w:pos="720"/>
        </w:tabs>
        <w:ind w:left="720" w:hanging="360"/>
      </w:pPr>
      <w:rPr>
        <w:rFonts w:hint="default" w:ascii="Symbol" w:hAnsi="Symbol"/>
      </w:rPr>
    </w:lvl>
    <w:lvl w:ilvl="1" w:tplc="FFFFFFFF">
      <w:start w:val="1"/>
      <w:numFmt w:val="bullet"/>
      <w:lvlText w:val="o"/>
      <w:lvlJc w:val="left"/>
      <w:pPr>
        <w:tabs>
          <w:tab w:val="num" w:pos="1440"/>
        </w:tabs>
        <w:ind w:left="1440" w:hanging="360"/>
      </w:pPr>
      <w:rPr>
        <w:rFonts w:hint="default" w:ascii="Courier New" w:hAnsi="Courier New" w:cs="Courier New"/>
      </w:rPr>
    </w:lvl>
    <w:lvl w:ilvl="2" w:tplc="FFFFFFFF">
      <w:start w:val="1"/>
      <w:numFmt w:val="bullet"/>
      <w:lvlText w:val=""/>
      <w:lvlJc w:val="left"/>
      <w:pPr>
        <w:tabs>
          <w:tab w:val="num" w:pos="2160"/>
        </w:tabs>
        <w:ind w:left="2160" w:hanging="360"/>
      </w:pPr>
      <w:rPr>
        <w:rFonts w:hint="default" w:ascii="Wingdings" w:hAnsi="Wingdings"/>
      </w:rPr>
    </w:lvl>
    <w:lvl w:ilvl="3" w:tplc="FFFFFFFF">
      <w:start w:val="1"/>
      <w:numFmt w:val="bullet"/>
      <w:lvlText w:val=""/>
      <w:lvlJc w:val="left"/>
      <w:pPr>
        <w:tabs>
          <w:tab w:val="num" w:pos="2880"/>
        </w:tabs>
        <w:ind w:left="2880" w:hanging="360"/>
      </w:pPr>
      <w:rPr>
        <w:rFonts w:hint="default" w:ascii="Symbol" w:hAnsi="Symbol"/>
      </w:rPr>
    </w:lvl>
    <w:lvl w:ilvl="4" w:tplc="FFFFFFFF">
      <w:start w:val="1"/>
      <w:numFmt w:val="bullet"/>
      <w:lvlText w:val="o"/>
      <w:lvlJc w:val="left"/>
      <w:pPr>
        <w:tabs>
          <w:tab w:val="num" w:pos="3600"/>
        </w:tabs>
        <w:ind w:left="3600" w:hanging="360"/>
      </w:pPr>
      <w:rPr>
        <w:rFonts w:hint="default" w:ascii="Courier New" w:hAnsi="Courier New" w:cs="Courier New"/>
      </w:rPr>
    </w:lvl>
    <w:lvl w:ilvl="5" w:tplc="FFFFFFFF" w:tentative="1">
      <w:start w:val="1"/>
      <w:numFmt w:val="bullet"/>
      <w:lvlText w:val=""/>
      <w:lvlJc w:val="left"/>
      <w:pPr>
        <w:tabs>
          <w:tab w:val="num" w:pos="4320"/>
        </w:tabs>
        <w:ind w:left="4320" w:hanging="360"/>
      </w:pPr>
      <w:rPr>
        <w:rFonts w:hint="default" w:ascii="Wingdings" w:hAnsi="Wingdings"/>
      </w:rPr>
    </w:lvl>
    <w:lvl w:ilvl="6" w:tplc="FFFFFFFF" w:tentative="1">
      <w:start w:val="1"/>
      <w:numFmt w:val="bullet"/>
      <w:lvlText w:val=""/>
      <w:lvlJc w:val="left"/>
      <w:pPr>
        <w:tabs>
          <w:tab w:val="num" w:pos="5040"/>
        </w:tabs>
        <w:ind w:left="5040" w:hanging="360"/>
      </w:pPr>
      <w:rPr>
        <w:rFonts w:hint="default" w:ascii="Symbol" w:hAnsi="Symbol"/>
      </w:rPr>
    </w:lvl>
    <w:lvl w:ilvl="7" w:tplc="FFFFFFFF" w:tentative="1">
      <w:start w:val="1"/>
      <w:numFmt w:val="bullet"/>
      <w:lvlText w:val="o"/>
      <w:lvlJc w:val="left"/>
      <w:pPr>
        <w:tabs>
          <w:tab w:val="num" w:pos="5760"/>
        </w:tabs>
        <w:ind w:left="5760" w:hanging="360"/>
      </w:pPr>
      <w:rPr>
        <w:rFonts w:hint="default" w:ascii="Courier New" w:hAnsi="Courier New" w:cs="Courier New"/>
      </w:rPr>
    </w:lvl>
    <w:lvl w:ilvl="8" w:tplc="FFFFFFFF" w:tentative="1">
      <w:start w:val="1"/>
      <w:numFmt w:val="bullet"/>
      <w:lvlText w:val=""/>
      <w:lvlJc w:val="left"/>
      <w:pPr>
        <w:tabs>
          <w:tab w:val="num" w:pos="6480"/>
        </w:tabs>
        <w:ind w:left="6480" w:hanging="360"/>
      </w:pPr>
      <w:rPr>
        <w:rFonts w:hint="default" w:ascii="Wingdings" w:hAnsi="Wingdings"/>
      </w:r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7" w15:restartNumberingAfterBreak="0">
    <w:nsid w:val="1D074A65"/>
    <w:multiLevelType w:val="hybridMultilevel"/>
    <w:tmpl w:val="E104E4E6"/>
    <w:lvl w:ilvl="0" w:tplc="F49A5562">
      <w:start w:val="1"/>
      <w:numFmt w:val="bullet"/>
      <w:pStyle w:val="FaktarutaLista"/>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9"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0" w15:restartNumberingAfterBreak="0">
    <w:nsid w:val="3B474E09"/>
    <w:multiLevelType w:val="hybridMultilevel"/>
    <w:tmpl w:val="DDF0BC38"/>
    <w:lvl w:ilvl="0" w:tplc="34668BAA">
      <w:start w:val="1"/>
      <w:numFmt w:val="bullet"/>
      <w:pStyle w:val="List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11"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2" w15:restartNumberingAfterBreak="0">
    <w:nsid w:val="42196C05"/>
    <w:multiLevelType w:val="hybridMultilevel"/>
    <w:tmpl w:val="741857FC"/>
    <w:lvl w:ilvl="0" w:tplc="71B6B2F8">
      <w:start w:val="1"/>
      <w:numFmt w:val="bullet"/>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3" w15:restartNumberingAfterBreak="0">
    <w:nsid w:val="44E42CAE"/>
    <w:multiLevelType w:val="hybridMultilevel"/>
    <w:tmpl w:val="97261312"/>
    <w:lvl w:ilvl="0" w:tplc="FFFFFFFF">
      <w:start w:val="1"/>
      <w:numFmt w:val="bullet"/>
      <w:lvlText w:val=""/>
      <w:lvlJc w:val="left"/>
      <w:pPr>
        <w:ind w:left="3839" w:hanging="360"/>
      </w:pPr>
      <w:rPr>
        <w:rFonts w:hint="default" w:ascii="Symbol" w:hAnsi="Symbol"/>
      </w:rPr>
    </w:lvl>
    <w:lvl w:ilvl="1" w:tplc="FFFFFFFF" w:tentative="1">
      <w:start w:val="1"/>
      <w:numFmt w:val="bullet"/>
      <w:lvlText w:val="o"/>
      <w:lvlJc w:val="left"/>
      <w:pPr>
        <w:ind w:left="4559" w:hanging="360"/>
      </w:pPr>
      <w:rPr>
        <w:rFonts w:hint="default" w:ascii="Courier New" w:hAnsi="Courier New" w:cs="Courier New"/>
      </w:rPr>
    </w:lvl>
    <w:lvl w:ilvl="2" w:tplc="FFFFFFFF" w:tentative="1">
      <w:start w:val="1"/>
      <w:numFmt w:val="bullet"/>
      <w:lvlText w:val=""/>
      <w:lvlJc w:val="left"/>
      <w:pPr>
        <w:ind w:left="5279" w:hanging="360"/>
      </w:pPr>
      <w:rPr>
        <w:rFonts w:hint="default" w:ascii="Wingdings" w:hAnsi="Wingdings"/>
      </w:rPr>
    </w:lvl>
    <w:lvl w:ilvl="3" w:tplc="FFFFFFFF" w:tentative="1">
      <w:start w:val="1"/>
      <w:numFmt w:val="bullet"/>
      <w:lvlText w:val=""/>
      <w:lvlJc w:val="left"/>
      <w:pPr>
        <w:ind w:left="5999" w:hanging="360"/>
      </w:pPr>
      <w:rPr>
        <w:rFonts w:hint="default" w:ascii="Symbol" w:hAnsi="Symbol"/>
      </w:rPr>
    </w:lvl>
    <w:lvl w:ilvl="4" w:tplc="FFFFFFFF" w:tentative="1">
      <w:start w:val="1"/>
      <w:numFmt w:val="bullet"/>
      <w:lvlText w:val="o"/>
      <w:lvlJc w:val="left"/>
      <w:pPr>
        <w:ind w:left="6719" w:hanging="360"/>
      </w:pPr>
      <w:rPr>
        <w:rFonts w:hint="default" w:ascii="Courier New" w:hAnsi="Courier New" w:cs="Courier New"/>
      </w:rPr>
    </w:lvl>
    <w:lvl w:ilvl="5" w:tplc="FFFFFFFF" w:tentative="1">
      <w:start w:val="1"/>
      <w:numFmt w:val="bullet"/>
      <w:lvlText w:val=""/>
      <w:lvlJc w:val="left"/>
      <w:pPr>
        <w:ind w:left="7439" w:hanging="360"/>
      </w:pPr>
      <w:rPr>
        <w:rFonts w:hint="default" w:ascii="Wingdings" w:hAnsi="Wingdings"/>
      </w:rPr>
    </w:lvl>
    <w:lvl w:ilvl="6" w:tplc="FFFFFFFF" w:tentative="1">
      <w:start w:val="1"/>
      <w:numFmt w:val="bullet"/>
      <w:lvlText w:val=""/>
      <w:lvlJc w:val="left"/>
      <w:pPr>
        <w:ind w:left="8159" w:hanging="360"/>
      </w:pPr>
      <w:rPr>
        <w:rFonts w:hint="default" w:ascii="Symbol" w:hAnsi="Symbol"/>
      </w:rPr>
    </w:lvl>
    <w:lvl w:ilvl="7" w:tplc="FFFFFFFF" w:tentative="1">
      <w:start w:val="1"/>
      <w:numFmt w:val="bullet"/>
      <w:lvlText w:val="o"/>
      <w:lvlJc w:val="left"/>
      <w:pPr>
        <w:ind w:left="8879" w:hanging="360"/>
      </w:pPr>
      <w:rPr>
        <w:rFonts w:hint="default" w:ascii="Courier New" w:hAnsi="Courier New" w:cs="Courier New"/>
      </w:rPr>
    </w:lvl>
    <w:lvl w:ilvl="8" w:tplc="FFFFFFFF" w:tentative="1">
      <w:start w:val="1"/>
      <w:numFmt w:val="bullet"/>
      <w:lvlText w:val=""/>
      <w:lvlJc w:val="left"/>
      <w:pPr>
        <w:ind w:left="9599" w:hanging="360"/>
      </w:pPr>
      <w:rPr>
        <w:rFonts w:hint="default" w:ascii="Wingdings" w:hAnsi="Wingdings"/>
      </w:rPr>
    </w:lvl>
  </w:abstractNum>
  <w:abstractNum w:abstractNumId="14"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5" w15:restartNumberingAfterBreak="0">
    <w:nsid w:val="54340635"/>
    <w:multiLevelType w:val="hybridMultilevel"/>
    <w:tmpl w:val="1B6660C0"/>
    <w:lvl w:ilvl="0" w:tplc="05061E3A">
      <w:start w:val="1"/>
      <w:numFmt w:val="decimal"/>
      <w:pStyle w:val="ListParagraph"/>
      <w:lvlText w:val="%1."/>
      <w:lvlJc w:val="left"/>
      <w:pPr>
        <w:ind w:left="717"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16" w15:restartNumberingAfterBreak="0">
    <w:nsid w:val="56873B46"/>
    <w:multiLevelType w:val="hybridMultilevel"/>
    <w:tmpl w:val="902A41AC"/>
    <w:lvl w:ilvl="0" w:tplc="FFFFFFFF">
      <w:start w:val="1"/>
      <w:numFmt w:val="upperLetter"/>
      <w:lvlText w:val="%1."/>
      <w:lvlJc w:val="left"/>
      <w:pPr>
        <w:ind w:left="3480" w:hanging="360"/>
      </w:pPr>
      <w:rPr>
        <w:rFonts w:hint="default"/>
        <w:b/>
      </w:rPr>
    </w:lvl>
    <w:lvl w:ilvl="1" w:tplc="FFFFFFFF" w:tentative="1">
      <w:start w:val="1"/>
      <w:numFmt w:val="lowerLetter"/>
      <w:lvlText w:val="%2."/>
      <w:lvlJc w:val="left"/>
      <w:pPr>
        <w:ind w:left="4200" w:hanging="360"/>
      </w:pPr>
    </w:lvl>
    <w:lvl w:ilvl="2" w:tplc="FFFFFFFF" w:tentative="1">
      <w:start w:val="1"/>
      <w:numFmt w:val="lowerRoman"/>
      <w:lvlText w:val="%3."/>
      <w:lvlJc w:val="right"/>
      <w:pPr>
        <w:ind w:left="4920" w:hanging="180"/>
      </w:pPr>
    </w:lvl>
    <w:lvl w:ilvl="3" w:tplc="FFFFFFFF" w:tentative="1">
      <w:start w:val="1"/>
      <w:numFmt w:val="decimal"/>
      <w:lvlText w:val="%4."/>
      <w:lvlJc w:val="left"/>
      <w:pPr>
        <w:ind w:left="5640" w:hanging="360"/>
      </w:pPr>
    </w:lvl>
    <w:lvl w:ilvl="4" w:tplc="FFFFFFFF" w:tentative="1">
      <w:start w:val="1"/>
      <w:numFmt w:val="lowerLetter"/>
      <w:lvlText w:val="%5."/>
      <w:lvlJc w:val="left"/>
      <w:pPr>
        <w:ind w:left="6360" w:hanging="360"/>
      </w:pPr>
    </w:lvl>
    <w:lvl w:ilvl="5" w:tplc="FFFFFFFF" w:tentative="1">
      <w:start w:val="1"/>
      <w:numFmt w:val="lowerRoman"/>
      <w:lvlText w:val="%6."/>
      <w:lvlJc w:val="right"/>
      <w:pPr>
        <w:ind w:left="7080" w:hanging="180"/>
      </w:pPr>
    </w:lvl>
    <w:lvl w:ilvl="6" w:tplc="FFFFFFFF" w:tentative="1">
      <w:start w:val="1"/>
      <w:numFmt w:val="decimal"/>
      <w:lvlText w:val="%7."/>
      <w:lvlJc w:val="left"/>
      <w:pPr>
        <w:ind w:left="7800" w:hanging="360"/>
      </w:pPr>
    </w:lvl>
    <w:lvl w:ilvl="7" w:tplc="FFFFFFFF" w:tentative="1">
      <w:start w:val="1"/>
      <w:numFmt w:val="lowerLetter"/>
      <w:lvlText w:val="%8."/>
      <w:lvlJc w:val="left"/>
      <w:pPr>
        <w:ind w:left="8520" w:hanging="360"/>
      </w:pPr>
    </w:lvl>
    <w:lvl w:ilvl="8" w:tplc="FFFFFFFF" w:tentative="1">
      <w:start w:val="1"/>
      <w:numFmt w:val="lowerRoman"/>
      <w:lvlText w:val="%9."/>
      <w:lvlJc w:val="right"/>
      <w:pPr>
        <w:ind w:left="9240" w:hanging="180"/>
      </w:pPr>
    </w:lvl>
  </w:abstractNum>
  <w:abstractNum w:abstractNumId="17"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18" w15:restartNumberingAfterBreak="0">
    <w:nsid w:val="58CE2A1F"/>
    <w:multiLevelType w:val="hybridMultilevel"/>
    <w:tmpl w:val="86AAD132"/>
    <w:lvl w:ilvl="0" w:tplc="FFFFFFFF">
      <w:start w:val="1"/>
      <w:numFmt w:val="bullet"/>
      <w:lvlText w:val=""/>
      <w:lvlJc w:val="left"/>
      <w:pPr>
        <w:tabs>
          <w:tab w:val="num" w:pos="3420"/>
        </w:tabs>
        <w:ind w:left="3420" w:hanging="360"/>
      </w:pPr>
      <w:rPr>
        <w:rFonts w:hint="default" w:ascii="Symbol" w:hAnsi="Symbol"/>
      </w:rPr>
    </w:lvl>
    <w:lvl w:ilvl="1" w:tplc="FFFFFFFF" w:tentative="1">
      <w:start w:val="1"/>
      <w:numFmt w:val="bullet"/>
      <w:lvlText w:val="o"/>
      <w:lvlJc w:val="left"/>
      <w:pPr>
        <w:ind w:left="4140" w:hanging="360"/>
      </w:pPr>
      <w:rPr>
        <w:rFonts w:hint="default" w:ascii="Courier New" w:hAnsi="Courier New" w:cs="Courier New"/>
      </w:rPr>
    </w:lvl>
    <w:lvl w:ilvl="2" w:tplc="FFFFFFFF" w:tentative="1">
      <w:start w:val="1"/>
      <w:numFmt w:val="bullet"/>
      <w:lvlText w:val=""/>
      <w:lvlJc w:val="left"/>
      <w:pPr>
        <w:ind w:left="4860" w:hanging="360"/>
      </w:pPr>
      <w:rPr>
        <w:rFonts w:hint="default" w:ascii="Wingdings" w:hAnsi="Wingdings"/>
      </w:rPr>
    </w:lvl>
    <w:lvl w:ilvl="3" w:tplc="FFFFFFFF" w:tentative="1">
      <w:start w:val="1"/>
      <w:numFmt w:val="bullet"/>
      <w:lvlText w:val=""/>
      <w:lvlJc w:val="left"/>
      <w:pPr>
        <w:ind w:left="5580" w:hanging="360"/>
      </w:pPr>
      <w:rPr>
        <w:rFonts w:hint="default" w:ascii="Symbol" w:hAnsi="Symbol"/>
      </w:rPr>
    </w:lvl>
    <w:lvl w:ilvl="4" w:tplc="FFFFFFFF" w:tentative="1">
      <w:start w:val="1"/>
      <w:numFmt w:val="bullet"/>
      <w:lvlText w:val="o"/>
      <w:lvlJc w:val="left"/>
      <w:pPr>
        <w:ind w:left="6300" w:hanging="360"/>
      </w:pPr>
      <w:rPr>
        <w:rFonts w:hint="default" w:ascii="Courier New" w:hAnsi="Courier New" w:cs="Courier New"/>
      </w:rPr>
    </w:lvl>
    <w:lvl w:ilvl="5" w:tplc="FFFFFFFF" w:tentative="1">
      <w:start w:val="1"/>
      <w:numFmt w:val="bullet"/>
      <w:lvlText w:val=""/>
      <w:lvlJc w:val="left"/>
      <w:pPr>
        <w:ind w:left="7020" w:hanging="360"/>
      </w:pPr>
      <w:rPr>
        <w:rFonts w:hint="default" w:ascii="Wingdings" w:hAnsi="Wingdings"/>
      </w:rPr>
    </w:lvl>
    <w:lvl w:ilvl="6" w:tplc="FFFFFFFF" w:tentative="1">
      <w:start w:val="1"/>
      <w:numFmt w:val="bullet"/>
      <w:lvlText w:val=""/>
      <w:lvlJc w:val="left"/>
      <w:pPr>
        <w:ind w:left="7740" w:hanging="360"/>
      </w:pPr>
      <w:rPr>
        <w:rFonts w:hint="default" w:ascii="Symbol" w:hAnsi="Symbol"/>
      </w:rPr>
    </w:lvl>
    <w:lvl w:ilvl="7" w:tplc="FFFFFFFF" w:tentative="1">
      <w:start w:val="1"/>
      <w:numFmt w:val="bullet"/>
      <w:lvlText w:val="o"/>
      <w:lvlJc w:val="left"/>
      <w:pPr>
        <w:ind w:left="8460" w:hanging="360"/>
      </w:pPr>
      <w:rPr>
        <w:rFonts w:hint="default" w:ascii="Courier New" w:hAnsi="Courier New" w:cs="Courier New"/>
      </w:rPr>
    </w:lvl>
    <w:lvl w:ilvl="8" w:tplc="FFFFFFFF" w:tentative="1">
      <w:start w:val="1"/>
      <w:numFmt w:val="bullet"/>
      <w:lvlText w:val=""/>
      <w:lvlJc w:val="left"/>
      <w:pPr>
        <w:ind w:left="9180" w:hanging="360"/>
      </w:pPr>
      <w:rPr>
        <w:rFonts w:hint="default" w:ascii="Wingdings" w:hAnsi="Wingdings"/>
      </w:rPr>
    </w:lvl>
  </w:abstractNum>
  <w:abstractNum w:abstractNumId="19"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20" w15:restartNumberingAfterBreak="0">
    <w:nsid w:val="72E33EF4"/>
    <w:multiLevelType w:val="hybridMultilevel"/>
    <w:tmpl w:val="B0C87580"/>
    <w:lvl w:ilvl="0" w:tplc="FFFFFFFF">
      <w:start w:val="1"/>
      <w:numFmt w:val="bullet"/>
      <w:lvlText w:val=""/>
      <w:lvlJc w:val="left"/>
      <w:pPr>
        <w:ind w:left="3839" w:hanging="360"/>
      </w:pPr>
      <w:rPr>
        <w:rFonts w:hint="default" w:ascii="Symbol" w:hAnsi="Symbol"/>
      </w:rPr>
    </w:lvl>
    <w:lvl w:ilvl="1" w:tplc="FFFFFFFF">
      <w:start w:val="1"/>
      <w:numFmt w:val="bullet"/>
      <w:lvlText w:val="o"/>
      <w:lvlJc w:val="left"/>
      <w:pPr>
        <w:ind w:left="4559" w:hanging="360"/>
      </w:pPr>
      <w:rPr>
        <w:rFonts w:hint="default" w:ascii="Courier New" w:hAnsi="Courier New" w:cs="Courier New"/>
      </w:rPr>
    </w:lvl>
    <w:lvl w:ilvl="2" w:tplc="FFFFFFFF">
      <w:start w:val="1"/>
      <w:numFmt w:val="bullet"/>
      <w:lvlText w:val=""/>
      <w:lvlJc w:val="left"/>
      <w:pPr>
        <w:ind w:left="5279" w:hanging="360"/>
      </w:pPr>
      <w:rPr>
        <w:rFonts w:hint="default" w:ascii="Wingdings" w:hAnsi="Wingdings"/>
      </w:rPr>
    </w:lvl>
    <w:lvl w:ilvl="3" w:tplc="FFFFFFFF">
      <w:start w:val="1"/>
      <w:numFmt w:val="bullet"/>
      <w:lvlText w:val=""/>
      <w:lvlJc w:val="left"/>
      <w:pPr>
        <w:ind w:left="5999" w:hanging="360"/>
      </w:pPr>
      <w:rPr>
        <w:rFonts w:hint="default" w:ascii="Symbol" w:hAnsi="Symbol"/>
      </w:rPr>
    </w:lvl>
    <w:lvl w:ilvl="4" w:tplc="FFFFFFFF">
      <w:start w:val="1"/>
      <w:numFmt w:val="bullet"/>
      <w:lvlText w:val="o"/>
      <w:lvlJc w:val="left"/>
      <w:pPr>
        <w:ind w:left="6719" w:hanging="360"/>
      </w:pPr>
      <w:rPr>
        <w:rFonts w:hint="default" w:ascii="Courier New" w:hAnsi="Courier New" w:cs="Courier New"/>
      </w:rPr>
    </w:lvl>
    <w:lvl w:ilvl="5" w:tplc="FFFFFFFF">
      <w:start w:val="1"/>
      <w:numFmt w:val="bullet"/>
      <w:lvlText w:val=""/>
      <w:lvlJc w:val="left"/>
      <w:pPr>
        <w:ind w:left="7439" w:hanging="360"/>
      </w:pPr>
      <w:rPr>
        <w:rFonts w:hint="default" w:ascii="Wingdings" w:hAnsi="Wingdings"/>
      </w:rPr>
    </w:lvl>
    <w:lvl w:ilvl="6" w:tplc="FFFFFFFF">
      <w:start w:val="1"/>
      <w:numFmt w:val="bullet"/>
      <w:lvlText w:val=""/>
      <w:lvlJc w:val="left"/>
      <w:pPr>
        <w:ind w:left="8159" w:hanging="360"/>
      </w:pPr>
      <w:rPr>
        <w:rFonts w:hint="default" w:ascii="Symbol" w:hAnsi="Symbol"/>
      </w:rPr>
    </w:lvl>
    <w:lvl w:ilvl="7" w:tplc="FFFFFFFF" w:tentative="1">
      <w:start w:val="1"/>
      <w:numFmt w:val="bullet"/>
      <w:lvlText w:val="o"/>
      <w:lvlJc w:val="left"/>
      <w:pPr>
        <w:ind w:left="8879" w:hanging="360"/>
      </w:pPr>
      <w:rPr>
        <w:rFonts w:hint="default" w:ascii="Courier New" w:hAnsi="Courier New" w:cs="Courier New"/>
      </w:rPr>
    </w:lvl>
    <w:lvl w:ilvl="8" w:tplc="FFFFFFFF" w:tentative="1">
      <w:start w:val="1"/>
      <w:numFmt w:val="bullet"/>
      <w:lvlText w:val=""/>
      <w:lvlJc w:val="left"/>
      <w:pPr>
        <w:ind w:left="9599" w:hanging="360"/>
      </w:pPr>
      <w:rPr>
        <w:rFonts w:hint="default" w:ascii="Wingdings" w:hAnsi="Wingdings"/>
      </w:rPr>
    </w:lvl>
  </w:abstractNum>
  <w:abstractNum w:abstractNumId="21"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22" w15:restartNumberingAfterBreak="0">
    <w:nsid w:val="7EA41BCB"/>
    <w:multiLevelType w:val="hybridMultilevel"/>
    <w:tmpl w:val="CAEC6EF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num w:numId="1" w16cid:durableId="1038311759">
    <w:abstractNumId w:val="22"/>
  </w:num>
  <w:num w:numId="2" w16cid:durableId="1955869472">
    <w:abstractNumId w:val="17"/>
  </w:num>
  <w:num w:numId="3" w16cid:durableId="1604608078">
    <w:abstractNumId w:val="0"/>
  </w:num>
  <w:num w:numId="4" w16cid:durableId="1350376786">
    <w:abstractNumId w:val="7"/>
  </w:num>
  <w:num w:numId="5" w16cid:durableId="1337078323">
    <w:abstractNumId w:val="19"/>
  </w:num>
  <w:num w:numId="6" w16cid:durableId="1794133529">
    <w:abstractNumId w:val="2"/>
  </w:num>
  <w:num w:numId="7" w16cid:durableId="27607242">
    <w:abstractNumId w:val="12"/>
  </w:num>
  <w:num w:numId="8" w16cid:durableId="1935477891">
    <w:abstractNumId w:val="9"/>
  </w:num>
  <w:num w:numId="9" w16cid:durableId="978145295">
    <w:abstractNumId w:val="1"/>
  </w:num>
  <w:num w:numId="10" w16cid:durableId="1826782185">
    <w:abstractNumId w:val="1"/>
  </w:num>
  <w:num w:numId="11" w16cid:durableId="742600927">
    <w:abstractNumId w:val="3"/>
  </w:num>
  <w:num w:numId="12" w16cid:durableId="668872644">
    <w:abstractNumId w:val="5"/>
  </w:num>
  <w:num w:numId="13" w16cid:durableId="1537153908">
    <w:abstractNumId w:val="15"/>
  </w:num>
  <w:num w:numId="14" w16cid:durableId="1030373277">
    <w:abstractNumId w:val="10"/>
  </w:num>
  <w:num w:numId="15" w16cid:durableId="476802293">
    <w:abstractNumId w:val="8"/>
  </w:num>
  <w:num w:numId="16" w16cid:durableId="1592468410">
    <w:abstractNumId w:val="14"/>
  </w:num>
  <w:num w:numId="17" w16cid:durableId="230316539">
    <w:abstractNumId w:val="6"/>
  </w:num>
  <w:num w:numId="18" w16cid:durableId="480195931">
    <w:abstractNumId w:val="11"/>
  </w:num>
  <w:num w:numId="19" w16cid:durableId="159664488">
    <w:abstractNumId w:val="21"/>
  </w:num>
  <w:num w:numId="20" w16cid:durableId="2094817896">
    <w:abstractNumId w:val="20"/>
  </w:num>
  <w:num w:numId="21" w16cid:durableId="245578066">
    <w:abstractNumId w:val="18"/>
  </w:num>
  <w:num w:numId="22" w16cid:durableId="1121412626">
    <w:abstractNumId w:val="16"/>
  </w:num>
  <w:num w:numId="23" w16cid:durableId="479931911">
    <w:abstractNumId w:val="13"/>
  </w:num>
  <w:num w:numId="24" w16cid:durableId="154536851">
    <w:abstractNumId w:val="4"/>
  </w:num>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p14">
  <w:zoom w:percent="10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6145"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71912"/>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5218"/>
    <w:rsid w:val="00D915B1"/>
    <w:rsid w:val="00DA299D"/>
    <w:rsid w:val="00DA65C4"/>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F7C02"/>
    <w:rsid w:val="024801E3"/>
    <w:rsid w:val="2C31A12A"/>
    <w:rsid w:val="3D4E6130"/>
    <w:rsid w:val="647B2B65"/>
    <w:rsid w:val="6B2CF8ED"/>
    <w:rsid w:val="6ED63815"/>
    <w:rsid w:val="7279CD54"/>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6145" strokecolor="#4a773c">
      <v:stroke weight="1pt" color="#4a773c"/>
      <v:shadow opacity="24903f" offset="0,.55556mm" origin=",.5"/>
      <o:colormru v:ext="edit" colors="#4a773c"/>
    </o:shapedefaults>
    <o:shapelayout v:ext="edit">
      <o:idmap v:ext="edit" data="1"/>
    </o:shapelayout>
  </w:shapeDefaults>
  <w:doNotEmbedSmartTags/>
  <w:decimalSymbol w:val=","/>
  <w:listSeparator w:val=";"/>
  <w14:docId w14:val="1FE2B7EB"/>
  <w14:defaultImageDpi w14:val="330"/>
  <w15:docId w15:val="{05325872-151F-41A7-9AD9-8EFA6E16BB53}"/>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p14">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8A0C5F"/>
    <w:pPr>
      <w:spacing w:after="120" w:line="288" w:lineRule="auto"/>
      <w:ind w:left="992" w:right="868"/>
    </w:pPr>
    <w:rPr>
      <w:sz w:val="24"/>
      <w:szCs w:val="24"/>
    </w:rPr>
  </w:style>
  <w:style w:type="paragraph" w:styleId="Heading1">
    <w:name w:val="heading 1"/>
    <w:aliases w:val="Rubrik VGR"/>
    <w:next w:val="Normal"/>
    <w:link w:val="Heading1Char"/>
    <w:qFormat/>
    <w:rsid w:val="00FB6392"/>
    <w:pPr>
      <w:keepNext/>
      <w:spacing w:after="240" w:line="288" w:lineRule="auto"/>
      <w:ind w:left="992"/>
      <w:contextualSpacing/>
      <w:outlineLvl w:val="0"/>
    </w:pPr>
    <w:rPr>
      <w:rFonts w:ascii="Calibri" w:hAnsi="Calibri" w:eastAsia="MS Gothic"/>
      <w:bCs/>
      <w:kern w:val="32"/>
      <w:sz w:val="48"/>
      <w:szCs w:val="32"/>
    </w:rPr>
  </w:style>
  <w:style w:type="paragraph" w:styleId="Heading2">
    <w:name w:val="heading 2"/>
    <w:aliases w:val="Rubrik 2 VGR"/>
    <w:basedOn w:val="Normal"/>
    <w:next w:val="Normal"/>
    <w:link w:val="Heading2Char"/>
    <w:uiPriority w:val="3"/>
    <w:unhideWhenUsed/>
    <w:qFormat/>
    <w:rsid w:val="00627BEA"/>
    <w:pPr>
      <w:keepNext/>
      <w:keepLines/>
      <w:spacing w:before="240" w:after="40" w:line="240" w:lineRule="auto"/>
      <w:outlineLvl w:val="1"/>
    </w:pPr>
    <w:rPr>
      <w:rFonts w:asciiTheme="majorHAnsi" w:hAnsiTheme="majorHAnsi" w:eastAsiaTheme="majorEastAsia" w:cstheme="majorBidi"/>
      <w:bCs/>
      <w:color w:val="000000" w:themeColor="text1"/>
      <w:sz w:val="40"/>
      <w:szCs w:val="26"/>
    </w:rPr>
  </w:style>
  <w:style w:type="paragraph" w:styleId="Heading3">
    <w:name w:val="heading 3"/>
    <w:aliases w:val="Rubrik 3 VGR"/>
    <w:basedOn w:val="Normal"/>
    <w:next w:val="Normal"/>
    <w:link w:val="Heading3Char"/>
    <w:uiPriority w:val="3"/>
    <w:unhideWhenUsed/>
    <w:qFormat/>
    <w:rsid w:val="00627BEA"/>
    <w:pPr>
      <w:keepNext/>
      <w:keepLines/>
      <w:spacing w:before="240" w:after="40" w:line="240" w:lineRule="auto"/>
      <w:outlineLvl w:val="2"/>
    </w:pPr>
    <w:rPr>
      <w:rFonts w:asciiTheme="majorHAnsi" w:hAnsiTheme="majorHAnsi" w:eastAsiaTheme="majorEastAsia" w:cstheme="majorBidi"/>
      <w:bCs/>
      <w:color w:val="000000" w:themeColor="text1"/>
      <w:sz w:val="36"/>
    </w:rPr>
  </w:style>
  <w:style w:type="paragraph" w:styleId="Heading4">
    <w:name w:val="heading 4"/>
    <w:aliases w:val="mellanrubrik"/>
    <w:basedOn w:val="Normal"/>
    <w:next w:val="Normal"/>
    <w:link w:val="Heading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Heading5">
    <w:name w:val="heading 5"/>
    <w:basedOn w:val="Normal"/>
    <w:next w:val="Normal"/>
    <w:link w:val="Heading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table" w:styleId="PlainTable1">
    <w:name w:val="Plain Table 1"/>
    <w:basedOn w:val="TableNorma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Footer">
    <w:name w:val="footer"/>
    <w:basedOn w:val="Normal"/>
    <w:link w:val="Footer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Header">
    <w:name w:val="header"/>
    <w:basedOn w:val="Normal"/>
    <w:link w:val="HeaderChar"/>
    <w:uiPriority w:val="99"/>
    <w:rsid w:val="00AA0F08"/>
    <w:pPr>
      <w:tabs>
        <w:tab w:val="center" w:pos="4703"/>
        <w:tab w:val="right" w:pos="9406"/>
      </w:tabs>
    </w:pPr>
  </w:style>
  <w:style w:type="character" w:styleId="PageNumber">
    <w:name w:val="page number"/>
    <w:basedOn w:val="DefaultParagraphFont"/>
    <w:semiHidden/>
    <w:rsid w:val="00AA0F08"/>
  </w:style>
  <w:style w:type="paragraph" w:styleId="Metadata" w:customStyle="1">
    <w:name w:val="Metadata"/>
    <w:basedOn w:val="Normal"/>
    <w:qFormat/>
    <w:rsid w:val="002651D6"/>
    <w:pPr>
      <w:spacing w:after="240"/>
      <w:contextualSpacing/>
    </w:pPr>
    <w:rPr>
      <w:rFonts w:ascii="Calibri" w:hAnsi="Calibri"/>
      <w:sz w:val="20"/>
    </w:rPr>
  </w:style>
  <w:style w:type="character" w:styleId="Heading1Char" w:customStyle="1">
    <w:name w:val="Heading 1 Char"/>
    <w:aliases w:val="Rubrik VGR Char"/>
    <w:link w:val="Heading1"/>
    <w:rsid w:val="00FB6392"/>
    <w:rPr>
      <w:rFonts w:ascii="Calibri" w:hAnsi="Calibri" w:eastAsia="MS Gothic"/>
      <w:bCs/>
      <w:kern w:val="32"/>
      <w:sz w:val="48"/>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FooterChar" w:customStyle="1">
    <w:name w:val="Footer Char"/>
    <w:link w:val="Footer"/>
    <w:uiPriority w:val="99"/>
    <w:rsid w:val="00EE2A56"/>
    <w:rPr>
      <w:rFonts w:ascii="Arial" w:hAnsi="Arial"/>
      <w:color w:val="000000"/>
      <w:sz w:val="12"/>
      <w:szCs w:val="12"/>
    </w:rPr>
  </w:style>
  <w:style w:type="paragraph" w:styleId="Title">
    <w:name w:val="Title"/>
    <w:basedOn w:val="Normal"/>
    <w:next w:val="Normal"/>
    <w:link w:val="Title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styleId="TitleChar" w:customStyle="1">
    <w:name w:val="Title Char"/>
    <w:link w:val="Title"/>
    <w:uiPriority w:val="10"/>
    <w:semiHidden/>
    <w:rsid w:val="00F86F47"/>
    <w:rPr>
      <w:rFonts w:ascii="Calibri" w:hAnsi="Calibri" w:eastAsia="MS Gothic"/>
      <w:b/>
      <w:bCs/>
      <w:kern w:val="28"/>
      <w:sz w:val="32"/>
      <w:szCs w:val="32"/>
    </w:rPr>
  </w:style>
  <w:style w:type="paragraph" w:styleId="BalloonText">
    <w:name w:val="Balloon Text"/>
    <w:basedOn w:val="Normal"/>
    <w:link w:val="BalloonTextChar"/>
    <w:uiPriority w:val="99"/>
    <w:semiHidden/>
    <w:unhideWhenUsed/>
    <w:rsid w:val="00CB0493"/>
    <w:pPr>
      <w:spacing w:line="240" w:lineRule="auto"/>
    </w:pPr>
    <w:rPr>
      <w:rFonts w:ascii="Lucida Grande" w:hAnsi="Lucida Grande" w:cs="Lucida Grande"/>
      <w:sz w:val="18"/>
      <w:szCs w:val="18"/>
    </w:rPr>
  </w:style>
  <w:style w:type="character" w:styleId="BalloonTextChar" w:customStyle="1">
    <w:name w:val="Balloon Text Char"/>
    <w:basedOn w:val="DefaultParagraphFont"/>
    <w:link w:val="BalloonText"/>
    <w:uiPriority w:val="99"/>
    <w:semiHidden/>
    <w:rsid w:val="00CB0493"/>
    <w:rPr>
      <w:rFonts w:ascii="Lucida Grande" w:hAnsi="Lucida Grande" w:cs="Lucida Grande"/>
      <w:sz w:val="18"/>
      <w:szCs w:val="18"/>
    </w:rPr>
  </w:style>
  <w:style w:type="character" w:styleId="PlaceholderText">
    <w:name w:val="Placeholder Text"/>
    <w:basedOn w:val="DefaultParagraphFont"/>
    <w:uiPriority w:val="99"/>
    <w:semiHidden/>
    <w:rsid w:val="00C9071C"/>
    <w:rPr>
      <w:color w:val="808080"/>
    </w:rPr>
  </w:style>
  <w:style w:type="paragraph" w:styleId="Faktarutarubrik" w:customStyle="1">
    <w:name w:val="Faktaruta rubrik"/>
    <w:basedOn w:val="Heading2"/>
    <w:next w:val="FaktarutaLista"/>
    <w:uiPriority w:val="3"/>
    <w:semiHidden/>
    <w:qFormat/>
    <w:locked/>
    <w:rsid w:val="0009062C"/>
    <w:pPr>
      <w:spacing w:before="0"/>
      <w:outlineLvl w:val="2"/>
    </w:pPr>
    <w:rPr>
      <w:bCs w:val="0"/>
    </w:rPr>
  </w:style>
  <w:style w:type="character" w:styleId="Heading2Char" w:customStyle="1">
    <w:name w:val="Heading 2 Char"/>
    <w:aliases w:val="Rubrik 2 VGR Char"/>
    <w:basedOn w:val="DefaultParagraphFont"/>
    <w:link w:val="Heading2"/>
    <w:uiPriority w:val="3"/>
    <w:rsid w:val="00627BEA"/>
    <w:rPr>
      <w:rFonts w:asciiTheme="majorHAnsi" w:hAnsiTheme="majorHAnsi" w:eastAsiaTheme="majorEastAsia" w:cstheme="majorBidi"/>
      <w:bCs/>
      <w:color w:val="000000" w:themeColor="text1"/>
      <w:sz w:val="40"/>
      <w:szCs w:val="26"/>
    </w:rPr>
  </w:style>
  <w:style w:type="character" w:styleId="Heading3Char" w:customStyle="1">
    <w:name w:val="Heading 3 Char"/>
    <w:aliases w:val="Rubrik 3 VGR Char"/>
    <w:basedOn w:val="DefaultParagraphFont"/>
    <w:link w:val="Heading3"/>
    <w:uiPriority w:val="3"/>
    <w:rsid w:val="00627BEA"/>
    <w:rPr>
      <w:rFonts w:asciiTheme="majorHAnsi" w:hAnsiTheme="majorHAnsi" w:eastAsiaTheme="majorEastAsia" w:cstheme="majorBidi"/>
      <w:bCs/>
      <w:color w:val="000000" w:themeColor="text1"/>
      <w:sz w:val="36"/>
      <w:szCs w:val="24"/>
    </w:rPr>
  </w:style>
  <w:style w:type="character" w:styleId="Heading4Char" w:customStyle="1">
    <w:name w:val="Heading 4 Char"/>
    <w:aliases w:val="mellanrubrik Char"/>
    <w:basedOn w:val="DefaultParagraphFont"/>
    <w:link w:val="Heading4"/>
    <w:uiPriority w:val="3"/>
    <w:semiHidden/>
    <w:rsid w:val="00A272CA"/>
    <w:rPr>
      <w:rFonts w:asciiTheme="majorHAnsi" w:hAnsiTheme="majorHAnsi" w:eastAsiaTheme="majorEastAsia" w:cstheme="majorBidi"/>
      <w:b/>
      <w:bCs/>
      <w:iCs/>
      <w:color w:val="000000" w:themeColor="text1"/>
      <w:sz w:val="26"/>
      <w:szCs w:val="24"/>
    </w:rPr>
  </w:style>
  <w:style w:type="character" w:styleId="Heading5Char" w:customStyle="1">
    <w:name w:val="Heading 5 Char"/>
    <w:basedOn w:val="DefaultParagraphFont"/>
    <w:link w:val="Heading5"/>
    <w:uiPriority w:val="9"/>
    <w:semiHidden/>
    <w:rsid w:val="002F568B"/>
    <w:rPr>
      <w:rFonts w:asciiTheme="majorHAnsi" w:hAnsiTheme="majorHAnsi" w:eastAsiaTheme="majorEastAsia" w:cstheme="majorBidi"/>
      <w:color w:val="00304B" w:themeColor="accent1" w:themeShade="7F"/>
      <w:sz w:val="24"/>
      <w:szCs w:val="24"/>
    </w:rPr>
  </w:style>
  <w:style w:type="paragraph" w:styleId="ListParagraph">
    <w:name w:val="List Paragraph"/>
    <w:basedOn w:val="Normal"/>
    <w:uiPriority w:val="34"/>
    <w:rsid w:val="00CB1ED7"/>
    <w:pPr>
      <w:numPr>
        <w:numId w:val="13"/>
      </w:numPr>
      <w:ind w:left="1712" w:hanging="357"/>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TOC1">
    <w:name w:val="toc 1"/>
    <w:basedOn w:val="Normal"/>
    <w:next w:val="Normal"/>
    <w:autoRedefine/>
    <w:uiPriority w:val="39"/>
    <w:unhideWhenUsed/>
    <w:rsid w:val="00EA1BAA"/>
    <w:pPr>
      <w:tabs>
        <w:tab w:val="right" w:leader="dot" w:pos="8779"/>
      </w:tabs>
      <w:spacing w:line="240" w:lineRule="auto"/>
    </w:pPr>
  </w:style>
  <w:style w:type="paragraph" w:styleId="Omslagsrubrik" w:customStyle="1">
    <w:name w:val="Omslagsrubrik"/>
    <w:basedOn w:val="Normal"/>
    <w:link w:val="OmslagsrubrikChar"/>
    <w:uiPriority w:val="3"/>
    <w:qFormat/>
    <w:rsid w:val="005A627D"/>
    <w:pPr>
      <w:spacing w:after="6000" w:line="240" w:lineRule="auto"/>
    </w:pPr>
    <w:rPr>
      <w:rFonts w:asciiTheme="majorHAnsi" w:hAnsiTheme="majorHAnsi"/>
      <w:sz w:val="72"/>
    </w:rPr>
  </w:style>
  <w:style w:type="character" w:styleId="OmslagsrubrikChar" w:customStyle="1">
    <w:name w:val="Omslagsrubrik Char"/>
    <w:basedOn w:val="DefaultParagraphFont"/>
    <w:link w:val="Omslagsrubrik"/>
    <w:uiPriority w:val="3"/>
    <w:rsid w:val="005A627D"/>
    <w:rPr>
      <w:rFonts w:asciiTheme="majorHAnsi" w:hAnsiTheme="majorHAnsi"/>
      <w:sz w:val="72"/>
      <w:szCs w:val="24"/>
    </w:rPr>
  </w:style>
  <w:style w:type="paragraph" w:styleId="Omslagsunderrubrik" w:customStyle="1">
    <w:name w:val="Omslagsunderrubrik"/>
    <w:basedOn w:val="Normal"/>
    <w:link w:val="OmslagsunderrubrikChar"/>
    <w:uiPriority w:val="3"/>
    <w:qFormat/>
    <w:rsid w:val="009533B4"/>
    <w:pPr>
      <w:contextualSpacing/>
    </w:pPr>
    <w:rPr>
      <w:rFonts w:asciiTheme="majorHAnsi" w:hAnsiTheme="majorHAnsi"/>
      <w:sz w:val="32"/>
      <w:szCs w:val="44"/>
    </w:rPr>
  </w:style>
  <w:style w:type="character" w:styleId="OmslagsunderrubrikChar" w:customStyle="1">
    <w:name w:val="Omslagsunderrubrik Char"/>
    <w:basedOn w:val="DefaultParagraphFont"/>
    <w:link w:val="Omslagsunderrubrik"/>
    <w:uiPriority w:val="3"/>
    <w:rsid w:val="009533B4"/>
    <w:rPr>
      <w:rFonts w:asciiTheme="majorHAnsi" w:hAnsiTheme="majorHAnsi"/>
      <w:sz w:val="32"/>
      <w:szCs w:val="44"/>
    </w:rPr>
  </w:style>
  <w:style w:type="paragraph" w:styleId="TOC2">
    <w:name w:val="toc 2"/>
    <w:basedOn w:val="Normal"/>
    <w:next w:val="Normal"/>
    <w:autoRedefine/>
    <w:uiPriority w:val="39"/>
    <w:unhideWhenUsed/>
    <w:rsid w:val="00E61294"/>
    <w:pPr>
      <w:ind w:left="240"/>
    </w:pPr>
  </w:style>
  <w:style w:type="paragraph" w:styleId="TOC3">
    <w:name w:val="toc 3"/>
    <w:basedOn w:val="Normal"/>
    <w:next w:val="Normal"/>
    <w:autoRedefine/>
    <w:uiPriority w:val="39"/>
    <w:unhideWhenUsed/>
    <w:rsid w:val="00E61294"/>
    <w:pPr>
      <w:ind w:left="480"/>
    </w:pPr>
  </w:style>
  <w:style w:type="paragraph" w:styleId="TOC4">
    <w:name w:val="toc 4"/>
    <w:basedOn w:val="Normal"/>
    <w:next w:val="Normal"/>
    <w:autoRedefine/>
    <w:uiPriority w:val="39"/>
    <w:unhideWhenUsed/>
    <w:rsid w:val="00E61294"/>
    <w:pPr>
      <w:ind w:left="720"/>
    </w:pPr>
  </w:style>
  <w:style w:type="paragraph" w:styleId="TOC5">
    <w:name w:val="toc 5"/>
    <w:basedOn w:val="Normal"/>
    <w:next w:val="Normal"/>
    <w:autoRedefine/>
    <w:uiPriority w:val="39"/>
    <w:unhideWhenUsed/>
    <w:rsid w:val="00E61294"/>
    <w:pPr>
      <w:ind w:left="960"/>
    </w:pPr>
  </w:style>
  <w:style w:type="paragraph" w:styleId="TOC6">
    <w:name w:val="toc 6"/>
    <w:basedOn w:val="Normal"/>
    <w:next w:val="Normal"/>
    <w:autoRedefine/>
    <w:uiPriority w:val="39"/>
    <w:unhideWhenUsed/>
    <w:rsid w:val="00E61294"/>
    <w:pPr>
      <w:ind w:left="1200"/>
    </w:pPr>
  </w:style>
  <w:style w:type="paragraph" w:styleId="TOC7">
    <w:name w:val="toc 7"/>
    <w:basedOn w:val="Normal"/>
    <w:next w:val="Normal"/>
    <w:autoRedefine/>
    <w:uiPriority w:val="39"/>
    <w:unhideWhenUsed/>
    <w:rsid w:val="00E61294"/>
    <w:pPr>
      <w:ind w:left="1440"/>
    </w:pPr>
  </w:style>
  <w:style w:type="paragraph" w:styleId="TOC8">
    <w:name w:val="toc 8"/>
    <w:basedOn w:val="Normal"/>
    <w:next w:val="Normal"/>
    <w:autoRedefine/>
    <w:uiPriority w:val="39"/>
    <w:unhideWhenUsed/>
    <w:rsid w:val="00E61294"/>
    <w:pPr>
      <w:ind w:left="1680"/>
    </w:pPr>
  </w:style>
  <w:style w:type="paragraph" w:styleId="TOC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otnoteReference">
    <w:name w:val="footnote reference"/>
    <w:basedOn w:val="DefaultParagraphFon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rPr>
      <w:sz w:val="20"/>
    </w:rPr>
  </w:style>
  <w:style w:type="character" w:styleId="Formatmall1Char" w:customStyle="1">
    <w:name w:val="Formatmall1 Char"/>
    <w:basedOn w:val="DefaultParagraphFont"/>
    <w:link w:val="Formatmall1"/>
    <w:uiPriority w:val="3"/>
    <w:semiHidden/>
    <w:rsid w:val="00A272CA"/>
    <w:rPr>
      <w:szCs w:val="24"/>
    </w:rPr>
  </w:style>
  <w:style w:type="paragraph" w:styleId="FotnotVGR" w:customStyle="1">
    <w:name w:val="Fotnot VGR"/>
    <w:basedOn w:val="Normal"/>
    <w:uiPriority w:val="3"/>
    <w:unhideWhenUsed/>
    <w:qFormat/>
    <w:rsid w:val="00FB5086"/>
    <w:pPr>
      <w:spacing w:after="0"/>
    </w:pPr>
    <w:rPr>
      <w:sz w:val="20"/>
    </w:rPr>
  </w:style>
  <w:style w:type="table" w:styleId="PlainTable2">
    <w:name w:val="Plain Table 2"/>
    <w:basedOn w:val="TableNorma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ink">
    <w:name w:val="Hyperlink"/>
    <w:basedOn w:val="DefaultParagraphFont"/>
    <w:uiPriority w:val="99"/>
    <w:unhideWhenUsed/>
    <w:rsid w:val="00A514B7"/>
    <w:rPr>
      <w:color w:val="006298" w:themeColor="hyperlink"/>
      <w:u w:val="single"/>
    </w:rPr>
  </w:style>
  <w:style w:type="table" w:styleId="TableGrid">
    <w:name w:val="Table Grid"/>
    <w:basedOn w:val="TableNormal"/>
    <w:uiPriority w:val="5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ightList-Accent1">
    <w:name w:val="Light List Accent 1"/>
    <w:aliases w:val="VGR tabell blue"/>
    <w:basedOn w:val="TableNorma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ightGrid-Accent6">
    <w:name w:val="Light Grid Accent 6"/>
    <w:basedOn w:val="TableNorma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ightGrid-Accent1">
    <w:name w:val="Light Grid Accent 1"/>
    <w:basedOn w:val="TableNorma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diumShading1-Accent1">
    <w:name w:val="Medium Shading 1 Accent 1"/>
    <w:basedOn w:val="TableNorma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ightList-Accent6">
    <w:name w:val="Light List Accent 6"/>
    <w:basedOn w:val="TableNorma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ightShading-Accent1">
    <w:name w:val="Light Shading Accent 1"/>
    <w:basedOn w:val="TableNorma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TableNorma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TableNorma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ListBullet">
    <w:name w:val="List Bullet"/>
    <w:basedOn w:val="Normal"/>
    <w:unhideWhenUsed/>
    <w:qFormat/>
    <w:rsid w:val="00CB1ED7"/>
    <w:pPr>
      <w:numPr>
        <w:numId w:val="14"/>
      </w:numPr>
      <w:ind w:left="1712" w:hanging="357"/>
      <w:contextualSpacing/>
    </w:pPr>
  </w:style>
  <w:style w:type="table" w:styleId="PlainTable3">
    <w:name w:val="Plain Table 3"/>
    <w:basedOn w:val="TableNorma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PlainTable4">
    <w:name w:val="Plain Table 4"/>
    <w:basedOn w:val="TableNorma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Caption">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HeaderChar" w:customStyle="1">
    <w:name w:val="Header Char"/>
    <w:basedOn w:val="DefaultParagraphFont"/>
    <w:link w:val="Header"/>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footer" Target="footer2.xml" Id="rId14" /><Relationship Type="http://schemas.openxmlformats.org/officeDocument/2006/relationships/webSettings" Target="webSettings.xml" Id="rId9"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4.xml><?xml version="1.0" encoding="utf-8"?>
<p:properties xmlns:p="http://schemas.microsoft.com/office/2006/metadata/properties" xmlns:xsi="http://www.w3.org/2001/XMLSchema-instance" xmlns:pc="http://schemas.microsoft.com/office/infopath/2007/PartnerControls">
  <documentManagement>
    <_dlc_DocId xmlns="dba27119-5f51-4c06-a4fd-2a3d4b9bdf89">RS3327-1180507643-372</_dlc_DocId>
    <_dlc_DocIdUrl xmlns="dba27119-5f51-4c06-a4fd-2a3d4b9bdf89">
      <Url>https://vgregion.sharepoint.com/sites/sy-rs-systemstod-for-styrande-dokument/_layouts/15/DocIdRedir.aspx?ID=RS3327-1180507643-372</Url>
      <Description>RS3327-1180507643-372</Description>
    </_dlc_DocIdUrl>
    <TaxCatchAll xmlns="dba27119-5f51-4c06-a4fd-2a3d4b9bdf89"/>
    <ec6953a5eee3424faece5c2353cf0721 xmlns="597d7713-8a3d-4bd2-ae30-edced55b2c1b">
      <Terms xmlns="http://schemas.microsoft.com/office/infopath/2007/PartnerControls"/>
    </ec6953a5eee3424faece5c2353cf0721>
    <VGR_DokBeskrivning xmlns="597d7713-8a3d-4bd2-ae30-edced55b2c1b" xsi:nil="true"/>
    <Kategori xmlns="b0413806-f9be-46b6-b428-930a1ac0a938" xsi:nil="true"/>
    <VGR_EgenAmnesindelning xmlns="597d7713-8a3d-4bd2-ae30-edced55b2c1b" xsi:nil="true"/>
    <iff0133ac3934f858b1ec890ab98b185 xmlns="4552c23f-a756-462f-8287-3ff35245ed68">
      <Terms xmlns="http://schemas.microsoft.com/office/infopath/2007/PartnerControls"/>
    </iff0133ac3934f858b1ec890ab98b185>
    <a7144f27c6ef407e8fb4465121afbe2b xmlns="597d7713-8a3d-4bd2-ae30-edced55b2c1b">
      <Terms xmlns="http://schemas.microsoft.com/office/infopath/2007/PartnerControls"/>
    </a7144f27c6ef407e8fb4465121afbe2b>
    <TaxKeywordTaxHTField xmlns="dba27119-5f51-4c06-a4fd-2a3d4b9bdf89">
      <Terms xmlns="http://schemas.microsoft.com/office/infopath/2007/PartnerControls"/>
    </TaxKeywordTaxHTField>
    <i1597c54c9084fe5ae9163fac681e86b xmlns="597d7713-8a3d-4bd2-ae30-edced55b2c1b">
      <Terms xmlns="http://schemas.microsoft.com/office/infopath/2007/PartnerControls"/>
    </i1597c54c9084fe5ae9163fac681e86b>
    <m534ae9efef34a1ab5a1291502fec5e5 xmlns="597d7713-8a3d-4bd2-ae30-edced55b2c1b">
      <Terms xmlns="http://schemas.microsoft.com/office/infopath/2007/PartnerControls"/>
    </m534ae9efef34a1ab5a1291502fec5e5>
    <M_x00f6_testyp xmlns="b0413806-f9be-46b6-b428-930a1ac0a938" xsi:nil="true"/>
    <M_x00f6_tesdatum xmlns="b0413806-f9be-46b6-b428-930a1ac0a938" xsi:nil="true"/>
    <Projektfas xmlns="b0413806-f9be-46b6-b428-930a1ac0a938" xsi:nil="true"/>
    <Inneh_x00e5_ll xmlns="b0413806-f9be-46b6-b428-930a1ac0a938" xsi:nil="true"/>
    <SharedWithUsers xmlns="4552c23f-a756-462f-8287-3ff35245ed68">
      <UserInfo>
        <DisplayName>Mikael Svahn</DisplayName>
        <AccountId>20</AccountId>
        <AccountType/>
      </UserInfo>
      <UserInfo>
        <DisplayName>Nina Brandström</DisplayName>
        <AccountId>32</AccountId>
        <AccountType/>
      </UserInfo>
    </SharedWithUsers>
    <VGR_Sekretess xmlns="597d7713-8a3d-4bd2-ae30-edced55b2c1b">Allmän handling - Offentlig</VGR_Sekretess>
    <VGR_AtkomstRatt xmlns="597d7713-8a3d-4bd2-ae30-edced55b2c1b">0</VGR_AtkomstRatt>
    <VGR_DokStatus xmlns="597d7713-8a3d-4bd2-ae30-edced55b2c1b">Arbetsmaterial</VGR_DokStatus>
  </documentManagement>
</p:properties>
</file>

<file path=customXml/itemProps4.xml><?xml version="1.0" encoding="utf-8"?>
<ds:datastoreItem xmlns:ds="http://schemas.openxmlformats.org/officeDocument/2006/customXml" ds:itemID="{B9BCBBAA-C15A-4E1E-BB81-335C529DEA04}">
  <ds:schemaRefs>
    <ds:schemaRef ds:uri="http://schemas.microsoft.com/office/2006/metadata/properties"/>
    <ds:schemaRef ds:uri="http://schemas.microsoft.com/office/infopath/2007/PartnerControls"/>
    <ds:schemaRef ds:uri="95eec3e8-8c51-412a-a35f-8702dc640d3f"/>
    <ds:schemaRef ds:uri="597d7713-8a3d-4bd2-ae30-edced55b2c1b"/>
    <ds:schemaRef ds:uri="3f0875cd-62ae-4aee-a214-da3e9ecc9dde"/>
    <ds:schemaRef ds:uri="dba27119-5f51-4c06-a4fd-2a3d4b9bdf89"/>
    <ds:schemaRef ds:uri="b0413806-f9be-46b6-b428-930a1ac0a938"/>
    <ds:schemaRef ds:uri="4552c23f-a756-462f-8287-3ff35245ed68"/>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Dok_med_omslag_sd_red</ap:Template>
  <ap:Application>Microsoft Word for the web</ap:Application>
  <ap:DocSecurity>0</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Blod och blodprodukter, riktlinjer och rutiner för thorax</dc:title>
  <dc:subject/>
  <dc:creator>patrik.jens.johansson@vgregion.se</dc:creator>
  <keywords/>
  <lastModifiedBy>Mikael Löfgren</lastModifiedBy>
  <revision>4</revision>
  <lastPrinted>2016-03-31T10:56:00.0000000Z</lastPrinted>
  <dcterms:created xsi:type="dcterms:W3CDTF">2022-06-08T13:56:00.0000000Z</dcterms:created>
  <dcterms:modified xsi:type="dcterms:W3CDTF">2024-05-31T07:38:22.0000000Z</dcterms:modified>
</coreProperties>
</file>