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11374" w14:textId="7A91BDEB" w:rsidR="00A6092B" w:rsidRDefault="00A61453" w:rsidP="0074086A">
      <w:pPr>
        <w:pStyle w:val="Rubrik1"/>
      </w:pPr>
      <w:bookmarkStart w:id="0" w:name="_Toc321146591"/>
      <w:r>
        <w:t>R</w:t>
      </w:r>
      <w:r w:rsidR="00652130">
        <w:t>OTEM</w:t>
      </w:r>
      <w:r w:rsidR="007C15DE">
        <w:t xml:space="preserve"> (</w:t>
      </w:r>
      <w:r w:rsidR="0074086A">
        <w:t>Tromboelasto</w:t>
      </w:r>
      <w:r w:rsidR="00652130">
        <w:t>grafi)</w:t>
      </w:r>
      <w:r w:rsidR="00CC004F">
        <w:t xml:space="preserve"> </w:t>
      </w:r>
      <w:r w:rsidR="00652130">
        <w:t>vid trauma</w:t>
      </w:r>
    </w:p>
    <w:p w14:paraId="6B9A6C40" w14:textId="77777777" w:rsidR="00652130" w:rsidRDefault="00652130" w:rsidP="00652130">
      <w:pPr>
        <w:pStyle w:val="Rubrik1"/>
        <w:ind w:left="0"/>
        <w:rPr>
          <w:sz w:val="40"/>
          <w:szCs w:val="40"/>
        </w:rPr>
      </w:pPr>
    </w:p>
    <w:p w14:paraId="15BFB175" w14:textId="53BAF4C0" w:rsidR="00652130" w:rsidRPr="00756343" w:rsidRDefault="00652130" w:rsidP="00652130">
      <w:pPr>
        <w:pStyle w:val="Rubrik1"/>
        <w:ind w:left="0"/>
        <w:rPr>
          <w:rFonts w:ascii="Times New Roman" w:hAnsi="Times New Roman"/>
          <w:sz w:val="24"/>
          <w:szCs w:val="24"/>
        </w:rPr>
      </w:pPr>
      <w:r w:rsidRPr="00652130">
        <w:rPr>
          <w:sz w:val="40"/>
          <w:szCs w:val="40"/>
        </w:rPr>
        <w:t>Revideringar i denna version</w:t>
      </w:r>
      <w:r w:rsidR="00756343">
        <w:rPr>
          <w:sz w:val="40"/>
          <w:szCs w:val="40"/>
        </w:rPr>
        <w:br/>
      </w:r>
      <w:r w:rsidR="00766452">
        <w:rPr>
          <w:rFonts w:ascii="Times New Roman" w:hAnsi="Times New Roman"/>
          <w:sz w:val="24"/>
          <w:szCs w:val="24"/>
        </w:rPr>
        <w:t>24-05-28 Rutin</w:t>
      </w:r>
      <w:r w:rsidR="000C70AA">
        <w:rPr>
          <w:rFonts w:ascii="Times New Roman" w:hAnsi="Times New Roman"/>
          <w:sz w:val="24"/>
          <w:szCs w:val="24"/>
        </w:rPr>
        <w:t xml:space="preserve"> förändrad enligt nytt gemensamt utseende i Sofia STY.</w:t>
      </w:r>
    </w:p>
    <w:p w14:paraId="7A61670E" w14:textId="57E3B428" w:rsidR="00CC004F" w:rsidRPr="00CC004F" w:rsidRDefault="00CC004F" w:rsidP="00CC004F">
      <w:pPr>
        <w:ind w:left="0"/>
        <w:sectPr w:rsidR="00CC004F" w:rsidRPr="00CC004F" w:rsidSect="00A609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bookmarkEnd w:id="0"/>
    <w:p w14:paraId="581201CB" w14:textId="72F26398" w:rsidR="2FF81BB5" w:rsidRPr="00652130" w:rsidRDefault="00652130" w:rsidP="000C70AA">
      <w:r>
        <w:rPr>
          <w:b/>
          <w:bCs/>
        </w:rPr>
        <w:t>Bakgrund</w:t>
      </w:r>
      <w:r w:rsidR="2FF81BB5" w:rsidRPr="00652130">
        <w:br/>
        <w:t>Av alla multitraumapatienter blir 20-30% koagulopatiska under den första timmen efter olyckan. Dessa patienter har en mycket högre morbiditets- och mortalitetsrisk jämnfört med traumapatienter som inte utvecklar en tidig koagulopati. Den traumarelaterade koagulopatin (TIC) omfattar bland annat hyperfibrinolys och autoantikoagulation och kan snabbt förvärras genom konsumtion och utspädning av koagulationsfaktorer samt genom acidos, hypotermi mm. För att adekvat behandla en blödande traumapatient måste man monitorera och behandla TIC samt substituera nödvändiga koagulationssubstrat. Strategin för detta innebär behandling av hyperfibrinolysen med tranexamsyra (Cyklokapron) samt monitoring och tillförsel av fibrinogen, trombocyter och koagulationsfaktorer. ROTEMguidad koagulationsmanagement har visat sig kunna reducera transfusionsbehovet och förbättra outcome i multitraumasammanhang.</w:t>
      </w:r>
    </w:p>
    <w:p w14:paraId="06F1E73E" w14:textId="6783A7A3" w:rsidR="61840650" w:rsidRPr="00652130" w:rsidRDefault="61840650" w:rsidP="00652130">
      <w:pPr>
        <w:ind w:left="1134" w:right="4680" w:hanging="1134"/>
        <w:rPr>
          <w:b/>
          <w:bCs/>
        </w:rPr>
      </w:pPr>
    </w:p>
    <w:p w14:paraId="06768AB9" w14:textId="76AD0AD1" w:rsidR="00A91DED" w:rsidRPr="00652130" w:rsidRDefault="008212B4" w:rsidP="008212B4">
      <w:pPr>
        <w:ind w:right="4680"/>
      </w:pPr>
      <w:r w:rsidRPr="00652130">
        <w:rPr>
          <w:b/>
          <w:bCs/>
          <w:noProof/>
        </w:rPr>
        <w:drawing>
          <wp:anchor distT="0" distB="0" distL="114300" distR="114300" simplePos="0" relativeHeight="251658240" behindDoc="1" locked="0" layoutInCell="1" allowOverlap="1" wp14:anchorId="7AA3D4F6" wp14:editId="0DCF9B02">
            <wp:simplePos x="0" y="0"/>
            <wp:positionH relativeFrom="column">
              <wp:posOffset>3792855</wp:posOffset>
            </wp:positionH>
            <wp:positionV relativeFrom="paragraph">
              <wp:posOffset>383540</wp:posOffset>
            </wp:positionV>
            <wp:extent cx="2667000" cy="1438275"/>
            <wp:effectExtent l="0" t="0" r="0" b="9525"/>
            <wp:wrapNone/>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ildobjekt 31"/>
                    <pic:cNvPicPr/>
                  </pic:nvPicPr>
                  <pic:blipFill>
                    <a:blip r:embed="rId17"/>
                    <a:stretch>
                      <a:fillRect/>
                    </a:stretch>
                  </pic:blipFill>
                  <pic:spPr>
                    <a:xfrm>
                      <a:off x="0" y="0"/>
                      <a:ext cx="2667000" cy="1438275"/>
                    </a:xfrm>
                    <a:prstGeom prst="rect">
                      <a:avLst/>
                    </a:prstGeom>
                  </pic:spPr>
                </pic:pic>
              </a:graphicData>
            </a:graphic>
          </wp:anchor>
        </w:drawing>
      </w:r>
      <w:r w:rsidR="00A91DED" w:rsidRPr="00652130">
        <w:rPr>
          <w:b/>
          <w:bCs/>
        </w:rPr>
        <w:t>ROTEM</w:t>
      </w:r>
      <w:r w:rsidR="00A91DED" w:rsidRPr="00652130">
        <w:br/>
      </w:r>
      <w:r w:rsidR="00A91DED" w:rsidRPr="00652130">
        <w:rPr>
          <w:b/>
          <w:bCs/>
        </w:rPr>
        <w:t>RO</w:t>
      </w:r>
      <w:r w:rsidR="00A91DED" w:rsidRPr="00652130">
        <w:t>tations</w:t>
      </w:r>
      <w:r w:rsidR="00A91DED" w:rsidRPr="00652130">
        <w:rPr>
          <w:b/>
          <w:bCs/>
        </w:rPr>
        <w:t>T</w:t>
      </w:r>
      <w:r w:rsidR="00A91DED" w:rsidRPr="00652130">
        <w:t>romb</w:t>
      </w:r>
      <w:r w:rsidR="00A91DED" w:rsidRPr="00652130">
        <w:rPr>
          <w:b/>
          <w:bCs/>
        </w:rPr>
        <w:t>E</w:t>
      </w:r>
      <w:r w:rsidR="00A91DED" w:rsidRPr="00652130">
        <w:t>lasto</w:t>
      </w:r>
      <w:r w:rsidR="00A91DED" w:rsidRPr="00652130">
        <w:rPr>
          <w:b/>
          <w:bCs/>
        </w:rPr>
        <w:t>M</w:t>
      </w:r>
      <w:r w:rsidR="00A91DED" w:rsidRPr="00652130">
        <w:t>etri är en pointof-care mätmetod som använder ocentrifugerat helblod. Resultatet visas som en grafisk funktion vilken ger en uppfattning om hur fort patienten koagulerar (CT = mått på koncentrationen av koagulationsfaktorer) samt om koagelkvaliten (A10, MCF = avhängig av ffa trombocyter och fibrinogen) och fibrinolysen (ML).</w:t>
      </w:r>
    </w:p>
    <w:p w14:paraId="4B453F8C" w14:textId="6273CB53" w:rsidR="61840650" w:rsidRPr="00652130" w:rsidRDefault="61840650" w:rsidP="61840650">
      <w:pPr>
        <w:ind w:left="0" w:right="4680"/>
        <w:rPr>
          <w:i/>
          <w:iCs/>
        </w:rPr>
      </w:pPr>
    </w:p>
    <w:p w14:paraId="474C92F4" w14:textId="56B11B2D" w:rsidR="61840650" w:rsidRPr="00652130" w:rsidRDefault="61840650" w:rsidP="61840650">
      <w:pPr>
        <w:ind w:left="0" w:right="4680"/>
        <w:rPr>
          <w:i/>
          <w:iCs/>
        </w:rPr>
      </w:pPr>
    </w:p>
    <w:p w14:paraId="6FD43A6A" w14:textId="5E1CCDA9" w:rsidR="61840650" w:rsidRPr="00652130" w:rsidRDefault="61840650" w:rsidP="61840650">
      <w:pPr>
        <w:ind w:left="0" w:right="4680"/>
        <w:rPr>
          <w:i/>
          <w:iCs/>
        </w:rPr>
      </w:pPr>
    </w:p>
    <w:p w14:paraId="4002F5CE" w14:textId="5F65F6A1" w:rsidR="61840650" w:rsidRPr="00652130" w:rsidRDefault="61840650" w:rsidP="61840650">
      <w:pPr>
        <w:ind w:left="0" w:right="4680"/>
        <w:rPr>
          <w:i/>
          <w:iCs/>
        </w:rPr>
      </w:pPr>
    </w:p>
    <w:p w14:paraId="56BD001F" w14:textId="1980C07A" w:rsidR="61840650" w:rsidRPr="00652130" w:rsidRDefault="61840650" w:rsidP="61840650">
      <w:pPr>
        <w:ind w:left="0" w:right="4680"/>
        <w:rPr>
          <w:i/>
          <w:iCs/>
        </w:rPr>
      </w:pPr>
    </w:p>
    <w:p w14:paraId="4A4824C9" w14:textId="0A70AF7C" w:rsidR="61840650" w:rsidRPr="00652130" w:rsidRDefault="61840650" w:rsidP="61840650">
      <w:pPr>
        <w:ind w:left="0" w:right="4680"/>
        <w:rPr>
          <w:i/>
          <w:iCs/>
        </w:rPr>
      </w:pPr>
    </w:p>
    <w:p w14:paraId="699FF87C" w14:textId="2B2FA1A2" w:rsidR="61840650" w:rsidRPr="00652130" w:rsidRDefault="61840650" w:rsidP="61840650">
      <w:pPr>
        <w:ind w:left="0" w:right="4680"/>
        <w:rPr>
          <w:i/>
          <w:iCs/>
        </w:rPr>
      </w:pPr>
    </w:p>
    <w:p w14:paraId="7A5F8528" w14:textId="0018CB0F" w:rsidR="61840650" w:rsidRPr="00652130" w:rsidRDefault="61840650" w:rsidP="61840650">
      <w:pPr>
        <w:ind w:left="0" w:right="4680"/>
        <w:rPr>
          <w:i/>
          <w:iCs/>
        </w:rPr>
      </w:pPr>
    </w:p>
    <w:p w14:paraId="50BE02A8" w14:textId="77777777" w:rsidR="00184DD7" w:rsidRPr="00652130" w:rsidRDefault="00184DD7" w:rsidP="61840650">
      <w:pPr>
        <w:ind w:left="0" w:right="0" w:firstLine="992"/>
        <w:rPr>
          <w:i/>
          <w:iCs/>
        </w:rPr>
      </w:pPr>
    </w:p>
    <w:p w14:paraId="482CF571" w14:textId="77777777" w:rsidR="00184DD7" w:rsidRPr="00652130" w:rsidRDefault="00184DD7" w:rsidP="61840650">
      <w:pPr>
        <w:ind w:left="0" w:right="0" w:firstLine="992"/>
        <w:rPr>
          <w:i/>
          <w:iCs/>
        </w:rPr>
      </w:pPr>
    </w:p>
    <w:p w14:paraId="07B5C350" w14:textId="77777777" w:rsidR="00184DD7" w:rsidRPr="00652130" w:rsidRDefault="00184DD7" w:rsidP="61840650">
      <w:pPr>
        <w:ind w:left="0" w:right="0" w:firstLine="992"/>
        <w:rPr>
          <w:i/>
          <w:iCs/>
        </w:rPr>
      </w:pPr>
    </w:p>
    <w:p w14:paraId="5BBAEA37" w14:textId="77777777" w:rsidR="00184DD7" w:rsidRPr="00652130" w:rsidRDefault="00184DD7" w:rsidP="61840650">
      <w:pPr>
        <w:ind w:left="0" w:right="0" w:firstLine="992"/>
        <w:rPr>
          <w:i/>
          <w:iCs/>
        </w:rPr>
      </w:pPr>
    </w:p>
    <w:p w14:paraId="40F98B55" w14:textId="2CB816AD" w:rsidR="4DD0319D" w:rsidRPr="00652130" w:rsidRDefault="4DD0319D" w:rsidP="00734B91">
      <w:pPr>
        <w:ind w:right="0"/>
        <w:rPr>
          <w:i/>
          <w:iCs/>
        </w:rPr>
      </w:pPr>
      <w:r w:rsidRPr="00652130">
        <w:rPr>
          <w:i/>
          <w:iCs/>
        </w:rPr>
        <w:t>Det finns olika tester för att mäta olika aspekter av koagulationen:</w:t>
      </w:r>
    </w:p>
    <w:p w14:paraId="2D128FBC" w14:textId="7BBD0E5B" w:rsidR="4DD0319D" w:rsidRPr="00652130" w:rsidRDefault="4DD0319D" w:rsidP="61840650">
      <w:pPr>
        <w:ind w:right="360"/>
      </w:pPr>
      <w:r w:rsidRPr="000D5119">
        <w:rPr>
          <w:i/>
          <w:iCs/>
        </w:rPr>
        <w:t>EXTEM</w:t>
      </w:r>
      <w:r w:rsidRPr="00652130">
        <w:t xml:space="preserve"> och</w:t>
      </w:r>
      <w:r w:rsidRPr="00652130">
        <w:rPr>
          <w:b/>
          <w:bCs/>
        </w:rPr>
        <w:t xml:space="preserve"> </w:t>
      </w:r>
      <w:r w:rsidRPr="000D5119">
        <w:rPr>
          <w:i/>
          <w:iCs/>
        </w:rPr>
        <w:t xml:space="preserve">INTEM </w:t>
      </w:r>
      <w:r w:rsidRPr="00652130">
        <w:t xml:space="preserve">är globala tester där koagulationsprocessen igångsätts motsvarande PK och </w:t>
      </w:r>
      <w:r w:rsidRPr="000D5119">
        <w:rPr>
          <w:i/>
          <w:iCs/>
        </w:rPr>
        <w:t>APTT</w:t>
      </w:r>
      <w:r w:rsidRPr="00652130">
        <w:t xml:space="preserve">. Man får en bra uppfattning om koaguleringen i helhet. </w:t>
      </w:r>
      <w:r w:rsidRPr="000D5119">
        <w:rPr>
          <w:i/>
          <w:iCs/>
        </w:rPr>
        <w:t>FIBTEM</w:t>
      </w:r>
      <w:r w:rsidRPr="00652130">
        <w:t xml:space="preserve"> är ett test för att mäta fibrinogenets bidrag till koagulationen. Testen innehåller en substans som eliminerar trombocyter i koagulationsprocessen. FIBTEM aktiveras på samma sätt som </w:t>
      </w:r>
      <w:r w:rsidRPr="000D5119">
        <w:rPr>
          <w:i/>
          <w:iCs/>
        </w:rPr>
        <w:t>EXTEM</w:t>
      </w:r>
      <w:r w:rsidRPr="00652130">
        <w:t xml:space="preserve">, de ska därför tolkas tillsammans. </w:t>
      </w:r>
      <w:r w:rsidRPr="000D5119">
        <w:rPr>
          <w:i/>
          <w:iCs/>
        </w:rPr>
        <w:t>APTEM</w:t>
      </w:r>
      <w:r w:rsidRPr="00652130">
        <w:t xml:space="preserve"> innehåller ett ämne som inhiberar fibrinolysen. Detta är värdefullt i traumasammanhang (TIC!) eller vid stor leverkirurgi (samt förlossning, prostatakirurgi mm) där det kan förekomma massiv fibrinolys som ibland kan omöjliggöra tolkningen av de andra testerna. </w:t>
      </w:r>
      <w:r w:rsidRPr="000D5119">
        <w:rPr>
          <w:i/>
          <w:iCs/>
        </w:rPr>
        <w:t>HEPTEM</w:t>
      </w:r>
      <w:r w:rsidRPr="00652130">
        <w:t xml:space="preserve"> är ett test för att bedöma heparineffekten på koagulationen. Testet innehåller heparinas som inaktiverar (ofraktionerat) heparin. HEPTEM aktiveras på samma sätt som INTEM, båda testerna måste därför tolkas tillsammans.</w:t>
      </w:r>
    </w:p>
    <w:p w14:paraId="7D06C0D4" w14:textId="340FC124" w:rsidR="61840650" w:rsidRPr="00652130" w:rsidRDefault="61840650" w:rsidP="61840650">
      <w:pPr>
        <w:ind w:right="360"/>
      </w:pPr>
    </w:p>
    <w:p w14:paraId="210A94D2" w14:textId="2ED55185" w:rsidR="7E7F81DE" w:rsidRPr="00652130" w:rsidRDefault="7E7F81DE" w:rsidP="61840650">
      <w:pPr>
        <w:ind w:right="360"/>
      </w:pPr>
      <w:r w:rsidRPr="00652130">
        <w:t xml:space="preserve">Koagulationsmonitorering med hjälp av ROTEM ger en snabb uppfattning om den globala hemostasfunktionen samt om några detaljaspekter. I blödningssammanhang förkortar ROTEM ledtiderna i transfusions- och hemostasbehandlingen. </w:t>
      </w:r>
    </w:p>
    <w:p w14:paraId="6B077168" w14:textId="6800AEC3" w:rsidR="7E7F81DE" w:rsidRPr="00652130" w:rsidRDefault="7E7F81DE" w:rsidP="61840650">
      <w:pPr>
        <w:ind w:right="360"/>
      </w:pPr>
      <w:r w:rsidRPr="00652130">
        <w:t>Det rekommenderas att man använder algoritmer i detta sammanhang.</w:t>
      </w:r>
    </w:p>
    <w:p w14:paraId="6FC8632D" w14:textId="51BC93EB" w:rsidR="61840650" w:rsidRPr="00652130" w:rsidRDefault="61840650" w:rsidP="61840650">
      <w:pPr>
        <w:ind w:right="360"/>
        <w:rPr>
          <w:b/>
          <w:bCs/>
        </w:rPr>
      </w:pPr>
    </w:p>
    <w:p w14:paraId="12477837" w14:textId="79997C97" w:rsidR="1A166CA2" w:rsidRPr="00652130" w:rsidRDefault="1A166CA2" w:rsidP="61840650">
      <w:pPr>
        <w:ind w:right="360"/>
      </w:pPr>
      <w:r w:rsidRPr="00652130">
        <w:rPr>
          <w:b/>
          <w:bCs/>
        </w:rPr>
        <w:t>A</w:t>
      </w:r>
      <w:r w:rsidR="7E7F81DE" w:rsidRPr="00652130">
        <w:rPr>
          <w:b/>
          <w:bCs/>
        </w:rPr>
        <w:t>lgoritm ROTEM vid Trauma:</w:t>
      </w:r>
      <w:r w:rsidR="7E7F81DE" w:rsidRPr="00652130">
        <w:t xml:space="preserve"> </w:t>
      </w:r>
      <w:r w:rsidRPr="00652130">
        <w:br/>
      </w:r>
      <w:r w:rsidR="7E7F81DE" w:rsidRPr="00652130">
        <w:t>Vår algoritm använder EXTEM, INTEM, FIBTEM och APTEM. Som mätvärden använder den CT, A10 och ML. Tid till resultat och eventuell åtgärd blir då 10-15 minuter.</w:t>
      </w:r>
    </w:p>
    <w:p w14:paraId="6F0215FF" w14:textId="6315BB8F" w:rsidR="7E7F81DE" w:rsidRPr="00652130" w:rsidRDefault="7E7F81DE" w:rsidP="61840650">
      <w:pPr>
        <w:ind w:right="360"/>
      </w:pPr>
      <w:r w:rsidRPr="00652130">
        <w:rPr>
          <w:b/>
          <w:bCs/>
        </w:rPr>
        <w:t>Steg 0</w:t>
      </w:r>
      <w:r w:rsidRPr="00652130">
        <w:t xml:space="preserve"> </w:t>
      </w:r>
      <w:r w:rsidRPr="00652130">
        <w:br/>
        <w:t>Optimera kontinuerligt den fysiologiska miljön (kroppstemperatur, hematokrit, pH, kalcium, mm). Försäkra dig om att patienten har fått 1-2g (25mg/kg) tranexamsyra (Cyklokapron).</w:t>
      </w:r>
    </w:p>
    <w:p w14:paraId="2CA64553" w14:textId="53C95A14" w:rsidR="7E7F81DE" w:rsidRPr="00652130" w:rsidRDefault="7E7F81DE" w:rsidP="61840650">
      <w:pPr>
        <w:ind w:right="360"/>
      </w:pPr>
      <w:r w:rsidRPr="00652130">
        <w:rPr>
          <w:b/>
          <w:bCs/>
        </w:rPr>
        <w:t xml:space="preserve">Steg 1 </w:t>
      </w:r>
      <w:r w:rsidRPr="00652130">
        <w:br/>
        <w:t>Sätt EXTEM, INTEM, FIBTEM och APTEM så tidigt som möjligt. Ta dessutom PK, APTT, TPK, fibrinogen och antitrombin III.</w:t>
      </w:r>
    </w:p>
    <w:p w14:paraId="76B00039" w14:textId="628685FA" w:rsidR="7E7F81DE" w:rsidRPr="00652130" w:rsidRDefault="7E7F81DE" w:rsidP="61840650">
      <w:pPr>
        <w:ind w:right="360"/>
      </w:pPr>
      <w:r w:rsidRPr="00652130">
        <w:rPr>
          <w:b/>
          <w:bCs/>
        </w:rPr>
        <w:t>Steg 2</w:t>
      </w:r>
      <w:r w:rsidRPr="00652130">
        <w:br/>
        <w:t>Utvärdera mätningarna efter 10-15 minuter. Tänk i fysiologiska funktioner (TIC).</w:t>
      </w:r>
    </w:p>
    <w:p w14:paraId="71818998" w14:textId="06CD62F1" w:rsidR="61840650" w:rsidRPr="00652130" w:rsidRDefault="61840650" w:rsidP="61840650">
      <w:pPr>
        <w:ind w:right="360"/>
      </w:pPr>
    </w:p>
    <w:p w14:paraId="4F910089" w14:textId="414037ED" w:rsidR="61840650" w:rsidRPr="00652130" w:rsidRDefault="61840650" w:rsidP="61840650">
      <w:pPr>
        <w:ind w:right="360"/>
        <w:rPr>
          <w:b/>
          <w:bCs/>
        </w:rPr>
      </w:pPr>
    </w:p>
    <w:p w14:paraId="3F5CDCBA" w14:textId="1FB3CF37" w:rsidR="61840650" w:rsidRPr="00652130" w:rsidRDefault="61840650" w:rsidP="61840650">
      <w:pPr>
        <w:ind w:right="360"/>
        <w:rPr>
          <w:b/>
          <w:bCs/>
        </w:rPr>
      </w:pPr>
    </w:p>
    <w:p w14:paraId="110B74D3" w14:textId="7BAA21A4" w:rsidR="61840650" w:rsidRPr="00652130" w:rsidRDefault="61840650" w:rsidP="61840650">
      <w:pPr>
        <w:ind w:right="360"/>
        <w:rPr>
          <w:b/>
          <w:bCs/>
        </w:rPr>
      </w:pPr>
    </w:p>
    <w:p w14:paraId="2C313747" w14:textId="6C78DA6D" w:rsidR="61840650" w:rsidRPr="00652130" w:rsidRDefault="61840650" w:rsidP="61840650">
      <w:pPr>
        <w:ind w:right="360"/>
        <w:rPr>
          <w:b/>
          <w:bCs/>
        </w:rPr>
      </w:pPr>
    </w:p>
    <w:p w14:paraId="39548C09" w14:textId="53914ABF" w:rsidR="0CF948F1" w:rsidRPr="00652130" w:rsidRDefault="004B1378" w:rsidP="75497F96">
      <w:pPr>
        <w:ind w:right="360"/>
        <w:rPr>
          <w:b/>
          <w:bCs/>
        </w:rPr>
      </w:pPr>
      <w:r w:rsidRPr="00652130">
        <w:rPr>
          <w:b/>
          <w:bCs/>
          <w:noProof/>
        </w:rPr>
        <w:drawing>
          <wp:anchor distT="0" distB="0" distL="114300" distR="114300" simplePos="0" relativeHeight="251659264" behindDoc="1" locked="0" layoutInCell="1" allowOverlap="1" wp14:anchorId="07348DD9" wp14:editId="7834EF5E">
            <wp:simplePos x="0" y="0"/>
            <wp:positionH relativeFrom="column">
              <wp:posOffset>4029075</wp:posOffset>
            </wp:positionH>
            <wp:positionV relativeFrom="paragraph">
              <wp:posOffset>90805</wp:posOffset>
            </wp:positionV>
            <wp:extent cx="2333625" cy="1733550"/>
            <wp:effectExtent l="0" t="0" r="9525" b="0"/>
            <wp:wrapNone/>
            <wp:docPr id="32" name="Bildobjek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ildobjekt 32"/>
                    <pic:cNvPicPr/>
                  </pic:nvPicPr>
                  <pic:blipFill>
                    <a:blip r:embed="rId18"/>
                    <a:stretch>
                      <a:fillRect/>
                    </a:stretch>
                  </pic:blipFill>
                  <pic:spPr>
                    <a:xfrm>
                      <a:off x="0" y="0"/>
                      <a:ext cx="2333625" cy="1733550"/>
                    </a:xfrm>
                    <a:prstGeom prst="rect">
                      <a:avLst/>
                    </a:prstGeom>
                  </pic:spPr>
                </pic:pic>
              </a:graphicData>
            </a:graphic>
          </wp:anchor>
        </w:drawing>
      </w:r>
      <w:r w:rsidR="70C90052" w:rsidRPr="00652130">
        <w:rPr>
          <w:b/>
          <w:bCs/>
        </w:rPr>
        <w:t>Steg 2.1 Hyperfibrinolys:</w:t>
      </w:r>
    </w:p>
    <w:p w14:paraId="7CD9CA8A" w14:textId="56F08366" w:rsidR="0CF948F1" w:rsidRPr="00652130" w:rsidRDefault="0CF948F1" w:rsidP="61840650">
      <w:pPr>
        <w:ind w:right="4680"/>
      </w:pPr>
      <w:r w:rsidRPr="00652130">
        <w:t>Jämför APTEM och EXTEM. Om (CT, A10 eller) ML visar bättre värden i APTEM än i EXTEM är det ett tecken på hyperfibrinolys. Överväg att ge 1-2g tranexamsyra (Cyklokapron).</w:t>
      </w:r>
    </w:p>
    <w:p w14:paraId="5E91944E" w14:textId="57310664" w:rsidR="254DC0F4" w:rsidRPr="00652130" w:rsidRDefault="254DC0F4" w:rsidP="61840650">
      <w:pPr>
        <w:ind w:right="4680"/>
      </w:pPr>
      <w:r w:rsidRPr="00652130">
        <w:t xml:space="preserve"> </w:t>
      </w:r>
    </w:p>
    <w:p w14:paraId="7E9CE6D1" w14:textId="2B76DBEC" w:rsidR="00992FE9" w:rsidRPr="00652130" w:rsidRDefault="00992FE9" w:rsidP="61840650">
      <w:pPr>
        <w:ind w:right="4680"/>
      </w:pPr>
    </w:p>
    <w:p w14:paraId="03F2BF94" w14:textId="2824BBA1" w:rsidR="00992FE9" w:rsidRPr="00652130" w:rsidRDefault="00992FE9" w:rsidP="61840650">
      <w:pPr>
        <w:ind w:right="4680"/>
      </w:pPr>
    </w:p>
    <w:p w14:paraId="210C9C83" w14:textId="113CC8CB" w:rsidR="699585EC" w:rsidRPr="00652130" w:rsidRDefault="004B1378" w:rsidP="61840650">
      <w:pPr>
        <w:ind w:right="4680"/>
      </w:pPr>
      <w:r w:rsidRPr="00652130">
        <w:rPr>
          <w:noProof/>
        </w:rPr>
        <w:drawing>
          <wp:anchor distT="0" distB="0" distL="114300" distR="114300" simplePos="0" relativeHeight="251660288" behindDoc="1" locked="0" layoutInCell="1" allowOverlap="1" wp14:anchorId="46BDD110" wp14:editId="61F21B1F">
            <wp:simplePos x="0" y="0"/>
            <wp:positionH relativeFrom="column">
              <wp:posOffset>4029075</wp:posOffset>
            </wp:positionH>
            <wp:positionV relativeFrom="paragraph">
              <wp:posOffset>77470</wp:posOffset>
            </wp:positionV>
            <wp:extent cx="2333625" cy="1733550"/>
            <wp:effectExtent l="0" t="0" r="9525" b="0"/>
            <wp:wrapNone/>
            <wp:docPr id="33" name="Bildobjekt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Bildobjekt 33"/>
                    <pic:cNvPicPr/>
                  </pic:nvPicPr>
                  <pic:blipFill>
                    <a:blip r:embed="rId19"/>
                    <a:stretch>
                      <a:fillRect/>
                    </a:stretch>
                  </pic:blipFill>
                  <pic:spPr>
                    <a:xfrm>
                      <a:off x="0" y="0"/>
                      <a:ext cx="2333625" cy="1733550"/>
                    </a:xfrm>
                    <a:prstGeom prst="rect">
                      <a:avLst/>
                    </a:prstGeom>
                  </pic:spPr>
                </pic:pic>
              </a:graphicData>
            </a:graphic>
          </wp:anchor>
        </w:drawing>
      </w:r>
      <w:r w:rsidR="699585EC" w:rsidRPr="00652130">
        <w:rPr>
          <w:b/>
          <w:bCs/>
        </w:rPr>
        <w:t>Steg 2.2</w:t>
      </w:r>
      <w:r w:rsidR="699585EC" w:rsidRPr="00652130">
        <w:br/>
        <w:t>Hypofibrinogenemi: Titta på FIBTEM. Om FIBTEM A10 är smalare än 8mm, är det ett tecken för hypofibrinogenemi. Överväg att substi-tuera med 50mg/kg fibrinogen. Vid massiv blödning ska man sikta mot ett FIBTEM A10 bredare än 12mm.</w:t>
      </w:r>
    </w:p>
    <w:p w14:paraId="3B4F9195" w14:textId="77777777" w:rsidR="001B1EB3" w:rsidRPr="00652130" w:rsidRDefault="001B1EB3" w:rsidP="61840650">
      <w:pPr>
        <w:ind w:right="4680"/>
      </w:pPr>
    </w:p>
    <w:p w14:paraId="3A91E072" w14:textId="77777777" w:rsidR="004B1378" w:rsidRPr="00652130" w:rsidRDefault="004B1378" w:rsidP="61840650">
      <w:pPr>
        <w:ind w:right="4680"/>
      </w:pPr>
    </w:p>
    <w:p w14:paraId="314E9733" w14:textId="676BCBE9" w:rsidR="001B1EB3" w:rsidRPr="00652130" w:rsidRDefault="00D9432B" w:rsidP="61840650">
      <w:pPr>
        <w:ind w:right="4680"/>
      </w:pPr>
      <w:r w:rsidRPr="00652130">
        <w:rPr>
          <w:noProof/>
        </w:rPr>
        <w:drawing>
          <wp:anchor distT="0" distB="0" distL="114300" distR="114300" simplePos="0" relativeHeight="251661312" behindDoc="1" locked="0" layoutInCell="1" allowOverlap="1" wp14:anchorId="29239C8F" wp14:editId="2D4E8BD7">
            <wp:simplePos x="0" y="0"/>
            <wp:positionH relativeFrom="column">
              <wp:posOffset>4029075</wp:posOffset>
            </wp:positionH>
            <wp:positionV relativeFrom="paragraph">
              <wp:posOffset>74295</wp:posOffset>
            </wp:positionV>
            <wp:extent cx="2333625" cy="1733550"/>
            <wp:effectExtent l="0" t="0" r="9525" b="0"/>
            <wp:wrapNone/>
            <wp:docPr id="34" name="Bildobjekt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Bildobjekt 34"/>
                    <pic:cNvPicPr/>
                  </pic:nvPicPr>
                  <pic:blipFill>
                    <a:blip r:embed="rId20"/>
                    <a:stretch>
                      <a:fillRect/>
                    </a:stretch>
                  </pic:blipFill>
                  <pic:spPr>
                    <a:xfrm>
                      <a:off x="0" y="0"/>
                      <a:ext cx="2333625" cy="1733550"/>
                    </a:xfrm>
                    <a:prstGeom prst="rect">
                      <a:avLst/>
                    </a:prstGeom>
                  </pic:spPr>
                </pic:pic>
              </a:graphicData>
            </a:graphic>
          </wp:anchor>
        </w:drawing>
      </w:r>
      <w:r w:rsidR="0087296D" w:rsidRPr="00652130">
        <w:rPr>
          <w:b/>
          <w:bCs/>
        </w:rPr>
        <w:t>Steg 2.3 Trombocytopeni:</w:t>
      </w:r>
      <w:r w:rsidR="0087296D" w:rsidRPr="00652130">
        <w:t xml:space="preserve"> </w:t>
      </w:r>
      <w:r w:rsidR="0087296D" w:rsidRPr="00652130">
        <w:br/>
        <w:t>Titta på EXTEM och FIBTEM. Om EXTEM A10 är smalare än 40mm och FIBTEM A10 bredare än 12mm är det ett tecken på trombocytopeni. Överväg att transfundera trombocyter. I blödnings-sammanhang ska man sikta mot EXTEM A10 &gt; 40mm och TPK &gt; 100000/µl.</w:t>
      </w:r>
    </w:p>
    <w:p w14:paraId="5660CBC0" w14:textId="7133A9AA" w:rsidR="61840650" w:rsidRPr="00652130" w:rsidRDefault="61840650" w:rsidP="61840650">
      <w:pPr>
        <w:ind w:right="4680"/>
      </w:pPr>
    </w:p>
    <w:p w14:paraId="65D1E18B" w14:textId="77777777" w:rsidR="000145DE" w:rsidRPr="00652130" w:rsidRDefault="000145DE" w:rsidP="61840650">
      <w:pPr>
        <w:ind w:right="0"/>
        <w:rPr>
          <w:b/>
          <w:bCs/>
        </w:rPr>
      </w:pPr>
    </w:p>
    <w:p w14:paraId="2EBB1419" w14:textId="021474CF" w:rsidR="699585EC" w:rsidRPr="00652130" w:rsidRDefault="699585EC" w:rsidP="61840650">
      <w:pPr>
        <w:ind w:right="0"/>
        <w:rPr>
          <w:b/>
          <w:bCs/>
        </w:rPr>
      </w:pPr>
      <w:r w:rsidRPr="00652130">
        <w:rPr>
          <w:b/>
          <w:bCs/>
        </w:rPr>
        <w:t>Steg 2.4 Otillräcklig trombinproduktion:</w:t>
      </w:r>
      <w:r w:rsidRPr="00652130">
        <w:t xml:space="preserve"> </w:t>
      </w:r>
      <w:r w:rsidRPr="00652130">
        <w:br/>
        <w:t xml:space="preserve">Titta på EXTEM. Om EXTEM CT är längre än 80 sekunder och det inte finns tecken på hyperfibrinolys </w:t>
      </w:r>
      <w:r w:rsidRPr="00652130">
        <w:rPr>
          <w:b/>
          <w:bCs/>
        </w:rPr>
        <w:t>(se Steg 2.1)</w:t>
      </w:r>
      <w:r w:rsidRPr="00652130">
        <w:t xml:space="preserve">, är det ett tecken på nedsatt trombinproduktion som beror på brist på koagulationsfaktorer. Överväg att substituera koagulationsfaktorerna genom att transfundera plasma (30ml/kg!!) eller genom att ge små doser (15-20E/kg) </w:t>
      </w:r>
      <w:r w:rsidR="0D6F41F9" w:rsidRPr="00652130">
        <w:t>P</w:t>
      </w:r>
      <w:r w:rsidRPr="00652130">
        <w:t>rotrombinkomplex (t ex Ocplex)</w:t>
      </w:r>
      <w:r w:rsidRPr="00652130">
        <w:br/>
      </w:r>
      <w:r w:rsidRPr="00652130">
        <w:rPr>
          <w:b/>
          <w:bCs/>
        </w:rPr>
        <w:t xml:space="preserve"> – OFFLABEL-bruk!!!</w:t>
      </w:r>
    </w:p>
    <w:p w14:paraId="5032B98C" w14:textId="04B108F8" w:rsidR="61840650" w:rsidRPr="00652130" w:rsidRDefault="61840650" w:rsidP="61840650">
      <w:pPr>
        <w:ind w:right="0"/>
        <w:rPr>
          <w:b/>
          <w:bCs/>
        </w:rPr>
      </w:pPr>
    </w:p>
    <w:p w14:paraId="2C0075ED" w14:textId="77777777" w:rsidR="00184DD7" w:rsidRPr="00652130" w:rsidRDefault="00184DD7" w:rsidP="00184DD7">
      <w:pPr>
        <w:ind w:right="4790"/>
        <w:rPr>
          <w:b/>
          <w:bCs/>
        </w:rPr>
      </w:pPr>
    </w:p>
    <w:p w14:paraId="53A17926" w14:textId="77777777" w:rsidR="00184DD7" w:rsidRPr="00652130" w:rsidRDefault="00184DD7" w:rsidP="00184DD7">
      <w:pPr>
        <w:ind w:right="4790"/>
        <w:rPr>
          <w:b/>
          <w:bCs/>
        </w:rPr>
      </w:pPr>
    </w:p>
    <w:p w14:paraId="594AA3FB" w14:textId="77777777" w:rsidR="00184DD7" w:rsidRPr="00652130" w:rsidRDefault="00184DD7" w:rsidP="00184DD7">
      <w:pPr>
        <w:ind w:right="4790"/>
        <w:rPr>
          <w:b/>
          <w:bCs/>
        </w:rPr>
      </w:pPr>
    </w:p>
    <w:p w14:paraId="7C0D2AD0" w14:textId="74B18510" w:rsidR="078CDDB7" w:rsidRPr="00652130" w:rsidRDefault="00184DD7" w:rsidP="00184DD7">
      <w:pPr>
        <w:ind w:right="4790"/>
      </w:pPr>
      <w:r w:rsidRPr="00652130">
        <w:rPr>
          <w:noProof/>
        </w:rPr>
        <w:drawing>
          <wp:anchor distT="0" distB="0" distL="114300" distR="114300" simplePos="0" relativeHeight="251662336" behindDoc="1" locked="0" layoutInCell="1" allowOverlap="1" wp14:anchorId="187C9E8B" wp14:editId="7591BB7C">
            <wp:simplePos x="0" y="0"/>
            <wp:positionH relativeFrom="column">
              <wp:posOffset>3952875</wp:posOffset>
            </wp:positionH>
            <wp:positionV relativeFrom="paragraph">
              <wp:posOffset>38735</wp:posOffset>
            </wp:positionV>
            <wp:extent cx="2324100" cy="1733550"/>
            <wp:effectExtent l="0" t="0" r="0" b="0"/>
            <wp:wrapNone/>
            <wp:docPr id="35" name="Bildobjekt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Bildobjekt 35"/>
                    <pic:cNvPicPr/>
                  </pic:nvPicPr>
                  <pic:blipFill>
                    <a:blip r:embed="rId21"/>
                    <a:stretch>
                      <a:fillRect/>
                    </a:stretch>
                  </pic:blipFill>
                  <pic:spPr>
                    <a:xfrm>
                      <a:off x="0" y="0"/>
                      <a:ext cx="2324100" cy="1733550"/>
                    </a:xfrm>
                    <a:prstGeom prst="rect">
                      <a:avLst/>
                    </a:prstGeom>
                  </pic:spPr>
                </pic:pic>
              </a:graphicData>
            </a:graphic>
            <wp14:sizeRelH relativeFrom="page">
              <wp14:pctWidth>0</wp14:pctWidth>
            </wp14:sizeRelH>
            <wp14:sizeRelV relativeFrom="page">
              <wp14:pctHeight>0</wp14:pctHeight>
            </wp14:sizeRelV>
          </wp:anchor>
        </w:drawing>
      </w:r>
      <w:r w:rsidR="078CDDB7" w:rsidRPr="00652130">
        <w:rPr>
          <w:b/>
          <w:bCs/>
        </w:rPr>
        <w:t>Steg 2.5 Heparineffekt:</w:t>
      </w:r>
      <w:r w:rsidR="078CDDB7" w:rsidRPr="00652130">
        <w:t xml:space="preserve"> </w:t>
      </w:r>
      <w:r w:rsidR="078CDDB7" w:rsidRPr="00652130">
        <w:br/>
        <w:t>Vid intraoperativ användning av heparin (kärlkirurgi, cellsaver) eller vid lever-kirurgi kan heparin(oider) påverka koagulationen. Jämför INTEM och HEPTEM. Om HEPTEM CT är kortare än INTEM CT är det ett tecken för heparinets inverkan på koagulationen. Heparin kan vid behov reverseras med protamin</w:t>
      </w:r>
      <w:r w:rsidR="752B0A41" w:rsidRPr="00652130">
        <w:t>.</w:t>
      </w:r>
    </w:p>
    <w:p w14:paraId="7452E0BF" w14:textId="77777777" w:rsidR="00992FE9" w:rsidRPr="00652130" w:rsidRDefault="00992FE9" w:rsidP="61840650">
      <w:pPr>
        <w:ind w:right="4680"/>
        <w:rPr>
          <w:b/>
          <w:bCs/>
        </w:rPr>
      </w:pPr>
    </w:p>
    <w:p w14:paraId="49CCE6EE" w14:textId="77777777" w:rsidR="00992FE9" w:rsidRPr="00652130" w:rsidRDefault="00992FE9" w:rsidP="61840650">
      <w:pPr>
        <w:ind w:right="4680"/>
        <w:rPr>
          <w:b/>
          <w:bCs/>
        </w:rPr>
      </w:pPr>
    </w:p>
    <w:p w14:paraId="1FE9D1AB" w14:textId="77777777" w:rsidR="00992FE9" w:rsidRPr="00652130" w:rsidRDefault="00992FE9" w:rsidP="61840650">
      <w:pPr>
        <w:ind w:right="4680"/>
        <w:rPr>
          <w:b/>
          <w:bCs/>
        </w:rPr>
      </w:pPr>
    </w:p>
    <w:p w14:paraId="1AD01FEC" w14:textId="5D6FAA6C" w:rsidR="76E6A939" w:rsidRPr="00652130" w:rsidRDefault="76E6A939" w:rsidP="00BF3646">
      <w:pPr>
        <w:ind w:right="-30"/>
      </w:pPr>
      <w:r w:rsidRPr="00652130">
        <w:rPr>
          <w:b/>
          <w:bCs/>
        </w:rPr>
        <w:t xml:space="preserve">Steg 3: </w:t>
      </w:r>
      <w:r w:rsidRPr="00652130">
        <w:br/>
        <w:t>Börja om på steg 1. Ta kontrollmätningar efter varje terapiinsats. Upprepa mätningarna vid pågående blödning och senast efter varje omsatt blodvolym. Om det ändå blöder trots fullständigt uppnådda målvärden (se Steg 2.1 till 2.5) kan man överväga att komplementera med faktor VIIa (Novoseven) eller faktor XIII (Fibrogammin).</w:t>
      </w:r>
    </w:p>
    <w:p w14:paraId="26AAA08B" w14:textId="0A5460DA" w:rsidR="76E6A939" w:rsidRPr="00652130" w:rsidRDefault="76E6A939" w:rsidP="00BF3646">
      <w:pPr>
        <w:ind w:right="-30"/>
        <w:rPr>
          <w:i/>
          <w:iCs/>
        </w:rPr>
      </w:pPr>
      <w:r w:rsidRPr="00652130">
        <w:rPr>
          <w:i/>
          <w:iCs/>
        </w:rPr>
        <w:t>Kom ihåg att det inte går att bedöma trombocytfunktionen med hjälp av ROTEM. Vid behov kan man delvis motverka ASA (t ex Trombyl) med desmopressin (t ex Octostim).</w:t>
      </w:r>
    </w:p>
    <w:p w14:paraId="2AD5F6D9" w14:textId="7583924C" w:rsidR="61840650" w:rsidRPr="00652130" w:rsidRDefault="61840650" w:rsidP="61840650">
      <w:pPr>
        <w:ind w:right="4680"/>
      </w:pPr>
    </w:p>
    <w:p w14:paraId="55A973BC" w14:textId="62DE587C" w:rsidR="61840650" w:rsidRPr="00652130" w:rsidRDefault="61840650" w:rsidP="61840650">
      <w:pPr>
        <w:ind w:right="4680"/>
      </w:pPr>
    </w:p>
    <w:p w14:paraId="0A806E12" w14:textId="0B0D1A61" w:rsidR="61840650" w:rsidRPr="00652130" w:rsidRDefault="61840650" w:rsidP="61840650">
      <w:pPr>
        <w:ind w:right="360"/>
      </w:pPr>
    </w:p>
    <w:p w14:paraId="05B40D2A" w14:textId="2530719D" w:rsidR="61840650" w:rsidRPr="00652130" w:rsidRDefault="61840650" w:rsidP="61840650"/>
    <w:p w14:paraId="589F91B2" w14:textId="73F805E9" w:rsidR="61840650" w:rsidRPr="00652130" w:rsidRDefault="61840650" w:rsidP="61840650"/>
    <w:sectPr w:rsidR="61840650" w:rsidRPr="00652130" w:rsidSect="00A6092B">
      <w:type w:val="continuous"/>
      <w:pgSz w:w="11900" w:h="16840"/>
      <w:pgMar w:top="720" w:right="720" w:bottom="720" w:left="72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846150" w14:textId="77777777" w:rsidR="00DF503E" w:rsidRDefault="00DF503E">
      <w:r>
        <w:separator/>
      </w:r>
    </w:p>
  </w:endnote>
  <w:endnote w:type="continuationSeparator" w:id="0">
    <w:p w14:paraId="76AF99D6" w14:textId="77777777" w:rsidR="00DF503E" w:rsidRDefault="00DF503E">
      <w:r>
        <w:continuationSeparator/>
      </w:r>
    </w:p>
  </w:endnote>
  <w:endnote w:type="continuationNotice" w:id="1">
    <w:p w14:paraId="250A2DC0" w14:textId="77777777" w:rsidR="00DF503E" w:rsidRDefault="00DF50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8E2CF" w14:textId="77777777" w:rsidR="00DF503E" w:rsidRDefault="00DF503E"/>
  </w:footnote>
  <w:footnote w:type="continuationSeparator" w:id="0">
    <w:p w14:paraId="66C4916D" w14:textId="77777777" w:rsidR="00DF503E" w:rsidRDefault="00DF503E">
      <w:r>
        <w:continuationSeparator/>
      </w:r>
    </w:p>
  </w:footnote>
  <w:footnote w:type="continuationNotice" w:id="1">
    <w:p w14:paraId="4961F75B" w14:textId="77777777" w:rsidR="00DF503E" w:rsidRDefault="00DF50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5908231">
    <w:abstractNumId w:val="17"/>
  </w:num>
  <w:num w:numId="2" w16cid:durableId="472874308">
    <w:abstractNumId w:val="14"/>
  </w:num>
  <w:num w:numId="3" w16cid:durableId="1113523498">
    <w:abstractNumId w:val="0"/>
  </w:num>
  <w:num w:numId="4" w16cid:durableId="1126704590">
    <w:abstractNumId w:val="6"/>
  </w:num>
  <w:num w:numId="5" w16cid:durableId="167258400">
    <w:abstractNumId w:val="15"/>
  </w:num>
  <w:num w:numId="6" w16cid:durableId="1077093784">
    <w:abstractNumId w:val="2"/>
  </w:num>
  <w:num w:numId="7" w16cid:durableId="53162231">
    <w:abstractNumId w:val="11"/>
  </w:num>
  <w:num w:numId="8" w16cid:durableId="972052666">
    <w:abstractNumId w:val="8"/>
  </w:num>
  <w:num w:numId="9" w16cid:durableId="1999184590">
    <w:abstractNumId w:val="1"/>
  </w:num>
  <w:num w:numId="10" w16cid:durableId="1820612344">
    <w:abstractNumId w:val="1"/>
  </w:num>
  <w:num w:numId="11" w16cid:durableId="1125126477">
    <w:abstractNumId w:val="3"/>
  </w:num>
  <w:num w:numId="12" w16cid:durableId="935796387">
    <w:abstractNumId w:val="4"/>
  </w:num>
  <w:num w:numId="13" w16cid:durableId="700278556">
    <w:abstractNumId w:val="13"/>
  </w:num>
  <w:num w:numId="14" w16cid:durableId="2024241291">
    <w:abstractNumId w:val="9"/>
  </w:num>
  <w:num w:numId="15" w16cid:durableId="898596851">
    <w:abstractNumId w:val="7"/>
  </w:num>
  <w:num w:numId="16" w16cid:durableId="829255136">
    <w:abstractNumId w:val="12"/>
  </w:num>
  <w:num w:numId="17" w16cid:durableId="545995705">
    <w:abstractNumId w:val="5"/>
  </w:num>
  <w:num w:numId="18" w16cid:durableId="244188712">
    <w:abstractNumId w:val="10"/>
  </w:num>
  <w:num w:numId="19" w16cid:durableId="52386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5DE"/>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4A85"/>
    <w:rsid w:val="000B7715"/>
    <w:rsid w:val="000C70AA"/>
    <w:rsid w:val="000D511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DD7"/>
    <w:rsid w:val="001860B9"/>
    <w:rsid w:val="00186F2B"/>
    <w:rsid w:val="001874D6"/>
    <w:rsid w:val="0019632A"/>
    <w:rsid w:val="001A4E7C"/>
    <w:rsid w:val="001B1EB3"/>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2451"/>
    <w:rsid w:val="002756CC"/>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6307"/>
    <w:rsid w:val="002F7818"/>
    <w:rsid w:val="003066D0"/>
    <w:rsid w:val="00311401"/>
    <w:rsid w:val="003203D7"/>
    <w:rsid w:val="00320F86"/>
    <w:rsid w:val="00323B78"/>
    <w:rsid w:val="00324171"/>
    <w:rsid w:val="00326C24"/>
    <w:rsid w:val="00337F99"/>
    <w:rsid w:val="0034307B"/>
    <w:rsid w:val="00345EB1"/>
    <w:rsid w:val="00350CC4"/>
    <w:rsid w:val="00360E0D"/>
    <w:rsid w:val="0036203D"/>
    <w:rsid w:val="0036357D"/>
    <w:rsid w:val="00363B23"/>
    <w:rsid w:val="0036594C"/>
    <w:rsid w:val="00367D19"/>
    <w:rsid w:val="00371BED"/>
    <w:rsid w:val="00384019"/>
    <w:rsid w:val="003854F1"/>
    <w:rsid w:val="0039118E"/>
    <w:rsid w:val="00392EE6"/>
    <w:rsid w:val="00397F54"/>
    <w:rsid w:val="003A0D43"/>
    <w:rsid w:val="003B2A4B"/>
    <w:rsid w:val="003B310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1378"/>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7CC2"/>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2130"/>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C6E"/>
    <w:rsid w:val="006EF89C"/>
    <w:rsid w:val="006F0D7E"/>
    <w:rsid w:val="00710B77"/>
    <w:rsid w:val="0072075B"/>
    <w:rsid w:val="007221C2"/>
    <w:rsid w:val="00725816"/>
    <w:rsid w:val="00730955"/>
    <w:rsid w:val="00733A9C"/>
    <w:rsid w:val="00734B91"/>
    <w:rsid w:val="00736574"/>
    <w:rsid w:val="007367E0"/>
    <w:rsid w:val="00737215"/>
    <w:rsid w:val="0074086A"/>
    <w:rsid w:val="00754905"/>
    <w:rsid w:val="00756343"/>
    <w:rsid w:val="00760038"/>
    <w:rsid w:val="00762EE0"/>
    <w:rsid w:val="00765C41"/>
    <w:rsid w:val="00766452"/>
    <w:rsid w:val="00771100"/>
    <w:rsid w:val="007759DD"/>
    <w:rsid w:val="0078609F"/>
    <w:rsid w:val="007917BA"/>
    <w:rsid w:val="007A5C6F"/>
    <w:rsid w:val="007C15DE"/>
    <w:rsid w:val="007D4241"/>
    <w:rsid w:val="007D4317"/>
    <w:rsid w:val="007D4EA3"/>
    <w:rsid w:val="007F1CFF"/>
    <w:rsid w:val="007F5DD5"/>
    <w:rsid w:val="008212B4"/>
    <w:rsid w:val="00821A1B"/>
    <w:rsid w:val="008262E9"/>
    <w:rsid w:val="00827E69"/>
    <w:rsid w:val="00835C4D"/>
    <w:rsid w:val="00843F48"/>
    <w:rsid w:val="00851423"/>
    <w:rsid w:val="00857848"/>
    <w:rsid w:val="008654B6"/>
    <w:rsid w:val="0087139C"/>
    <w:rsid w:val="0087296D"/>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2F84"/>
    <w:rsid w:val="00992FE9"/>
    <w:rsid w:val="009A053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92B"/>
    <w:rsid w:val="00A61453"/>
    <w:rsid w:val="00A65FD4"/>
    <w:rsid w:val="00A81198"/>
    <w:rsid w:val="00A81E48"/>
    <w:rsid w:val="00A82035"/>
    <w:rsid w:val="00A90D77"/>
    <w:rsid w:val="00A91DED"/>
    <w:rsid w:val="00A92E07"/>
    <w:rsid w:val="00AA0B3A"/>
    <w:rsid w:val="00AA6EB4"/>
    <w:rsid w:val="00AA767D"/>
    <w:rsid w:val="00AB0CC9"/>
    <w:rsid w:val="00AC3FF6"/>
    <w:rsid w:val="00AC5452"/>
    <w:rsid w:val="00AD73EC"/>
    <w:rsid w:val="00AE5BC7"/>
    <w:rsid w:val="00AF267D"/>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A91"/>
    <w:rsid w:val="00B92C14"/>
    <w:rsid w:val="00BA0066"/>
    <w:rsid w:val="00BB69DB"/>
    <w:rsid w:val="00BC322E"/>
    <w:rsid w:val="00BC44CD"/>
    <w:rsid w:val="00BC48A6"/>
    <w:rsid w:val="00BE7978"/>
    <w:rsid w:val="00BF3646"/>
    <w:rsid w:val="00C07DDB"/>
    <w:rsid w:val="00C12305"/>
    <w:rsid w:val="00C4115D"/>
    <w:rsid w:val="00C43BDD"/>
    <w:rsid w:val="00C47778"/>
    <w:rsid w:val="00C5011E"/>
    <w:rsid w:val="00C50EE5"/>
    <w:rsid w:val="00C5240A"/>
    <w:rsid w:val="00C5398F"/>
    <w:rsid w:val="00C556F5"/>
    <w:rsid w:val="00C70E19"/>
    <w:rsid w:val="00C72574"/>
    <w:rsid w:val="00C7430C"/>
    <w:rsid w:val="00C77AB9"/>
    <w:rsid w:val="00C85DA1"/>
    <w:rsid w:val="00C9071C"/>
    <w:rsid w:val="00C908FF"/>
    <w:rsid w:val="00C97BD3"/>
    <w:rsid w:val="00CA39EF"/>
    <w:rsid w:val="00CA521F"/>
    <w:rsid w:val="00CB0493"/>
    <w:rsid w:val="00CB17FF"/>
    <w:rsid w:val="00CB1ED7"/>
    <w:rsid w:val="00CC004F"/>
    <w:rsid w:val="00CC167C"/>
    <w:rsid w:val="00CC40F9"/>
    <w:rsid w:val="00CC52D9"/>
    <w:rsid w:val="00CD6647"/>
    <w:rsid w:val="00CE4B73"/>
    <w:rsid w:val="00CF70BB"/>
    <w:rsid w:val="00D074DB"/>
    <w:rsid w:val="00D139CF"/>
    <w:rsid w:val="00D37E7F"/>
    <w:rsid w:val="00D47AD7"/>
    <w:rsid w:val="00D51529"/>
    <w:rsid w:val="00D85218"/>
    <w:rsid w:val="00D915B1"/>
    <w:rsid w:val="00D9432B"/>
    <w:rsid w:val="00DA299D"/>
    <w:rsid w:val="00DA65C4"/>
    <w:rsid w:val="00DD2BE0"/>
    <w:rsid w:val="00DE4447"/>
    <w:rsid w:val="00DE5DA2"/>
    <w:rsid w:val="00DF0033"/>
    <w:rsid w:val="00DF503E"/>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8F8"/>
    <w:rsid w:val="00F136C9"/>
    <w:rsid w:val="00F15FF9"/>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D69AE"/>
    <w:rsid w:val="00FE12D8"/>
    <w:rsid w:val="00FF7C02"/>
    <w:rsid w:val="024801E3"/>
    <w:rsid w:val="04D0A49C"/>
    <w:rsid w:val="071648D3"/>
    <w:rsid w:val="078CDDB7"/>
    <w:rsid w:val="0808455E"/>
    <w:rsid w:val="087A0A81"/>
    <w:rsid w:val="0914D14A"/>
    <w:rsid w:val="0B3FE620"/>
    <w:rsid w:val="0BB1AB43"/>
    <w:rsid w:val="0C208FEA"/>
    <w:rsid w:val="0CA56E36"/>
    <w:rsid w:val="0CDBB681"/>
    <w:rsid w:val="0CF948F1"/>
    <w:rsid w:val="0D6955B3"/>
    <w:rsid w:val="0D6F41F9"/>
    <w:rsid w:val="11AF27A4"/>
    <w:rsid w:val="168A864D"/>
    <w:rsid w:val="16E32313"/>
    <w:rsid w:val="1A166CA2"/>
    <w:rsid w:val="1BD8D48B"/>
    <w:rsid w:val="1C27ADB6"/>
    <w:rsid w:val="1C4E89E7"/>
    <w:rsid w:val="202890EC"/>
    <w:rsid w:val="21739545"/>
    <w:rsid w:val="254DC0F4"/>
    <w:rsid w:val="2FF81BB5"/>
    <w:rsid w:val="305F12D6"/>
    <w:rsid w:val="312226F3"/>
    <w:rsid w:val="34CB8CD8"/>
    <w:rsid w:val="380C4592"/>
    <w:rsid w:val="3A7DC109"/>
    <w:rsid w:val="3B656DFE"/>
    <w:rsid w:val="3C5E4DD5"/>
    <w:rsid w:val="3CBD7660"/>
    <w:rsid w:val="3F8351FF"/>
    <w:rsid w:val="407D2426"/>
    <w:rsid w:val="40E8DA15"/>
    <w:rsid w:val="4218F487"/>
    <w:rsid w:val="46E65676"/>
    <w:rsid w:val="499BF968"/>
    <w:rsid w:val="4DD0319D"/>
    <w:rsid w:val="4E495AED"/>
    <w:rsid w:val="4FD54E96"/>
    <w:rsid w:val="4FE52B4E"/>
    <w:rsid w:val="51870AE3"/>
    <w:rsid w:val="56FC7A40"/>
    <w:rsid w:val="57551706"/>
    <w:rsid w:val="59343D9F"/>
    <w:rsid w:val="5C288829"/>
    <w:rsid w:val="5D1C4B1C"/>
    <w:rsid w:val="61840650"/>
    <w:rsid w:val="63C9C271"/>
    <w:rsid w:val="64339A0E"/>
    <w:rsid w:val="647B2B65"/>
    <w:rsid w:val="679568AB"/>
    <w:rsid w:val="699585EC"/>
    <w:rsid w:val="6A522C52"/>
    <w:rsid w:val="6B2CF8ED"/>
    <w:rsid w:val="6DA1538D"/>
    <w:rsid w:val="6F259D75"/>
    <w:rsid w:val="6F3D23EE"/>
    <w:rsid w:val="70A84579"/>
    <w:rsid w:val="70C90052"/>
    <w:rsid w:val="7144AA3E"/>
    <w:rsid w:val="723C294F"/>
    <w:rsid w:val="7337D8CD"/>
    <w:rsid w:val="7381B000"/>
    <w:rsid w:val="7451AB5E"/>
    <w:rsid w:val="752B0A41"/>
    <w:rsid w:val="75497F96"/>
    <w:rsid w:val="75ED7BBF"/>
    <w:rsid w:val="76E6A939"/>
    <w:rsid w:val="789D7BAE"/>
    <w:rsid w:val="7E7F81D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7AA5416-8CDC-41CD-810F-ADFAA282A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g" Id="rId18" /><Relationship Type="http://schemas.openxmlformats.org/officeDocument/2006/relationships/image" Target="media/image7.jp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6.jp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image" Target="media/image5.jp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4</Pages>
  <Words>827</Words>
  <Characters>4389</Characters>
  <Application>Microsoft Office Word</Application>
  <DocSecurity>0</DocSecurity>
  <Lines>36</Lines>
  <Paragraphs>10</Paragraphs>
  <ScaleCrop>false</ScaleCrop>
  <Manager/>
  <Company/>
  <LinksUpToDate>false</LinksUpToDate>
  <CharactersWithSpaces>5206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ROTEM (tromboelastografi) vid trauma</dc:title>
  <dc:subject/>
  <dc:creator>patrik.jens.johansson@vgregion.se</dc:creator>
  <keywords/>
  <lastModifiedBy>Annette Verlinden</lastModifiedBy>
  <revision>41</revision>
  <lastPrinted>2016-04-01T04:56:00.0000000Z</lastPrinted>
  <dcterms:created xsi:type="dcterms:W3CDTF">2022-06-07T07:25:00.0000000Z</dcterms:created>
  <dcterms:modified xsi:type="dcterms:W3CDTF">2024-05-28T12:04:00.0000000Z</dcterms:modified>
</coreProperties>
</file>