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7DAD86" w14:textId="77777777" w:rsidR="00C774CD" w:rsidRDefault="00C774CD" w:rsidP="00B868CC">
      <w:pPr>
        <w:pStyle w:val="Omslagsrubrik"/>
      </w:pPr>
      <w:bookmarkStart w:id="0" w:name="_Toc321146591"/>
      <w:r>
        <w:t>Multiorgan donation MOD - anestesirutin</w:t>
      </w:r>
    </w:p>
    <w:p w14:paraId="57531E2D" w14:textId="77777777" w:rsidR="00DF5630" w:rsidRDefault="00DF5630" w:rsidP="00F35B05">
      <w:pPr>
        <w:pStyle w:val="Rubrik2"/>
        <w:sectPr w:rsidR="00DF5630" w:rsidSect="00DF563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2AB98814" w14:textId="5457E7B3" w:rsidR="00DF5630" w:rsidRPr="008746F4" w:rsidRDefault="00DF5630" w:rsidP="008746F4">
      <w:pPr>
        <w:pStyle w:val="Rubrik2"/>
      </w:pPr>
      <w:bookmarkStart w:id="1" w:name="_Hlk133914149"/>
      <w:r w:rsidRPr="008746F4">
        <w:t>Revideringar i denna version</w:t>
      </w:r>
    </w:p>
    <w:bookmarkEnd w:id="1"/>
    <w:p w14:paraId="45C0AA21" w14:textId="090722FE" w:rsidR="00DF5630" w:rsidRPr="001A41C0" w:rsidRDefault="003846FA" w:rsidP="00DF5630">
      <w:pPr>
        <w:spacing w:after="0" w:line="240" w:lineRule="auto"/>
        <w:ind w:right="0"/>
      </w:pPr>
      <w:r>
        <w:t xml:space="preserve">230602 </w:t>
      </w:r>
      <w:r w:rsidR="00DF5630" w:rsidRPr="001A41C0">
        <w:t xml:space="preserve">Reviderad </w:t>
      </w:r>
      <w:r w:rsidR="00866D2A">
        <w:t>efter riktlinjer i nationella donationspärmen (se länk i kunskap</w:t>
      </w:r>
      <w:r>
        <w:t>s</w:t>
      </w:r>
      <w:r w:rsidR="00866D2A">
        <w:t>översikt)</w:t>
      </w:r>
    </w:p>
    <w:p w14:paraId="15334103" w14:textId="146F01F8" w:rsidR="00DF5630" w:rsidRDefault="00DF5630" w:rsidP="00B868CC">
      <w:pPr>
        <w:pStyle w:val="Rubrik2"/>
      </w:pPr>
      <w:r w:rsidRPr="00E63BF6">
        <w:t>Arbetsbeskrivning</w:t>
      </w:r>
    </w:p>
    <w:p w14:paraId="22A1F150" w14:textId="20B99FDA" w:rsidR="00B868CC" w:rsidRDefault="00634838" w:rsidP="00634838">
      <w:pPr>
        <w:pStyle w:val="Rubrik3"/>
      </w:pPr>
      <w:r>
        <w:t>Anestesi</w:t>
      </w:r>
    </w:p>
    <w:p w14:paraId="20D24EB3" w14:textId="6CC5D5E6" w:rsidR="009A5461" w:rsidRDefault="00634838" w:rsidP="00634838">
      <w:r>
        <w:t>Intuberad eller trach</w:t>
      </w:r>
      <w:r w:rsidR="008746F4">
        <w:t>eotomerad</w:t>
      </w:r>
      <w:r>
        <w:t xml:space="preserve"> </w:t>
      </w:r>
      <w:r w:rsidR="0024199C">
        <w:t>från IVA</w:t>
      </w:r>
    </w:p>
    <w:p w14:paraId="1A86B855" w14:textId="4B26CA1D" w:rsidR="0024199C" w:rsidRDefault="0024199C" w:rsidP="00D66E9C">
      <w:pPr>
        <w:pStyle w:val="Rubrik3"/>
      </w:pPr>
      <w:r>
        <w:t>Underhåll</w:t>
      </w:r>
    </w:p>
    <w:p w14:paraId="418B07A3" w14:textId="40B4C541" w:rsidR="00D66E9C" w:rsidRDefault="00B66139" w:rsidP="00D66E9C">
      <w:r>
        <w:t>Sevoflurane (+</w:t>
      </w:r>
      <w:r w:rsidR="000D5E28">
        <w:t xml:space="preserve">ev. </w:t>
      </w:r>
      <w:r>
        <w:t>Fentanyl</w:t>
      </w:r>
      <w:r w:rsidR="000D5E28">
        <w:t>)</w:t>
      </w:r>
      <w:r w:rsidR="00A31EDD">
        <w:t xml:space="preserve"> </w:t>
      </w:r>
      <w:r w:rsidR="000D5E28">
        <w:t xml:space="preserve">om höga </w:t>
      </w:r>
      <w:r w:rsidR="000C48E9">
        <w:t xml:space="preserve">blodtrycksvärden, rocuronium (pga </w:t>
      </w:r>
      <w:r w:rsidR="001E3F6C">
        <w:t>spinala reflexer)</w:t>
      </w:r>
    </w:p>
    <w:p w14:paraId="1D3A4725" w14:textId="0F1679E9" w:rsidR="009425CE" w:rsidRDefault="008A177D" w:rsidP="00296408">
      <w:pPr>
        <w:pStyle w:val="Rubrik3"/>
      </w:pPr>
      <w:r>
        <w:t>L</w:t>
      </w:r>
      <w:r w:rsidR="00303DC2">
        <w:t>äkemedel</w:t>
      </w:r>
    </w:p>
    <w:p w14:paraId="7BC286C8" w14:textId="77777777" w:rsidR="00FD4A9B" w:rsidRDefault="00FD4A9B" w:rsidP="007600C3">
      <w:pPr>
        <w:pStyle w:val="Liststycke"/>
        <w:numPr>
          <w:ilvl w:val="0"/>
          <w:numId w:val="22"/>
        </w:numPr>
        <w:sectPr w:rsidR="00FD4A9B" w:rsidSect="002B1542">
          <w:type w:val="continuous"/>
          <w:pgSz w:w="11900" w:h="16840"/>
          <w:pgMar w:top="1418" w:right="1418" w:bottom="1276" w:left="1418" w:header="284" w:footer="743" w:gutter="0"/>
          <w:cols w:space="708"/>
          <w:noEndnote/>
          <w:titlePg/>
          <w:docGrid w:linePitch="326"/>
        </w:sectPr>
      </w:pPr>
    </w:p>
    <w:p w14:paraId="1B1FAC1E" w14:textId="612E1221" w:rsidR="004F657D" w:rsidRDefault="004F657D" w:rsidP="007600C3">
      <w:pPr>
        <w:pStyle w:val="Liststycke"/>
        <w:numPr>
          <w:ilvl w:val="0"/>
          <w:numId w:val="22"/>
        </w:numPr>
      </w:pPr>
      <w:r>
        <w:t xml:space="preserve">Mannitol 200 ml i.v. </w:t>
      </w:r>
      <w:r w:rsidR="00F830C7">
        <w:t>(</w:t>
      </w:r>
      <w:r w:rsidR="00653EA4">
        <w:t>ordineras av operatör)</w:t>
      </w:r>
    </w:p>
    <w:p w14:paraId="16F000B3" w14:textId="7487C76E" w:rsidR="00E73F0A" w:rsidRDefault="00E73F0A" w:rsidP="007600C3">
      <w:pPr>
        <w:pStyle w:val="Liststycke"/>
        <w:numPr>
          <w:ilvl w:val="0"/>
          <w:numId w:val="22"/>
        </w:numPr>
      </w:pPr>
      <w:r>
        <w:t xml:space="preserve">Heparin 400ml </w:t>
      </w:r>
      <w:r w:rsidR="004722E7">
        <w:t xml:space="preserve">/kg </w:t>
      </w:r>
      <w:r>
        <w:t xml:space="preserve">(ordineras av </w:t>
      </w:r>
      <w:r w:rsidR="00F830C7">
        <w:t>operatör</w:t>
      </w:r>
      <w:r>
        <w:t>)</w:t>
      </w:r>
    </w:p>
    <w:p w14:paraId="590104FA" w14:textId="7BFF3FD8" w:rsidR="008F7669" w:rsidRDefault="008F7669" w:rsidP="007600C3">
      <w:pPr>
        <w:pStyle w:val="Liststycke"/>
        <w:numPr>
          <w:ilvl w:val="0"/>
          <w:numId w:val="22"/>
        </w:numPr>
      </w:pPr>
      <w:r>
        <w:t>Efedrin</w:t>
      </w:r>
    </w:p>
    <w:p w14:paraId="024AEECA" w14:textId="5280758F" w:rsidR="008F7669" w:rsidRDefault="008F7669" w:rsidP="007600C3">
      <w:pPr>
        <w:pStyle w:val="Liststycke"/>
        <w:numPr>
          <w:ilvl w:val="0"/>
          <w:numId w:val="22"/>
        </w:numPr>
      </w:pPr>
      <w:r>
        <w:t>Fenylefrin</w:t>
      </w:r>
    </w:p>
    <w:p w14:paraId="75B91B4D" w14:textId="4A554DDF" w:rsidR="008F7669" w:rsidRDefault="008F7669" w:rsidP="007600C3">
      <w:pPr>
        <w:pStyle w:val="Liststycke"/>
        <w:numPr>
          <w:ilvl w:val="0"/>
          <w:numId w:val="22"/>
        </w:numPr>
      </w:pPr>
      <w:r>
        <w:t>Infusion noradrenalin</w:t>
      </w:r>
    </w:p>
    <w:p w14:paraId="25F76290" w14:textId="3288877D" w:rsidR="008F7669" w:rsidRDefault="007600C3" w:rsidP="007600C3">
      <w:pPr>
        <w:pStyle w:val="Liststycke"/>
        <w:numPr>
          <w:ilvl w:val="0"/>
          <w:numId w:val="22"/>
        </w:numPr>
      </w:pPr>
      <w:r>
        <w:t>Metoprolol (på sal)</w:t>
      </w:r>
    </w:p>
    <w:p w14:paraId="17B26745" w14:textId="759B8608" w:rsidR="00653EA4" w:rsidRDefault="007600C3" w:rsidP="00653EA4">
      <w:pPr>
        <w:pStyle w:val="Liststycke"/>
        <w:numPr>
          <w:ilvl w:val="0"/>
          <w:numId w:val="22"/>
        </w:numPr>
        <w:sectPr w:rsidR="00653EA4" w:rsidSect="00653EA4">
          <w:type w:val="continuous"/>
          <w:pgSz w:w="11900" w:h="16840"/>
          <w:pgMar w:top="1418" w:right="1418" w:bottom="1276" w:left="1418" w:header="284" w:footer="743" w:gutter="0"/>
          <w:cols w:num="2" w:space="708"/>
          <w:noEndnote/>
          <w:titlePg/>
          <w:docGrid w:linePitch="326"/>
        </w:sectPr>
      </w:pPr>
      <w:r>
        <w:t>Adrenlin (på sal)</w:t>
      </w:r>
    </w:p>
    <w:p w14:paraId="261FA7B9" w14:textId="56B96660" w:rsidR="007640F9" w:rsidRDefault="007640F9" w:rsidP="00653EA4">
      <w:r>
        <w:t xml:space="preserve">Mannitol </w:t>
      </w:r>
      <w:r>
        <w:t>b</w:t>
      </w:r>
      <w:r>
        <w:t>inder bla fria syreradikaler i organen. Heparin</w:t>
      </w:r>
      <w:r w:rsidR="00F830C7">
        <w:t xml:space="preserve"> </w:t>
      </w:r>
      <w:r w:rsidR="004722E7">
        <w:t>ges innan katetra</w:t>
      </w:r>
      <w:r w:rsidR="00F830C7">
        <w:t>r för spolning av organ läggs in.</w:t>
      </w:r>
    </w:p>
    <w:p w14:paraId="70B99506" w14:textId="77777777" w:rsidR="00F96D81" w:rsidRPr="00FD4A9B" w:rsidRDefault="00F96D81" w:rsidP="00FD4A9B">
      <w:pPr>
        <w:sectPr w:rsidR="00F96D81" w:rsidRPr="00FD4A9B" w:rsidSect="007640F9">
          <w:type w:val="continuous"/>
          <w:pgSz w:w="11900" w:h="16840"/>
          <w:pgMar w:top="1418" w:right="1418" w:bottom="1276" w:left="1418" w:header="284" w:footer="743" w:gutter="0"/>
          <w:cols w:space="708"/>
          <w:noEndnote/>
          <w:titlePg/>
          <w:docGrid w:linePitch="326"/>
        </w:sectPr>
      </w:pPr>
    </w:p>
    <w:p w14:paraId="6811C1D3" w14:textId="77777777" w:rsidR="00237CA1" w:rsidRDefault="00237CA1" w:rsidP="007600C3">
      <w:pPr>
        <w:pStyle w:val="Rubrik3"/>
      </w:pPr>
      <w:r>
        <w:t>Monitorering</w:t>
      </w:r>
    </w:p>
    <w:p w14:paraId="686A4791" w14:textId="68D474EC" w:rsidR="00237CA1" w:rsidRDefault="00237CA1" w:rsidP="00130AA3">
      <w:pPr>
        <w:pStyle w:val="Liststycke"/>
        <w:numPr>
          <w:ilvl w:val="0"/>
          <w:numId w:val="27"/>
        </w:numPr>
      </w:pPr>
      <w:r>
        <w:t>3 avl EKG</w:t>
      </w:r>
    </w:p>
    <w:p w14:paraId="25B60399" w14:textId="686DB040" w:rsidR="00130AA3" w:rsidRDefault="00130AA3" w:rsidP="00130AA3">
      <w:pPr>
        <w:pStyle w:val="Liststycke"/>
        <w:numPr>
          <w:ilvl w:val="0"/>
          <w:numId w:val="27"/>
        </w:numPr>
      </w:pPr>
      <w:r>
        <w:t>ABT/MAP</w:t>
      </w:r>
    </w:p>
    <w:p w14:paraId="2CFC515F" w14:textId="42092E64" w:rsidR="002A453A" w:rsidRDefault="002A453A" w:rsidP="00130AA3">
      <w:pPr>
        <w:pStyle w:val="Liststycke"/>
        <w:numPr>
          <w:ilvl w:val="0"/>
          <w:numId w:val="27"/>
        </w:numPr>
      </w:pPr>
      <w:r>
        <w:t>CVP</w:t>
      </w:r>
    </w:p>
    <w:p w14:paraId="073929A5" w14:textId="6E7E352E" w:rsidR="002A453A" w:rsidRDefault="002A453A" w:rsidP="00130AA3">
      <w:pPr>
        <w:pStyle w:val="Liststycke"/>
        <w:numPr>
          <w:ilvl w:val="0"/>
          <w:numId w:val="27"/>
        </w:numPr>
      </w:pPr>
      <w:r>
        <w:t>Ev Picco/TEE vid h</w:t>
      </w:r>
      <w:r w:rsidR="00773615">
        <w:t>järttransplantation</w:t>
      </w:r>
    </w:p>
    <w:p w14:paraId="1079BC1E" w14:textId="23B8B2BC" w:rsidR="00130AA3" w:rsidRDefault="00130AA3" w:rsidP="00130AA3">
      <w:pPr>
        <w:pStyle w:val="Liststycke"/>
        <w:numPr>
          <w:ilvl w:val="0"/>
          <w:numId w:val="27"/>
        </w:numPr>
      </w:pPr>
      <w:r>
        <w:t>Temperatur</w:t>
      </w:r>
    </w:p>
    <w:p w14:paraId="5EC7F056" w14:textId="2EA4CF9D" w:rsidR="00773615" w:rsidRDefault="00773615" w:rsidP="00130AA3">
      <w:pPr>
        <w:pStyle w:val="Liststycke"/>
        <w:numPr>
          <w:ilvl w:val="0"/>
          <w:numId w:val="27"/>
        </w:numPr>
      </w:pPr>
      <w:r>
        <w:t>Timdiures</w:t>
      </w:r>
    </w:p>
    <w:p w14:paraId="407CB7BD" w14:textId="77777777" w:rsidR="00130AA3" w:rsidRDefault="00130AA3" w:rsidP="00237CA1"/>
    <w:p w14:paraId="4B61CBF8" w14:textId="0C45AF7F" w:rsidR="007600C3" w:rsidRDefault="007600C3" w:rsidP="007600C3">
      <w:pPr>
        <w:pStyle w:val="Rubrik3"/>
      </w:pPr>
      <w:r>
        <w:t>Värmemetod</w:t>
      </w:r>
    </w:p>
    <w:p w14:paraId="791CE8FD" w14:textId="6EEC318B" w:rsidR="00A81B9A" w:rsidRDefault="00B25BF4" w:rsidP="00B25BF4">
      <w:r>
        <w:t>Warmcloud – madrass. OBS! Sänk temperatur på madrassen till 20 grader en stund innan spolning av organen. Måltemp</w:t>
      </w:r>
      <w:r w:rsidR="008B717B">
        <w:t>eratur på donatorn är 35,5 till 38˚C.</w:t>
      </w:r>
      <w:r w:rsidR="00A81B9A">
        <w:t xml:space="preserve"> vg </w:t>
      </w:r>
      <w:r w:rsidR="00CD5740">
        <w:t>läs nedan</w:t>
      </w:r>
      <w:r w:rsidR="00A81B9A">
        <w:t xml:space="preserve"> under Anestesiologiska beaktanden</w:t>
      </w:r>
      <w:r w:rsidR="00CD5740">
        <w:t>, rubrik Temperatur.</w:t>
      </w:r>
    </w:p>
    <w:p w14:paraId="3795A1D0" w14:textId="2EF3E197" w:rsidR="00C54BEA" w:rsidRDefault="00C54BEA" w:rsidP="00C54BEA">
      <w:pPr>
        <w:pStyle w:val="Rubrik3"/>
      </w:pPr>
      <w:r>
        <w:t>Infarter/utfarter</w:t>
      </w:r>
    </w:p>
    <w:p w14:paraId="4190559E" w14:textId="03883EDE" w:rsidR="00330AC8" w:rsidRDefault="00330AC8" w:rsidP="00330AC8">
      <w:r>
        <w:t xml:space="preserve">PVK 2st </w:t>
      </w:r>
      <w:r w:rsidR="00686D9C">
        <w:t xml:space="preserve">(&gt;1.5) Förlängning på dessa </w:t>
      </w:r>
      <w:r w:rsidR="00107579">
        <w:t>om</w:t>
      </w:r>
      <w:r w:rsidR="00686D9C">
        <w:t xml:space="preserve"> armarna bäddas in</w:t>
      </w:r>
    </w:p>
    <w:p w14:paraId="1EA7316A" w14:textId="33EAE9EE" w:rsidR="00686D9C" w:rsidRDefault="00686D9C" w:rsidP="00330AC8">
      <w:r>
        <w:t>Artärnål</w:t>
      </w:r>
    </w:p>
    <w:p w14:paraId="3759058F" w14:textId="360109B1" w:rsidR="00686D9C" w:rsidRDefault="00686D9C" w:rsidP="00330AC8">
      <w:r>
        <w:t>KAD</w:t>
      </w:r>
    </w:p>
    <w:p w14:paraId="222AD9D7" w14:textId="45893611" w:rsidR="001D66B7" w:rsidRDefault="001D66B7" w:rsidP="00330AC8">
      <w:r>
        <w:t>CVK</w:t>
      </w:r>
    </w:p>
    <w:p w14:paraId="76E88BC1" w14:textId="77777777" w:rsidR="00882360" w:rsidRDefault="00882360" w:rsidP="00882360">
      <w:pPr>
        <w:pStyle w:val="Rubrik3"/>
      </w:pPr>
      <w:r>
        <w:t>Övrigt</w:t>
      </w:r>
    </w:p>
    <w:p w14:paraId="524663D2" w14:textId="77777777" w:rsidR="00882360" w:rsidRDefault="00882360" w:rsidP="00882360">
      <w:pPr>
        <w:pStyle w:val="Liststycke"/>
        <w:numPr>
          <w:ilvl w:val="0"/>
          <w:numId w:val="23"/>
        </w:numPr>
      </w:pPr>
      <w:r>
        <w:t>Blodvärmare på sal</w:t>
      </w:r>
    </w:p>
    <w:p w14:paraId="5EDD9D4D" w14:textId="558A6C98" w:rsidR="00882360" w:rsidRDefault="00882360" w:rsidP="00330AC8">
      <w:pPr>
        <w:pStyle w:val="Liststycke"/>
        <w:numPr>
          <w:ilvl w:val="0"/>
          <w:numId w:val="23"/>
        </w:numPr>
      </w:pPr>
      <w:r w:rsidRPr="00374595">
        <w:t>ID-band på fotled då samtliga team på salen ska kunna se det och identifiera patienten</w:t>
      </w:r>
    </w:p>
    <w:p w14:paraId="6AD3487A" w14:textId="2ED150E2" w:rsidR="001D66B7" w:rsidRDefault="001D66B7" w:rsidP="001D66B7">
      <w:pPr>
        <w:pStyle w:val="Rubrik3"/>
      </w:pPr>
      <w:r>
        <w:t>Blodrekvisering</w:t>
      </w:r>
    </w:p>
    <w:p w14:paraId="403B6132" w14:textId="63E59939" w:rsidR="001D66B7" w:rsidRDefault="001D66B7" w:rsidP="001D66B7">
      <w:r w:rsidRPr="00DF17C6">
        <w:t>IVA beställer 2 enheter blod. Ombesörj så att de kommer till blodkyl på operationsavdelningen</w:t>
      </w:r>
      <w:r>
        <w:t>.</w:t>
      </w:r>
    </w:p>
    <w:p w14:paraId="397764D2" w14:textId="066D60E9" w:rsidR="001D66B7" w:rsidRDefault="001D66B7" w:rsidP="001D66B7">
      <w:pPr>
        <w:pStyle w:val="Rubrik3"/>
      </w:pPr>
      <w:r>
        <w:t>Antibiotikaproflylax</w:t>
      </w:r>
    </w:p>
    <w:p w14:paraId="6BCAF1DA" w14:textId="6C4D780B" w:rsidR="001D66B7" w:rsidRDefault="001D66B7" w:rsidP="001D66B7">
      <w:r>
        <w:t xml:space="preserve">Se läkemedelsmodul </w:t>
      </w:r>
      <w:r w:rsidR="00107579">
        <w:t>i</w:t>
      </w:r>
      <w:r>
        <w:t xml:space="preserve"> Melior alternativt NIVA-kurva.</w:t>
      </w:r>
    </w:p>
    <w:p w14:paraId="36CE44A9" w14:textId="1E912EE8" w:rsidR="001D66B7" w:rsidRDefault="00EB0B6B" w:rsidP="00EB0B6B">
      <w:pPr>
        <w:pStyle w:val="Rubrik2"/>
      </w:pPr>
      <w:r>
        <w:t>Anestesiologiska beaktanden</w:t>
      </w:r>
    </w:p>
    <w:p w14:paraId="737AB818" w14:textId="060CB9D2" w:rsidR="00EB0B6B" w:rsidRPr="001A41C0" w:rsidRDefault="00EB0B6B" w:rsidP="00EB0B6B">
      <w:r w:rsidRPr="001A41C0">
        <w:t>Bakgrunden till att anestesiologisk intervention krävs är de bevarade spinalreflexerna och bevarad funktion i binjurar. Detta leder till att motoriska spinala reflexer kan förekomma, dvs rörelser i thorax/buk/extremiteter, samt att blodtryck och puls kan spinalt reagera på exempelvis kirurgiskt stimuli. Donatorer kan sålunda ha ett kraftigt pendlande blodtryck och kräver hög närvaro av anestesiläkare på sal innan cirkulationen är upphävd. Någon ”sövning” i vanlig mening sker inte då donatorn är avliden, men de läkemedel som används är i stort sett de samma och används för att reglera blocktryck/puls samt förebygga spinala reflexer.</w:t>
      </w:r>
    </w:p>
    <w:p w14:paraId="45F557AC" w14:textId="383B0189" w:rsidR="00EB0B6B" w:rsidRPr="001A41C0" w:rsidRDefault="00EB0B6B" w:rsidP="00EB0B6B">
      <w:r w:rsidRPr="001A41C0">
        <w:t xml:space="preserve">Var vaksam på diabetes insipidus och överväg behandling med Minirin om det skulle tillstöta. Följ elektrolyter och b-glc noggrant. </w:t>
      </w:r>
    </w:p>
    <w:p w14:paraId="70312B23" w14:textId="31414FFB" w:rsidR="00EB0B6B" w:rsidRPr="00DF17C6" w:rsidRDefault="00EB0B6B" w:rsidP="00EB0B6B">
      <w:r w:rsidRPr="00DF17C6">
        <w:t>Efter att spolning av organen startats kan respiratorn oftast stängas av men det sker i samråd med operatör. Om lungorna ska omhändertas kan respiratorn behöva vara på ett tag till. När respiratorn är avstängd</w:t>
      </w:r>
    </w:p>
    <w:p w14:paraId="7E875029" w14:textId="0D148E35" w:rsidR="00EB0B6B" w:rsidRPr="001A41C0" w:rsidRDefault="00EB0B6B" w:rsidP="00EB0B6B">
      <w:r w:rsidRPr="00DF17C6">
        <w:lastRenderedPageBreak/>
        <w:t>kan anestesipersonalen lämna salen (i samråd med operationspersonalen) och återkomma innan operationen avslutas.</w:t>
      </w:r>
    </w:p>
    <w:p w14:paraId="5D8378A8" w14:textId="77777777" w:rsidR="00EB0B6B" w:rsidRDefault="00EB0B6B" w:rsidP="00EB0B6B">
      <w:r w:rsidRPr="001A41C0">
        <w:t>Efter avslutad operation sutureras och läggs förband som vanligt Patienten extuberas och V-sonden tas bort. Övriga kanyler och katetrar tas bort.</w:t>
      </w:r>
    </w:p>
    <w:p w14:paraId="0F6667E3" w14:textId="29AFEF7E" w:rsidR="00EB0B6B" w:rsidRPr="00EB0B6B" w:rsidRDefault="00EB0B6B" w:rsidP="00EB0B6B">
      <w:r w:rsidRPr="00FC138A">
        <w:t xml:space="preserve">OBS! </w:t>
      </w:r>
      <w:r>
        <w:t>o</w:t>
      </w:r>
      <w:r w:rsidRPr="00FC138A">
        <w:t>m rättsmedicinsk undersökning, följ polisen/rättsmedicins direktiv angående avlägsnande av katetrar. I de flesta fall kvarlämnas samtliga kanyler och katetrar.</w:t>
      </w:r>
    </w:p>
    <w:p w14:paraId="1C58E36C" w14:textId="630D9245" w:rsidR="00DF5630" w:rsidRPr="00D755F7" w:rsidRDefault="00DF5630" w:rsidP="00EB0B6B">
      <w:pPr>
        <w:pStyle w:val="Rubrik3"/>
      </w:pPr>
      <w:bookmarkStart w:id="2" w:name="_Behandlingsmål_respiration_och"/>
      <w:bookmarkEnd w:id="2"/>
      <w:r w:rsidRPr="00B04D08">
        <w:t>Behandlingsmål respiration och ventilation</w:t>
      </w:r>
    </w:p>
    <w:tbl>
      <w:tblPr>
        <w:tblpPr w:leftFromText="141" w:rightFromText="141" w:vertAnchor="text" w:horzAnchor="page" w:tblpX="2026" w:tblpY="41"/>
        <w:tblW w:w="3915" w:type="pct"/>
        <w:tblLook w:val="04A0" w:firstRow="1" w:lastRow="0" w:firstColumn="1" w:lastColumn="0" w:noHBand="0" w:noVBand="1"/>
      </w:tblPr>
      <w:tblGrid>
        <w:gridCol w:w="868"/>
        <w:gridCol w:w="906"/>
        <w:gridCol w:w="1034"/>
        <w:gridCol w:w="1037"/>
        <w:gridCol w:w="1483"/>
        <w:gridCol w:w="1769"/>
      </w:tblGrid>
      <w:tr w:rsidR="00DF5630" w:rsidRPr="001A41C0" w14:paraId="68FCFEED" w14:textId="77777777" w:rsidTr="00FC138A">
        <w:trPr>
          <w:trHeight w:val="288"/>
        </w:trPr>
        <w:tc>
          <w:tcPr>
            <w:tcW w:w="613" w:type="pct"/>
            <w:tcBorders>
              <w:bottom w:val="single" w:sz="4" w:space="0" w:color="A8D08D"/>
            </w:tcBorders>
            <w:shd w:val="clear" w:color="auto" w:fill="auto"/>
          </w:tcPr>
          <w:p w14:paraId="19195B83" w14:textId="77777777" w:rsidR="00DF5630" w:rsidRPr="001A41C0" w:rsidRDefault="00DF5630" w:rsidP="00DF5630">
            <w:pPr>
              <w:spacing w:after="0" w:line="240" w:lineRule="auto"/>
              <w:ind w:right="0"/>
              <w:rPr>
                <w:rFonts w:eastAsia="Calibri"/>
                <w:b/>
                <w:bCs/>
              </w:rPr>
            </w:pPr>
            <w:r w:rsidRPr="001A41C0">
              <w:rPr>
                <w:rFonts w:eastAsia="Calibri"/>
                <w:b/>
                <w:bCs/>
              </w:rPr>
              <w:t>SaO2</w:t>
            </w:r>
          </w:p>
        </w:tc>
        <w:tc>
          <w:tcPr>
            <w:tcW w:w="639" w:type="pct"/>
            <w:tcBorders>
              <w:bottom w:val="single" w:sz="4" w:space="0" w:color="A8D08D"/>
            </w:tcBorders>
            <w:shd w:val="clear" w:color="auto" w:fill="auto"/>
          </w:tcPr>
          <w:p w14:paraId="7CD869AF" w14:textId="77777777" w:rsidR="00DF5630" w:rsidRPr="001A41C0" w:rsidRDefault="00DF5630" w:rsidP="00DF5630">
            <w:pPr>
              <w:spacing w:after="0" w:line="240" w:lineRule="auto"/>
              <w:ind w:right="0"/>
              <w:rPr>
                <w:rFonts w:eastAsia="Calibri"/>
                <w:b/>
                <w:bCs/>
              </w:rPr>
            </w:pPr>
            <w:r w:rsidRPr="001A41C0">
              <w:rPr>
                <w:rFonts w:eastAsia="Calibri"/>
                <w:b/>
                <w:bCs/>
              </w:rPr>
              <w:t>PaO2</w:t>
            </w:r>
          </w:p>
        </w:tc>
        <w:tc>
          <w:tcPr>
            <w:tcW w:w="729" w:type="pct"/>
            <w:tcBorders>
              <w:bottom w:val="single" w:sz="4" w:space="0" w:color="A8D08D"/>
            </w:tcBorders>
            <w:shd w:val="clear" w:color="auto" w:fill="auto"/>
          </w:tcPr>
          <w:p w14:paraId="155B4827" w14:textId="77777777" w:rsidR="00DF5630" w:rsidRPr="001A41C0" w:rsidRDefault="00DF5630" w:rsidP="00DF5630">
            <w:pPr>
              <w:spacing w:after="0" w:line="240" w:lineRule="auto"/>
              <w:ind w:right="0"/>
              <w:rPr>
                <w:rFonts w:eastAsia="Calibri"/>
                <w:b/>
                <w:bCs/>
              </w:rPr>
            </w:pPr>
            <w:r w:rsidRPr="001A41C0">
              <w:rPr>
                <w:rFonts w:eastAsia="Calibri"/>
                <w:b/>
                <w:bCs/>
              </w:rPr>
              <w:t>PaCo2</w:t>
            </w:r>
          </w:p>
        </w:tc>
        <w:tc>
          <w:tcPr>
            <w:tcW w:w="731" w:type="pct"/>
            <w:tcBorders>
              <w:bottom w:val="single" w:sz="4" w:space="0" w:color="A8D08D"/>
            </w:tcBorders>
            <w:shd w:val="clear" w:color="auto" w:fill="auto"/>
          </w:tcPr>
          <w:p w14:paraId="69EBB118" w14:textId="77777777" w:rsidR="00DF5630" w:rsidRPr="001A41C0" w:rsidRDefault="00DF5630" w:rsidP="00DF5630">
            <w:pPr>
              <w:spacing w:after="0" w:line="240" w:lineRule="auto"/>
              <w:ind w:right="0"/>
              <w:rPr>
                <w:rFonts w:eastAsia="Calibri"/>
                <w:b/>
                <w:bCs/>
              </w:rPr>
            </w:pPr>
            <w:r w:rsidRPr="001A41C0">
              <w:rPr>
                <w:rFonts w:eastAsia="Calibri"/>
                <w:b/>
                <w:bCs/>
              </w:rPr>
              <w:t>PEEP</w:t>
            </w:r>
          </w:p>
        </w:tc>
        <w:tc>
          <w:tcPr>
            <w:tcW w:w="1041" w:type="pct"/>
            <w:tcBorders>
              <w:bottom w:val="single" w:sz="4" w:space="0" w:color="A8D08D"/>
            </w:tcBorders>
            <w:shd w:val="clear" w:color="auto" w:fill="auto"/>
          </w:tcPr>
          <w:p w14:paraId="11F5D703" w14:textId="77777777" w:rsidR="00DF5630" w:rsidRPr="001A41C0" w:rsidRDefault="00DF5630" w:rsidP="00DF5630">
            <w:pPr>
              <w:spacing w:after="0" w:line="240" w:lineRule="auto"/>
              <w:ind w:right="0"/>
              <w:rPr>
                <w:rFonts w:eastAsia="Calibri"/>
                <w:b/>
                <w:bCs/>
              </w:rPr>
            </w:pPr>
            <w:r w:rsidRPr="001A41C0">
              <w:rPr>
                <w:rFonts w:eastAsia="Calibri"/>
                <w:b/>
                <w:bCs/>
              </w:rPr>
              <w:t>Topptryck</w:t>
            </w:r>
          </w:p>
        </w:tc>
        <w:tc>
          <w:tcPr>
            <w:tcW w:w="1248" w:type="pct"/>
            <w:tcBorders>
              <w:bottom w:val="single" w:sz="4" w:space="0" w:color="A8D08D"/>
            </w:tcBorders>
            <w:shd w:val="clear" w:color="auto" w:fill="auto"/>
          </w:tcPr>
          <w:p w14:paraId="1F465A25" w14:textId="77777777" w:rsidR="00DF5630" w:rsidRPr="001A41C0" w:rsidRDefault="00DF5630" w:rsidP="00DF5630">
            <w:pPr>
              <w:spacing w:after="0" w:line="240" w:lineRule="auto"/>
              <w:ind w:right="0"/>
              <w:rPr>
                <w:rFonts w:eastAsia="Calibri"/>
                <w:b/>
                <w:bCs/>
              </w:rPr>
            </w:pPr>
            <w:r w:rsidRPr="001A41C0">
              <w:rPr>
                <w:rFonts w:eastAsia="Calibri"/>
                <w:b/>
                <w:bCs/>
              </w:rPr>
              <w:t>Tidalvolym</w:t>
            </w:r>
          </w:p>
        </w:tc>
      </w:tr>
      <w:tr w:rsidR="00DF5630" w:rsidRPr="001A41C0" w14:paraId="698C0CD1" w14:textId="77777777" w:rsidTr="00FC138A">
        <w:trPr>
          <w:trHeight w:val="577"/>
        </w:trPr>
        <w:tc>
          <w:tcPr>
            <w:tcW w:w="613" w:type="pct"/>
            <w:shd w:val="clear" w:color="auto" w:fill="E2EFD9"/>
          </w:tcPr>
          <w:p w14:paraId="4CCCC0DC" w14:textId="77777777" w:rsidR="00DF5630" w:rsidRPr="001A41C0" w:rsidRDefault="00DF5630" w:rsidP="00DF5630">
            <w:pPr>
              <w:spacing w:after="0" w:line="240" w:lineRule="auto"/>
              <w:ind w:right="0"/>
              <w:rPr>
                <w:rFonts w:eastAsia="Calibri"/>
                <w:b/>
                <w:bCs/>
              </w:rPr>
            </w:pPr>
            <w:r w:rsidRPr="001A41C0">
              <w:rPr>
                <w:rFonts w:eastAsia="Calibri"/>
                <w:bCs/>
              </w:rPr>
              <w:t>&gt;95%</w:t>
            </w:r>
          </w:p>
        </w:tc>
        <w:tc>
          <w:tcPr>
            <w:tcW w:w="639" w:type="pct"/>
            <w:shd w:val="clear" w:color="auto" w:fill="E2EFD9"/>
          </w:tcPr>
          <w:p w14:paraId="660F8DF0" w14:textId="77777777" w:rsidR="00DF5630" w:rsidRPr="001A41C0" w:rsidRDefault="00DF5630" w:rsidP="00DF5630">
            <w:pPr>
              <w:spacing w:after="0" w:line="240" w:lineRule="auto"/>
              <w:ind w:right="0"/>
              <w:rPr>
                <w:rFonts w:eastAsia="Calibri"/>
              </w:rPr>
            </w:pPr>
            <w:r w:rsidRPr="001A41C0">
              <w:rPr>
                <w:rFonts w:eastAsia="Calibri"/>
              </w:rPr>
              <w:t>10-16 kPa</w:t>
            </w:r>
          </w:p>
        </w:tc>
        <w:tc>
          <w:tcPr>
            <w:tcW w:w="729" w:type="pct"/>
            <w:shd w:val="clear" w:color="auto" w:fill="E2EFD9"/>
          </w:tcPr>
          <w:p w14:paraId="7DC51E1B" w14:textId="77777777" w:rsidR="00DF5630" w:rsidRPr="001A41C0" w:rsidRDefault="00DF5630" w:rsidP="00DF5630">
            <w:pPr>
              <w:spacing w:after="0" w:line="240" w:lineRule="auto"/>
              <w:ind w:right="0"/>
              <w:rPr>
                <w:rFonts w:eastAsia="Calibri"/>
              </w:rPr>
            </w:pPr>
            <w:r w:rsidRPr="001A41C0">
              <w:rPr>
                <w:rFonts w:eastAsia="Calibri"/>
              </w:rPr>
              <w:t>4,8–5,8 kPa</w:t>
            </w:r>
          </w:p>
        </w:tc>
        <w:tc>
          <w:tcPr>
            <w:tcW w:w="731" w:type="pct"/>
            <w:shd w:val="clear" w:color="auto" w:fill="E2EFD9"/>
          </w:tcPr>
          <w:p w14:paraId="0E20DD8F" w14:textId="77777777" w:rsidR="00DF5630" w:rsidRPr="001A41C0" w:rsidRDefault="00DF5630" w:rsidP="00DF5630">
            <w:pPr>
              <w:spacing w:after="0" w:line="240" w:lineRule="auto"/>
              <w:ind w:right="0"/>
              <w:rPr>
                <w:rFonts w:eastAsia="Calibri"/>
              </w:rPr>
            </w:pPr>
            <w:r w:rsidRPr="001A41C0">
              <w:rPr>
                <w:rFonts w:eastAsia="Calibri"/>
              </w:rPr>
              <w:t>7-10 cmH</w:t>
            </w:r>
            <w:r w:rsidRPr="001A41C0">
              <w:rPr>
                <w:rFonts w:eastAsia="Calibri"/>
                <w:vertAlign w:val="subscript"/>
              </w:rPr>
              <w:t>2</w:t>
            </w:r>
            <w:r w:rsidRPr="001A41C0">
              <w:rPr>
                <w:rFonts w:eastAsia="Calibri"/>
              </w:rPr>
              <w:t>0</w:t>
            </w:r>
          </w:p>
        </w:tc>
        <w:tc>
          <w:tcPr>
            <w:tcW w:w="1041" w:type="pct"/>
            <w:shd w:val="clear" w:color="auto" w:fill="E2EFD9"/>
          </w:tcPr>
          <w:p w14:paraId="1DE07238" w14:textId="77777777" w:rsidR="00DF5630" w:rsidRPr="001A41C0" w:rsidRDefault="00DF5630" w:rsidP="00DF5630">
            <w:pPr>
              <w:spacing w:after="0" w:line="240" w:lineRule="auto"/>
              <w:ind w:right="0"/>
              <w:rPr>
                <w:rFonts w:eastAsia="Calibri"/>
              </w:rPr>
            </w:pPr>
            <w:r w:rsidRPr="001A41C0">
              <w:rPr>
                <w:rFonts w:eastAsia="Calibri"/>
              </w:rPr>
              <w:t>&lt; 30 cmH</w:t>
            </w:r>
            <w:r w:rsidRPr="001A41C0">
              <w:rPr>
                <w:rFonts w:eastAsia="Calibri"/>
                <w:vertAlign w:val="subscript"/>
              </w:rPr>
              <w:t>2</w:t>
            </w:r>
            <w:r w:rsidRPr="001A41C0">
              <w:rPr>
                <w:rFonts w:eastAsia="Calibri"/>
              </w:rPr>
              <w:t>0</w:t>
            </w:r>
          </w:p>
        </w:tc>
        <w:tc>
          <w:tcPr>
            <w:tcW w:w="1248" w:type="pct"/>
            <w:shd w:val="clear" w:color="auto" w:fill="E2EFD9"/>
          </w:tcPr>
          <w:p w14:paraId="468A9BD2" w14:textId="77777777" w:rsidR="00DF5630" w:rsidRPr="001A41C0" w:rsidRDefault="00DF5630" w:rsidP="00DF5630">
            <w:pPr>
              <w:spacing w:after="0" w:line="240" w:lineRule="auto"/>
              <w:ind w:right="0"/>
              <w:rPr>
                <w:rFonts w:eastAsia="Calibri"/>
              </w:rPr>
            </w:pPr>
            <w:r w:rsidRPr="001A41C0">
              <w:rPr>
                <w:rFonts w:eastAsia="Calibri"/>
              </w:rPr>
              <w:t>6-8 ml/kg</w:t>
            </w:r>
          </w:p>
          <w:p w14:paraId="4E889A16" w14:textId="77777777" w:rsidR="00DF5630" w:rsidRPr="001A41C0" w:rsidRDefault="00DF5630" w:rsidP="00DF5630">
            <w:pPr>
              <w:spacing w:after="0" w:line="240" w:lineRule="auto"/>
              <w:ind w:right="0"/>
              <w:rPr>
                <w:rFonts w:eastAsia="Calibri"/>
              </w:rPr>
            </w:pPr>
            <w:r w:rsidRPr="001A41C0">
              <w:rPr>
                <w:rFonts w:eastAsia="Calibri"/>
              </w:rPr>
              <w:t>Predikterad vikt</w:t>
            </w:r>
          </w:p>
        </w:tc>
      </w:tr>
    </w:tbl>
    <w:p w14:paraId="3CD48B10" w14:textId="77777777" w:rsidR="00DF5630" w:rsidRPr="001A41C0" w:rsidRDefault="00DF5630" w:rsidP="00DF5630">
      <w:pPr>
        <w:spacing w:after="0" w:line="276" w:lineRule="auto"/>
        <w:ind w:right="0"/>
        <w:rPr>
          <w:b/>
        </w:rPr>
      </w:pPr>
    </w:p>
    <w:p w14:paraId="40E7B62F" w14:textId="77777777" w:rsidR="00DF5630" w:rsidRPr="001A41C0" w:rsidRDefault="00DF5630" w:rsidP="00DF5630">
      <w:pPr>
        <w:spacing w:after="0" w:line="276" w:lineRule="auto"/>
        <w:ind w:right="0"/>
        <w:rPr>
          <w:b/>
        </w:rPr>
      </w:pPr>
    </w:p>
    <w:p w14:paraId="14450CF5" w14:textId="77777777" w:rsidR="00DF5630" w:rsidRPr="001A41C0" w:rsidRDefault="00DF5630" w:rsidP="00DF5630">
      <w:pPr>
        <w:spacing w:after="0" w:line="276" w:lineRule="auto"/>
        <w:ind w:right="0"/>
        <w:rPr>
          <w:b/>
        </w:rPr>
      </w:pPr>
    </w:p>
    <w:p w14:paraId="380ECB5A" w14:textId="77777777" w:rsidR="00DF5630" w:rsidRPr="001A41C0" w:rsidRDefault="00DF5630" w:rsidP="00DF5630">
      <w:pPr>
        <w:spacing w:after="0" w:line="276" w:lineRule="auto"/>
        <w:ind w:right="0"/>
        <w:rPr>
          <w:b/>
        </w:rPr>
      </w:pPr>
    </w:p>
    <w:p w14:paraId="2A9C05F3" w14:textId="77777777" w:rsidR="00DF5630" w:rsidRPr="00EB0B6B" w:rsidRDefault="00DF5630" w:rsidP="00EB0B6B">
      <w:pPr>
        <w:pStyle w:val="Liststycke"/>
        <w:numPr>
          <w:ilvl w:val="0"/>
          <w:numId w:val="24"/>
        </w:numPr>
        <w:rPr>
          <w:rFonts w:eastAsia="Calibri"/>
        </w:rPr>
      </w:pPr>
      <w:r w:rsidRPr="00EB0B6B">
        <w:rPr>
          <w:rFonts w:eastAsia="Calibri"/>
        </w:rPr>
        <w:t>Lungprotektiv ventilationsstrategi. Organdonatorer kan utveckla ARDS eller neurogent lungödem innan donation. Då kan högre PEEP, 10-15 cm H20 krävas.</w:t>
      </w:r>
    </w:p>
    <w:p w14:paraId="3E9D1557" w14:textId="77777777" w:rsidR="00DF5630" w:rsidRPr="00EB0B6B" w:rsidRDefault="00DF5630" w:rsidP="00EB0B6B">
      <w:pPr>
        <w:pStyle w:val="Liststycke"/>
        <w:numPr>
          <w:ilvl w:val="0"/>
          <w:numId w:val="24"/>
        </w:numPr>
        <w:rPr>
          <w:rFonts w:eastAsia="Calibri"/>
        </w:rPr>
      </w:pPr>
      <w:r w:rsidRPr="00EB0B6B">
        <w:rPr>
          <w:rFonts w:eastAsia="Calibri"/>
        </w:rPr>
        <w:t>Försiktig rekryteringsmanöver görs på läkarordination som sista utväg vid svårighet att nå behandlingsmålen.</w:t>
      </w:r>
    </w:p>
    <w:p w14:paraId="2B48912F" w14:textId="77777777" w:rsidR="00DF5630" w:rsidRPr="00EB0B6B" w:rsidRDefault="00DF5630" w:rsidP="00EB0B6B">
      <w:pPr>
        <w:pStyle w:val="Liststycke"/>
        <w:numPr>
          <w:ilvl w:val="0"/>
          <w:numId w:val="24"/>
        </w:numPr>
        <w:rPr>
          <w:rFonts w:eastAsia="Calibri"/>
        </w:rPr>
      </w:pPr>
      <w:r w:rsidRPr="00EB0B6B">
        <w:rPr>
          <w:rFonts w:eastAsia="Calibri"/>
        </w:rPr>
        <w:t>Restriktion av vätsketillförsel, för undvika lungödem. Mål är euvolemi.</w:t>
      </w:r>
    </w:p>
    <w:p w14:paraId="215D05CC" w14:textId="77777777" w:rsidR="00DF5630" w:rsidRPr="008D07F1" w:rsidRDefault="00DF5630" w:rsidP="00EB0B6B">
      <w:pPr>
        <w:pStyle w:val="Rubrik3"/>
      </w:pPr>
      <w:bookmarkStart w:id="3" w:name="_Behandlingsmål_cirkulation"/>
      <w:bookmarkEnd w:id="3"/>
      <w:r w:rsidRPr="008D07F1">
        <w:t>Behandlingsmål cirkulation</w:t>
      </w:r>
    </w:p>
    <w:tbl>
      <w:tblPr>
        <w:tblpPr w:leftFromText="141" w:rightFromText="141" w:vertAnchor="text" w:horzAnchor="page" w:tblpX="2027" w:tblpY="259"/>
        <w:tblW w:w="3831" w:type="pct"/>
        <w:tblLook w:val="04A0" w:firstRow="1" w:lastRow="0" w:firstColumn="1" w:lastColumn="0" w:noHBand="0" w:noVBand="1"/>
      </w:tblPr>
      <w:tblGrid>
        <w:gridCol w:w="1353"/>
        <w:gridCol w:w="957"/>
        <w:gridCol w:w="1071"/>
        <w:gridCol w:w="645"/>
        <w:gridCol w:w="850"/>
        <w:gridCol w:w="957"/>
        <w:gridCol w:w="1112"/>
      </w:tblGrid>
      <w:tr w:rsidR="00DF5630" w:rsidRPr="001A41C0" w14:paraId="11671CE4" w14:textId="77777777" w:rsidTr="00FC138A">
        <w:trPr>
          <w:trHeight w:val="168"/>
        </w:trPr>
        <w:tc>
          <w:tcPr>
            <w:tcW w:w="914" w:type="pct"/>
            <w:tcBorders>
              <w:bottom w:val="single" w:sz="4" w:space="0" w:color="A8D08D"/>
            </w:tcBorders>
            <w:shd w:val="clear" w:color="auto" w:fill="auto"/>
          </w:tcPr>
          <w:p w14:paraId="08B4244D" w14:textId="77777777" w:rsidR="00DF5630" w:rsidRPr="001A41C0" w:rsidRDefault="00DF5630" w:rsidP="00DF5630">
            <w:pPr>
              <w:spacing w:after="160" w:line="276" w:lineRule="auto"/>
              <w:ind w:right="0"/>
              <w:contextualSpacing/>
              <w:rPr>
                <w:rFonts w:eastAsia="Calibri"/>
                <w:b/>
                <w:bCs/>
                <w:lang w:eastAsia="en-US"/>
              </w:rPr>
            </w:pPr>
            <w:r w:rsidRPr="001A41C0">
              <w:rPr>
                <w:rFonts w:eastAsia="Calibri"/>
                <w:b/>
                <w:bCs/>
                <w:lang w:eastAsia="en-US"/>
              </w:rPr>
              <w:t>Frekvens</w:t>
            </w:r>
          </w:p>
        </w:tc>
        <w:tc>
          <w:tcPr>
            <w:tcW w:w="717" w:type="pct"/>
            <w:tcBorders>
              <w:bottom w:val="single" w:sz="4" w:space="0" w:color="A8D08D"/>
            </w:tcBorders>
            <w:shd w:val="clear" w:color="auto" w:fill="auto"/>
          </w:tcPr>
          <w:p w14:paraId="01E15280" w14:textId="77777777" w:rsidR="00DF5630" w:rsidRPr="001A41C0" w:rsidRDefault="00DF5630" w:rsidP="00DF5630">
            <w:pPr>
              <w:spacing w:after="160" w:line="276" w:lineRule="auto"/>
              <w:ind w:right="0"/>
              <w:contextualSpacing/>
              <w:rPr>
                <w:rFonts w:eastAsia="Calibri"/>
                <w:b/>
                <w:bCs/>
                <w:lang w:eastAsia="en-US"/>
              </w:rPr>
            </w:pPr>
            <w:r w:rsidRPr="001A41C0">
              <w:rPr>
                <w:rFonts w:eastAsia="Calibri"/>
                <w:b/>
                <w:bCs/>
                <w:lang w:eastAsia="en-US"/>
              </w:rPr>
              <w:t>MAP</w:t>
            </w:r>
          </w:p>
        </w:tc>
        <w:tc>
          <w:tcPr>
            <w:tcW w:w="818" w:type="pct"/>
            <w:tcBorders>
              <w:bottom w:val="single" w:sz="4" w:space="0" w:color="A8D08D"/>
            </w:tcBorders>
            <w:shd w:val="clear" w:color="auto" w:fill="auto"/>
          </w:tcPr>
          <w:p w14:paraId="3C26B8A4" w14:textId="77777777" w:rsidR="00DF5630" w:rsidRPr="001A41C0" w:rsidRDefault="00DF5630" w:rsidP="00DF5630">
            <w:pPr>
              <w:spacing w:after="160" w:line="276" w:lineRule="auto"/>
              <w:ind w:right="0"/>
              <w:contextualSpacing/>
              <w:rPr>
                <w:rFonts w:eastAsia="Calibri"/>
                <w:b/>
                <w:bCs/>
                <w:lang w:eastAsia="en-US"/>
              </w:rPr>
            </w:pPr>
            <w:r w:rsidRPr="001A41C0">
              <w:rPr>
                <w:rFonts w:eastAsia="Calibri"/>
                <w:b/>
                <w:bCs/>
                <w:lang w:eastAsia="en-US"/>
              </w:rPr>
              <w:t>sBT</w:t>
            </w:r>
          </w:p>
        </w:tc>
        <w:tc>
          <w:tcPr>
            <w:tcW w:w="510" w:type="pct"/>
            <w:tcBorders>
              <w:bottom w:val="single" w:sz="4" w:space="0" w:color="A8D08D"/>
            </w:tcBorders>
            <w:shd w:val="clear" w:color="auto" w:fill="auto"/>
          </w:tcPr>
          <w:p w14:paraId="348631A4" w14:textId="77777777" w:rsidR="00DF5630" w:rsidRPr="001A41C0" w:rsidRDefault="00DF5630" w:rsidP="00DF5630">
            <w:pPr>
              <w:spacing w:after="160" w:line="276" w:lineRule="auto"/>
              <w:ind w:right="0"/>
              <w:contextualSpacing/>
              <w:rPr>
                <w:rFonts w:eastAsia="Calibri"/>
                <w:b/>
                <w:bCs/>
                <w:lang w:eastAsia="en-US"/>
              </w:rPr>
            </w:pPr>
            <w:r w:rsidRPr="001A41C0">
              <w:rPr>
                <w:rFonts w:eastAsia="Calibri"/>
                <w:b/>
                <w:bCs/>
                <w:lang w:eastAsia="en-US"/>
              </w:rPr>
              <w:t>Hb</w:t>
            </w:r>
          </w:p>
        </w:tc>
        <w:tc>
          <w:tcPr>
            <w:tcW w:w="614" w:type="pct"/>
            <w:tcBorders>
              <w:bottom w:val="single" w:sz="4" w:space="0" w:color="A8D08D"/>
            </w:tcBorders>
            <w:shd w:val="clear" w:color="auto" w:fill="auto"/>
          </w:tcPr>
          <w:p w14:paraId="1B2B24B1" w14:textId="77777777" w:rsidR="00DF5630" w:rsidRPr="001A41C0" w:rsidRDefault="00DF5630" w:rsidP="00DF5630">
            <w:pPr>
              <w:spacing w:after="160" w:line="276" w:lineRule="auto"/>
              <w:ind w:right="0"/>
              <w:contextualSpacing/>
              <w:rPr>
                <w:rFonts w:eastAsia="Calibri"/>
                <w:b/>
                <w:bCs/>
                <w:lang w:eastAsia="en-US"/>
              </w:rPr>
            </w:pPr>
            <w:r w:rsidRPr="001A41C0">
              <w:rPr>
                <w:rFonts w:eastAsia="Calibri"/>
                <w:b/>
                <w:bCs/>
                <w:lang w:eastAsia="en-US"/>
              </w:rPr>
              <w:t>SvO</w:t>
            </w:r>
            <w:r w:rsidRPr="001A41C0">
              <w:rPr>
                <w:rFonts w:eastAsia="Calibri"/>
                <w:b/>
                <w:bCs/>
                <w:vertAlign w:val="subscript"/>
                <w:lang w:eastAsia="en-US"/>
              </w:rPr>
              <w:t>2</w:t>
            </w:r>
          </w:p>
        </w:tc>
        <w:tc>
          <w:tcPr>
            <w:tcW w:w="714" w:type="pct"/>
            <w:tcBorders>
              <w:bottom w:val="single" w:sz="4" w:space="0" w:color="A8D08D"/>
            </w:tcBorders>
            <w:shd w:val="clear" w:color="auto" w:fill="auto"/>
          </w:tcPr>
          <w:p w14:paraId="612B520C" w14:textId="77777777" w:rsidR="00DF5630" w:rsidRPr="001A41C0" w:rsidRDefault="00DF5630" w:rsidP="00DF5630">
            <w:pPr>
              <w:spacing w:after="160" w:line="276" w:lineRule="auto"/>
              <w:ind w:right="0"/>
              <w:contextualSpacing/>
              <w:rPr>
                <w:rFonts w:eastAsia="Calibri"/>
                <w:b/>
                <w:bCs/>
                <w:lang w:eastAsia="en-US"/>
              </w:rPr>
            </w:pPr>
            <w:r w:rsidRPr="001A41C0">
              <w:rPr>
                <w:rFonts w:eastAsia="Calibri"/>
                <w:b/>
                <w:bCs/>
                <w:lang w:eastAsia="en-US"/>
              </w:rPr>
              <w:t>CVP</w:t>
            </w:r>
          </w:p>
        </w:tc>
        <w:tc>
          <w:tcPr>
            <w:tcW w:w="712" w:type="pct"/>
            <w:tcBorders>
              <w:bottom w:val="single" w:sz="4" w:space="0" w:color="A8D08D"/>
            </w:tcBorders>
            <w:shd w:val="clear" w:color="auto" w:fill="auto"/>
          </w:tcPr>
          <w:p w14:paraId="55F77598" w14:textId="77777777" w:rsidR="00DF5630" w:rsidRPr="001A41C0" w:rsidRDefault="00DF5630" w:rsidP="00DF5630">
            <w:pPr>
              <w:spacing w:after="160" w:line="276" w:lineRule="auto"/>
              <w:ind w:right="0"/>
              <w:contextualSpacing/>
              <w:rPr>
                <w:rFonts w:eastAsia="Calibri"/>
                <w:b/>
                <w:bCs/>
                <w:lang w:eastAsia="en-US"/>
              </w:rPr>
            </w:pPr>
            <w:r w:rsidRPr="001A41C0">
              <w:rPr>
                <w:rFonts w:eastAsia="Calibri"/>
                <w:b/>
                <w:bCs/>
                <w:lang w:eastAsia="en-US"/>
              </w:rPr>
              <w:t>Diures</w:t>
            </w:r>
          </w:p>
        </w:tc>
      </w:tr>
      <w:tr w:rsidR="00DF5630" w:rsidRPr="001A41C0" w14:paraId="1859C133" w14:textId="77777777" w:rsidTr="00FC138A">
        <w:trPr>
          <w:trHeight w:val="389"/>
        </w:trPr>
        <w:tc>
          <w:tcPr>
            <w:tcW w:w="914" w:type="pct"/>
            <w:shd w:val="clear" w:color="auto" w:fill="E2EFD9"/>
          </w:tcPr>
          <w:p w14:paraId="3BCC140C" w14:textId="77777777" w:rsidR="00DF5630" w:rsidRPr="001A41C0" w:rsidRDefault="00DF5630" w:rsidP="00DF5630">
            <w:pPr>
              <w:spacing w:after="160" w:line="276" w:lineRule="auto"/>
              <w:ind w:right="0"/>
              <w:contextualSpacing/>
              <w:rPr>
                <w:rFonts w:eastAsia="Calibri"/>
                <w:b/>
                <w:bCs/>
                <w:lang w:eastAsia="en-US"/>
              </w:rPr>
            </w:pPr>
            <w:r w:rsidRPr="001A41C0">
              <w:rPr>
                <w:rFonts w:eastAsia="Calibri"/>
                <w:bCs/>
                <w:lang w:eastAsia="en-US"/>
              </w:rPr>
              <w:t>60-110 slag/min</w:t>
            </w:r>
          </w:p>
        </w:tc>
        <w:tc>
          <w:tcPr>
            <w:tcW w:w="717" w:type="pct"/>
            <w:shd w:val="clear" w:color="auto" w:fill="E2EFD9"/>
          </w:tcPr>
          <w:p w14:paraId="1F29D333" w14:textId="77777777" w:rsidR="00DF5630" w:rsidRPr="001A41C0" w:rsidRDefault="00DF5630" w:rsidP="00DF5630">
            <w:pPr>
              <w:spacing w:after="160" w:line="276" w:lineRule="auto"/>
              <w:ind w:right="0"/>
              <w:contextualSpacing/>
              <w:rPr>
                <w:rFonts w:eastAsia="Calibri"/>
                <w:lang w:eastAsia="en-US"/>
              </w:rPr>
            </w:pPr>
            <w:r w:rsidRPr="001A41C0">
              <w:rPr>
                <w:rFonts w:eastAsia="Calibri"/>
                <w:lang w:eastAsia="en-US"/>
              </w:rPr>
              <w:t>65-100 mmHg</w:t>
            </w:r>
          </w:p>
        </w:tc>
        <w:tc>
          <w:tcPr>
            <w:tcW w:w="818" w:type="pct"/>
            <w:shd w:val="clear" w:color="auto" w:fill="E2EFD9"/>
          </w:tcPr>
          <w:p w14:paraId="2297FFE8" w14:textId="77777777" w:rsidR="00DF5630" w:rsidRPr="001A41C0" w:rsidRDefault="00DF5630" w:rsidP="00DF5630">
            <w:pPr>
              <w:spacing w:after="160" w:line="276" w:lineRule="auto"/>
              <w:ind w:right="0"/>
              <w:contextualSpacing/>
              <w:rPr>
                <w:rFonts w:eastAsia="Calibri"/>
                <w:lang w:eastAsia="en-US"/>
              </w:rPr>
            </w:pPr>
            <w:r w:rsidRPr="001A41C0">
              <w:rPr>
                <w:rFonts w:eastAsia="Calibri"/>
                <w:lang w:eastAsia="en-US"/>
              </w:rPr>
              <w:t>100-160 mmHg</w:t>
            </w:r>
          </w:p>
        </w:tc>
        <w:tc>
          <w:tcPr>
            <w:tcW w:w="510" w:type="pct"/>
            <w:shd w:val="clear" w:color="auto" w:fill="E2EFD9"/>
          </w:tcPr>
          <w:p w14:paraId="3C41197C" w14:textId="77777777" w:rsidR="00DF5630" w:rsidRPr="001A41C0" w:rsidRDefault="00DF5630" w:rsidP="00DF5630">
            <w:pPr>
              <w:spacing w:after="160" w:line="276" w:lineRule="auto"/>
              <w:ind w:right="0"/>
              <w:contextualSpacing/>
              <w:rPr>
                <w:rFonts w:eastAsia="Calibri"/>
                <w:lang w:eastAsia="en-US"/>
              </w:rPr>
            </w:pPr>
            <w:r w:rsidRPr="001A41C0">
              <w:rPr>
                <w:rFonts w:eastAsia="Calibri"/>
                <w:lang w:eastAsia="en-US"/>
              </w:rPr>
              <w:t>&gt; 80 g/l</w:t>
            </w:r>
          </w:p>
        </w:tc>
        <w:tc>
          <w:tcPr>
            <w:tcW w:w="614" w:type="pct"/>
            <w:shd w:val="clear" w:color="auto" w:fill="E2EFD9"/>
          </w:tcPr>
          <w:p w14:paraId="287B7859" w14:textId="77777777" w:rsidR="00DF5630" w:rsidRPr="001A41C0" w:rsidRDefault="00DF5630" w:rsidP="00DF5630">
            <w:pPr>
              <w:spacing w:after="160" w:line="276" w:lineRule="auto"/>
              <w:ind w:right="0"/>
              <w:contextualSpacing/>
              <w:rPr>
                <w:rFonts w:eastAsia="Calibri"/>
                <w:lang w:eastAsia="en-US"/>
              </w:rPr>
            </w:pPr>
            <w:r w:rsidRPr="001A41C0">
              <w:rPr>
                <w:rFonts w:eastAsia="Calibri"/>
                <w:lang w:eastAsia="en-US"/>
              </w:rPr>
              <w:t>&gt;60%</w:t>
            </w:r>
          </w:p>
        </w:tc>
        <w:tc>
          <w:tcPr>
            <w:tcW w:w="714" w:type="pct"/>
            <w:shd w:val="clear" w:color="auto" w:fill="E2EFD9"/>
          </w:tcPr>
          <w:p w14:paraId="23C4C10E" w14:textId="77777777" w:rsidR="00DF5630" w:rsidRPr="001A41C0" w:rsidRDefault="00DF5630" w:rsidP="00DF5630">
            <w:pPr>
              <w:spacing w:after="160" w:line="276" w:lineRule="auto"/>
              <w:ind w:right="0"/>
              <w:contextualSpacing/>
              <w:rPr>
                <w:rFonts w:eastAsia="Calibri"/>
                <w:lang w:eastAsia="en-US"/>
              </w:rPr>
            </w:pPr>
            <w:r w:rsidRPr="001A41C0">
              <w:rPr>
                <w:rFonts w:eastAsia="Calibri"/>
                <w:lang w:eastAsia="en-US"/>
              </w:rPr>
              <w:t>&lt;10</w:t>
            </w:r>
          </w:p>
          <w:p w14:paraId="4E2EFDF1" w14:textId="77777777" w:rsidR="00DF5630" w:rsidRPr="001A41C0" w:rsidRDefault="00DF5630" w:rsidP="00DF5630">
            <w:pPr>
              <w:spacing w:after="160" w:line="276" w:lineRule="auto"/>
              <w:ind w:right="0"/>
              <w:contextualSpacing/>
              <w:rPr>
                <w:rFonts w:eastAsia="Calibri"/>
                <w:lang w:eastAsia="en-US"/>
              </w:rPr>
            </w:pPr>
            <w:r w:rsidRPr="001A41C0">
              <w:rPr>
                <w:rFonts w:eastAsia="Calibri"/>
                <w:lang w:eastAsia="en-US"/>
              </w:rPr>
              <w:t>mmHg</w:t>
            </w:r>
          </w:p>
        </w:tc>
        <w:tc>
          <w:tcPr>
            <w:tcW w:w="712" w:type="pct"/>
            <w:shd w:val="clear" w:color="auto" w:fill="E2EFD9"/>
          </w:tcPr>
          <w:p w14:paraId="7BD0E7CE" w14:textId="77777777" w:rsidR="00DF5630" w:rsidRPr="001A41C0" w:rsidRDefault="00DF5630" w:rsidP="00DF5630">
            <w:pPr>
              <w:spacing w:after="160" w:line="276" w:lineRule="auto"/>
              <w:ind w:right="0"/>
              <w:contextualSpacing/>
              <w:rPr>
                <w:rFonts w:eastAsia="Calibri"/>
                <w:lang w:eastAsia="en-US"/>
              </w:rPr>
            </w:pPr>
            <w:r w:rsidRPr="001A41C0">
              <w:rPr>
                <w:rFonts w:eastAsia="Calibri"/>
                <w:lang w:eastAsia="en-US"/>
              </w:rPr>
              <w:t>1-2 ml/kg/h</w:t>
            </w:r>
          </w:p>
        </w:tc>
      </w:tr>
    </w:tbl>
    <w:p w14:paraId="465582A4" w14:textId="77777777" w:rsidR="00DF5630" w:rsidRPr="001A41C0" w:rsidRDefault="00DF5630" w:rsidP="00DF5630">
      <w:pPr>
        <w:spacing w:after="160" w:line="276" w:lineRule="auto"/>
        <w:ind w:left="1080" w:right="0"/>
        <w:contextualSpacing/>
        <w:rPr>
          <w:rFonts w:eastAsia="Calibri"/>
          <w:lang w:eastAsia="en-US"/>
        </w:rPr>
      </w:pPr>
    </w:p>
    <w:p w14:paraId="5981A17F" w14:textId="6C38EA0D" w:rsidR="00DF5630" w:rsidRPr="001A41C0" w:rsidRDefault="00DF5630" w:rsidP="00DF5630">
      <w:pPr>
        <w:spacing w:after="0" w:line="276" w:lineRule="auto"/>
        <w:ind w:right="0"/>
      </w:pPr>
    </w:p>
    <w:p w14:paraId="5D1D6FC2" w14:textId="77777777" w:rsidR="00DF5630" w:rsidRPr="001A41C0" w:rsidRDefault="00DF5630" w:rsidP="00DF5630">
      <w:pPr>
        <w:spacing w:after="0" w:line="276" w:lineRule="auto"/>
        <w:ind w:right="0"/>
      </w:pPr>
    </w:p>
    <w:p w14:paraId="4D555186" w14:textId="77777777" w:rsidR="00DF5630" w:rsidRPr="001A41C0" w:rsidRDefault="00DF5630" w:rsidP="00DF5630">
      <w:pPr>
        <w:spacing w:after="0" w:line="276" w:lineRule="auto"/>
        <w:ind w:right="0"/>
      </w:pPr>
    </w:p>
    <w:p w14:paraId="5D2558AC" w14:textId="77777777" w:rsidR="00DF5630" w:rsidRPr="001A41C0" w:rsidRDefault="00DF5630" w:rsidP="00DF5630">
      <w:pPr>
        <w:spacing w:after="0" w:line="276" w:lineRule="auto"/>
        <w:ind w:right="0"/>
      </w:pPr>
    </w:p>
    <w:p w14:paraId="7CC793E6" w14:textId="77777777" w:rsidR="00DF5630" w:rsidRPr="001A41C0" w:rsidRDefault="00DF5630" w:rsidP="00DF5630">
      <w:pPr>
        <w:spacing w:after="0" w:line="276" w:lineRule="auto"/>
        <w:ind w:right="0"/>
        <w:rPr>
          <w:b/>
        </w:rPr>
      </w:pPr>
    </w:p>
    <w:p w14:paraId="0F81E175" w14:textId="77777777" w:rsidR="00DF5630" w:rsidRPr="001A41C0" w:rsidRDefault="00DF5630" w:rsidP="00DF5630">
      <w:pPr>
        <w:spacing w:after="0" w:line="276" w:lineRule="auto"/>
        <w:ind w:right="0"/>
        <w:rPr>
          <w:b/>
        </w:rPr>
      </w:pPr>
    </w:p>
    <w:p w14:paraId="7BDB0915" w14:textId="323B8BAA" w:rsidR="00151E75" w:rsidRPr="00882360" w:rsidRDefault="00DF5630" w:rsidP="00882360">
      <w:pPr>
        <w:pStyle w:val="underrubrikVGR"/>
      </w:pPr>
      <w:r w:rsidRPr="00882360">
        <w:t>Hypovolemi</w:t>
      </w:r>
    </w:p>
    <w:p w14:paraId="62E97120" w14:textId="40D79471" w:rsidR="00DF5630" w:rsidRPr="009440D7" w:rsidRDefault="00DF5630" w:rsidP="009440D7">
      <w:r w:rsidRPr="001A41C0">
        <w:t xml:space="preserve">Hypovolemi behandlas med Ringeracetat eller Albumin till max CVP 10 mmHg. Vid anemi eller pågående blödning så ersätt med blod och plasma. Kontroll av PPV från artärkurva. </w:t>
      </w:r>
    </w:p>
    <w:p w14:paraId="36A33DCF" w14:textId="7FE937AB" w:rsidR="009440D7" w:rsidRPr="00072E2F" w:rsidRDefault="00DF5630" w:rsidP="00072E2F">
      <w:pPr>
        <w:pStyle w:val="underrubrikVGR"/>
      </w:pPr>
      <w:r w:rsidRPr="00072E2F">
        <w:t xml:space="preserve">Hypotoni (MAP </w:t>
      </w:r>
      <w:r w:rsidR="009440D7" w:rsidRPr="00072E2F">
        <w:t>&lt;65</w:t>
      </w:r>
      <w:r w:rsidRPr="00072E2F">
        <w:t xml:space="preserve"> mmHg)</w:t>
      </w:r>
    </w:p>
    <w:p w14:paraId="30A5D695" w14:textId="21E23B9D" w:rsidR="00DF5630" w:rsidRPr="001A41C0" w:rsidRDefault="00DF5630" w:rsidP="009440D7">
      <w:r w:rsidRPr="001A41C0">
        <w:t>Behandlas i första hand med Noradrenalin. Överväg tillägg/byte till Vasopressin vid samtida diabetes insipidus, eller grav cirkulatorisk instabilitet. Vid hjärtsvikt (</w:t>
      </w:r>
      <w:r w:rsidR="009440D7" w:rsidRPr="001A41C0">
        <w:t>EF &lt;</w:t>
      </w:r>
      <w:r w:rsidRPr="001A41C0">
        <w:t>30%), hjärttransplantation eller hemodynamiskt instabil donator, skall UCG med TEE-probe finnas på sal och PICCO övervägas.</w:t>
      </w:r>
    </w:p>
    <w:p w14:paraId="34FB1C49" w14:textId="77777777" w:rsidR="009440D7" w:rsidRDefault="00DF5630" w:rsidP="00072E2F">
      <w:pPr>
        <w:pStyle w:val="underrubrikVGR"/>
      </w:pPr>
      <w:r w:rsidRPr="001A41C0">
        <w:lastRenderedPageBreak/>
        <w:t>Hypertoni (MAP &gt;100 mmHg)</w:t>
      </w:r>
    </w:p>
    <w:p w14:paraId="770BE69B" w14:textId="58259612" w:rsidR="00DF5630" w:rsidRPr="001A41C0" w:rsidRDefault="00DF5630" w:rsidP="009440D7">
      <w:r w:rsidRPr="001A41C0">
        <w:t>Beror på autonomt stressvar och behandlas primärt genom att man ökar inhalerad dos Sevoflurane och/eller bolus Fentanyl. Vid utebliven effekt, överväg behandling med Labetalol i.v eller nitroglycerininfusion.</w:t>
      </w:r>
    </w:p>
    <w:p w14:paraId="2E4D83AE" w14:textId="77777777" w:rsidR="009440D7" w:rsidRDefault="00DF5630" w:rsidP="009440D7">
      <w:pPr>
        <w:pStyle w:val="underrubrikVGR"/>
      </w:pPr>
      <w:r w:rsidRPr="001A41C0">
        <w:t>Takykardi (&gt;110 slag/min)</w:t>
      </w:r>
    </w:p>
    <w:p w14:paraId="2F9E62DB" w14:textId="6CFFD9A5" w:rsidR="00DF5630" w:rsidRPr="001A41C0" w:rsidRDefault="00DF5630" w:rsidP="009440D7">
      <w:r w:rsidRPr="001A41C0">
        <w:t>Samma orsak som vid Hypertoni. Behandla primärt med Sevoflurane/Fentanyl. Vid utebliven effekt, Metoprolol i.v.</w:t>
      </w:r>
    </w:p>
    <w:p w14:paraId="5244E17A" w14:textId="77777777" w:rsidR="009440D7" w:rsidRDefault="00DF5630" w:rsidP="009440D7">
      <w:pPr>
        <w:pStyle w:val="underrubrikVGR"/>
      </w:pPr>
      <w:r w:rsidRPr="001A41C0">
        <w:t>Bradykardi (&lt;50 slag/min)</w:t>
      </w:r>
    </w:p>
    <w:p w14:paraId="355DC28E" w14:textId="7FB15CDF" w:rsidR="00DF5630" w:rsidRPr="000A2240" w:rsidRDefault="00DF5630" w:rsidP="009440D7">
      <w:pPr>
        <w:rPr>
          <w:strike/>
        </w:rPr>
      </w:pPr>
      <w:r w:rsidRPr="001A41C0">
        <w:t>Isoprenalin i första hand, Adrenalin spädd till en lösning av 0.01 mg/ml kan användas vid samtida chock. Antikolinergika är effektlöst p.g.a. bortfall av n.Vagus hos avlidna.</w:t>
      </w:r>
    </w:p>
    <w:p w14:paraId="35593F9C" w14:textId="41C5D5F0" w:rsidR="00DF5630" w:rsidRPr="00CE1F2C" w:rsidRDefault="00DF5630" w:rsidP="00CE1F2C">
      <w:pPr>
        <w:pStyle w:val="Rubrik3"/>
      </w:pPr>
      <w:bookmarkStart w:id="4" w:name="_Behandlingsmål_endokrina"/>
      <w:bookmarkEnd w:id="4"/>
      <w:r w:rsidRPr="002E1D5E">
        <w:t>Behandlingsmål endokrina</w:t>
      </w:r>
    </w:p>
    <w:tbl>
      <w:tblPr>
        <w:tblW w:w="3581" w:type="pct"/>
        <w:tblLook w:val="04A0" w:firstRow="1" w:lastRow="0" w:firstColumn="1" w:lastColumn="0" w:noHBand="0" w:noVBand="1"/>
      </w:tblPr>
      <w:tblGrid>
        <w:gridCol w:w="1082"/>
        <w:gridCol w:w="1082"/>
        <w:gridCol w:w="1082"/>
        <w:gridCol w:w="1082"/>
        <w:gridCol w:w="1082"/>
        <w:gridCol w:w="1082"/>
      </w:tblGrid>
      <w:tr w:rsidR="00CE1F2C" w:rsidRPr="001A41C0" w14:paraId="26E150B1" w14:textId="77777777" w:rsidTr="005E16F8">
        <w:trPr>
          <w:trHeight w:val="178"/>
        </w:trPr>
        <w:tc>
          <w:tcPr>
            <w:tcW w:w="833" w:type="pct"/>
            <w:tcBorders>
              <w:bottom w:val="single" w:sz="4" w:space="0" w:color="A8D08D"/>
            </w:tcBorders>
            <w:shd w:val="clear" w:color="auto" w:fill="auto"/>
          </w:tcPr>
          <w:p w14:paraId="4EB97A84" w14:textId="77777777" w:rsidR="00CE1F2C" w:rsidRPr="001A41C0" w:rsidRDefault="00CE1F2C" w:rsidP="005E16F8">
            <w:pPr>
              <w:spacing w:after="160" w:line="276" w:lineRule="auto"/>
              <w:ind w:right="0"/>
              <w:contextualSpacing/>
              <w:rPr>
                <w:rFonts w:eastAsia="Calibri"/>
                <w:b/>
                <w:bCs/>
                <w:lang w:eastAsia="en-US"/>
              </w:rPr>
            </w:pPr>
            <w:r w:rsidRPr="001A41C0">
              <w:rPr>
                <w:rFonts w:eastAsia="Calibri"/>
                <w:b/>
                <w:bCs/>
                <w:lang w:eastAsia="en-US"/>
              </w:rPr>
              <w:t>s-Na</w:t>
            </w:r>
            <w:r w:rsidRPr="001A41C0">
              <w:rPr>
                <w:rFonts w:eastAsia="Calibri"/>
                <w:b/>
                <w:bCs/>
                <w:vertAlign w:val="superscript"/>
                <w:lang w:eastAsia="en-US"/>
              </w:rPr>
              <w:t>+</w:t>
            </w:r>
          </w:p>
        </w:tc>
        <w:tc>
          <w:tcPr>
            <w:tcW w:w="833" w:type="pct"/>
            <w:tcBorders>
              <w:bottom w:val="single" w:sz="4" w:space="0" w:color="A8D08D"/>
            </w:tcBorders>
            <w:shd w:val="clear" w:color="auto" w:fill="auto"/>
          </w:tcPr>
          <w:p w14:paraId="3C9DE8C7" w14:textId="77777777" w:rsidR="00CE1F2C" w:rsidRPr="001A41C0" w:rsidRDefault="00CE1F2C" w:rsidP="005E16F8">
            <w:pPr>
              <w:spacing w:after="160" w:line="276" w:lineRule="auto"/>
              <w:ind w:right="0"/>
              <w:contextualSpacing/>
              <w:rPr>
                <w:rFonts w:eastAsia="Calibri"/>
                <w:b/>
                <w:bCs/>
                <w:lang w:eastAsia="en-US"/>
              </w:rPr>
            </w:pPr>
            <w:r w:rsidRPr="001A41C0">
              <w:rPr>
                <w:rFonts w:eastAsia="Calibri"/>
                <w:b/>
                <w:bCs/>
                <w:lang w:eastAsia="en-US"/>
              </w:rPr>
              <w:t>s-K</w:t>
            </w:r>
            <w:r w:rsidRPr="001A41C0">
              <w:rPr>
                <w:rFonts w:eastAsia="Calibri"/>
                <w:b/>
                <w:bCs/>
                <w:vertAlign w:val="superscript"/>
                <w:lang w:eastAsia="en-US"/>
              </w:rPr>
              <w:t>+</w:t>
            </w:r>
          </w:p>
        </w:tc>
        <w:tc>
          <w:tcPr>
            <w:tcW w:w="833" w:type="pct"/>
            <w:tcBorders>
              <w:bottom w:val="single" w:sz="4" w:space="0" w:color="A8D08D"/>
            </w:tcBorders>
            <w:shd w:val="clear" w:color="auto" w:fill="auto"/>
          </w:tcPr>
          <w:p w14:paraId="10F7F76F" w14:textId="77777777" w:rsidR="00CE1F2C" w:rsidRPr="001A41C0" w:rsidRDefault="00CE1F2C" w:rsidP="005E16F8">
            <w:pPr>
              <w:spacing w:after="160" w:line="276" w:lineRule="auto"/>
              <w:ind w:right="0"/>
              <w:contextualSpacing/>
              <w:rPr>
                <w:rFonts w:eastAsia="Calibri"/>
                <w:b/>
                <w:bCs/>
                <w:lang w:eastAsia="en-US"/>
              </w:rPr>
            </w:pPr>
            <w:r w:rsidRPr="001A41C0">
              <w:rPr>
                <w:rFonts w:eastAsia="Calibri"/>
                <w:b/>
                <w:bCs/>
                <w:lang w:eastAsia="en-US"/>
              </w:rPr>
              <w:t>s-Ca</w:t>
            </w:r>
            <w:r w:rsidRPr="001A41C0">
              <w:rPr>
                <w:rFonts w:eastAsia="Calibri"/>
                <w:b/>
                <w:bCs/>
                <w:vertAlign w:val="superscript"/>
                <w:lang w:eastAsia="en-US"/>
              </w:rPr>
              <w:t>++</w:t>
            </w:r>
          </w:p>
        </w:tc>
        <w:tc>
          <w:tcPr>
            <w:tcW w:w="833" w:type="pct"/>
            <w:tcBorders>
              <w:bottom w:val="single" w:sz="4" w:space="0" w:color="A8D08D"/>
            </w:tcBorders>
            <w:shd w:val="clear" w:color="auto" w:fill="auto"/>
          </w:tcPr>
          <w:p w14:paraId="13DC0856" w14:textId="77777777" w:rsidR="00CE1F2C" w:rsidRPr="001A41C0" w:rsidRDefault="00CE1F2C" w:rsidP="005E16F8">
            <w:pPr>
              <w:spacing w:after="160" w:line="276" w:lineRule="auto"/>
              <w:ind w:right="0"/>
              <w:contextualSpacing/>
              <w:rPr>
                <w:rFonts w:eastAsia="Calibri"/>
                <w:b/>
                <w:bCs/>
                <w:lang w:eastAsia="en-US"/>
              </w:rPr>
            </w:pPr>
            <w:r w:rsidRPr="001A41C0">
              <w:rPr>
                <w:rFonts w:eastAsia="Calibri"/>
                <w:b/>
                <w:bCs/>
                <w:lang w:eastAsia="en-US"/>
              </w:rPr>
              <w:t>pH</w:t>
            </w:r>
          </w:p>
        </w:tc>
        <w:tc>
          <w:tcPr>
            <w:tcW w:w="833" w:type="pct"/>
            <w:tcBorders>
              <w:bottom w:val="single" w:sz="4" w:space="0" w:color="A8D08D"/>
            </w:tcBorders>
            <w:shd w:val="clear" w:color="auto" w:fill="auto"/>
          </w:tcPr>
          <w:p w14:paraId="7B3888C1" w14:textId="77777777" w:rsidR="00CE1F2C" w:rsidRPr="001A41C0" w:rsidRDefault="00CE1F2C" w:rsidP="005E16F8">
            <w:pPr>
              <w:spacing w:after="160" w:line="276" w:lineRule="auto"/>
              <w:ind w:right="0"/>
              <w:contextualSpacing/>
              <w:rPr>
                <w:rFonts w:eastAsia="Calibri"/>
                <w:b/>
                <w:bCs/>
                <w:lang w:eastAsia="en-US"/>
              </w:rPr>
            </w:pPr>
            <w:r w:rsidRPr="001A41C0">
              <w:rPr>
                <w:rFonts w:eastAsia="Calibri"/>
                <w:b/>
                <w:bCs/>
                <w:lang w:eastAsia="en-US"/>
              </w:rPr>
              <w:t>b-Glc</w:t>
            </w:r>
          </w:p>
        </w:tc>
        <w:tc>
          <w:tcPr>
            <w:tcW w:w="833" w:type="pct"/>
            <w:tcBorders>
              <w:bottom w:val="single" w:sz="4" w:space="0" w:color="A8D08D"/>
            </w:tcBorders>
            <w:shd w:val="clear" w:color="auto" w:fill="auto"/>
          </w:tcPr>
          <w:p w14:paraId="42E35930" w14:textId="77777777" w:rsidR="00CE1F2C" w:rsidRPr="001A41C0" w:rsidRDefault="00CE1F2C" w:rsidP="005E16F8">
            <w:pPr>
              <w:spacing w:after="160" w:line="276" w:lineRule="auto"/>
              <w:ind w:right="0"/>
              <w:contextualSpacing/>
              <w:rPr>
                <w:rFonts w:eastAsia="Calibri"/>
                <w:b/>
                <w:bCs/>
                <w:lang w:eastAsia="en-US"/>
              </w:rPr>
            </w:pPr>
            <w:r w:rsidRPr="001A41C0">
              <w:rPr>
                <w:rFonts w:eastAsia="Calibri"/>
                <w:b/>
                <w:bCs/>
                <w:lang w:eastAsia="en-US"/>
              </w:rPr>
              <w:t>Temp</w:t>
            </w:r>
          </w:p>
        </w:tc>
      </w:tr>
      <w:tr w:rsidR="00CE1F2C" w:rsidRPr="001A41C0" w14:paraId="710CEF18" w14:textId="77777777" w:rsidTr="005E16F8">
        <w:trPr>
          <w:trHeight w:val="413"/>
        </w:trPr>
        <w:tc>
          <w:tcPr>
            <w:tcW w:w="833" w:type="pct"/>
            <w:shd w:val="clear" w:color="auto" w:fill="E2EFD9"/>
          </w:tcPr>
          <w:p w14:paraId="2CE1705E" w14:textId="77777777" w:rsidR="00CE1F2C" w:rsidRPr="001A41C0" w:rsidRDefault="00CE1F2C" w:rsidP="005E16F8">
            <w:pPr>
              <w:spacing w:after="160" w:line="276" w:lineRule="auto"/>
              <w:ind w:right="0"/>
              <w:contextualSpacing/>
              <w:rPr>
                <w:rFonts w:eastAsia="Calibri"/>
                <w:bCs/>
                <w:lang w:eastAsia="en-US"/>
              </w:rPr>
            </w:pPr>
            <w:r w:rsidRPr="001A41C0">
              <w:rPr>
                <w:rFonts w:eastAsia="Calibri"/>
                <w:bCs/>
                <w:lang w:eastAsia="en-US"/>
              </w:rPr>
              <w:t>135-150</w:t>
            </w:r>
          </w:p>
          <w:p w14:paraId="5FA0865C" w14:textId="77777777" w:rsidR="00CE1F2C" w:rsidRPr="001A41C0" w:rsidRDefault="00CE1F2C" w:rsidP="005E16F8">
            <w:pPr>
              <w:spacing w:after="160" w:line="276" w:lineRule="auto"/>
              <w:ind w:right="0"/>
              <w:contextualSpacing/>
              <w:rPr>
                <w:rFonts w:eastAsia="Calibri"/>
                <w:b/>
                <w:bCs/>
                <w:lang w:eastAsia="en-US"/>
              </w:rPr>
            </w:pPr>
            <w:r w:rsidRPr="001A41C0">
              <w:rPr>
                <w:rFonts w:eastAsia="Calibri"/>
                <w:bCs/>
                <w:lang w:eastAsia="en-US"/>
              </w:rPr>
              <w:t>mMol/l</w:t>
            </w:r>
          </w:p>
        </w:tc>
        <w:tc>
          <w:tcPr>
            <w:tcW w:w="833" w:type="pct"/>
            <w:shd w:val="clear" w:color="auto" w:fill="E2EFD9"/>
          </w:tcPr>
          <w:p w14:paraId="2C4F6AD0" w14:textId="77777777" w:rsidR="00CE1F2C" w:rsidRPr="001A41C0" w:rsidRDefault="00CE1F2C" w:rsidP="005E16F8">
            <w:pPr>
              <w:spacing w:after="160" w:line="276" w:lineRule="auto"/>
              <w:ind w:right="0"/>
              <w:contextualSpacing/>
              <w:rPr>
                <w:rFonts w:eastAsia="Calibri"/>
                <w:lang w:eastAsia="en-US"/>
              </w:rPr>
            </w:pPr>
            <w:r w:rsidRPr="001A41C0">
              <w:rPr>
                <w:rFonts w:eastAsia="Calibri"/>
                <w:lang w:eastAsia="en-US"/>
              </w:rPr>
              <w:t>3,8-5</w:t>
            </w:r>
          </w:p>
          <w:p w14:paraId="7DC17CE8" w14:textId="77777777" w:rsidR="00CE1F2C" w:rsidRPr="001A41C0" w:rsidRDefault="00CE1F2C" w:rsidP="005E16F8">
            <w:pPr>
              <w:spacing w:after="160" w:line="276" w:lineRule="auto"/>
              <w:ind w:right="0"/>
              <w:contextualSpacing/>
              <w:rPr>
                <w:rFonts w:eastAsia="Calibri"/>
                <w:lang w:eastAsia="en-US"/>
              </w:rPr>
            </w:pPr>
            <w:r w:rsidRPr="001A41C0">
              <w:rPr>
                <w:rFonts w:eastAsia="Calibri"/>
                <w:lang w:eastAsia="en-US"/>
              </w:rPr>
              <w:t>g/l</w:t>
            </w:r>
          </w:p>
        </w:tc>
        <w:tc>
          <w:tcPr>
            <w:tcW w:w="833" w:type="pct"/>
            <w:shd w:val="clear" w:color="auto" w:fill="E2EFD9"/>
          </w:tcPr>
          <w:p w14:paraId="02E1DE33" w14:textId="77777777" w:rsidR="00CE1F2C" w:rsidRPr="001A41C0" w:rsidRDefault="00CE1F2C" w:rsidP="005E16F8">
            <w:pPr>
              <w:spacing w:after="160" w:line="276" w:lineRule="auto"/>
              <w:ind w:right="0"/>
              <w:contextualSpacing/>
              <w:rPr>
                <w:rFonts w:eastAsia="Calibri"/>
                <w:lang w:eastAsia="en-US"/>
              </w:rPr>
            </w:pPr>
            <w:r w:rsidRPr="001A41C0">
              <w:rPr>
                <w:rFonts w:eastAsia="Calibri"/>
                <w:lang w:eastAsia="en-US"/>
              </w:rPr>
              <w:t>&gt; 1,1</w:t>
            </w:r>
          </w:p>
          <w:p w14:paraId="2E15FF34" w14:textId="77777777" w:rsidR="00CE1F2C" w:rsidRPr="001A41C0" w:rsidRDefault="00CE1F2C" w:rsidP="005E16F8">
            <w:pPr>
              <w:spacing w:after="160" w:line="276" w:lineRule="auto"/>
              <w:ind w:right="0"/>
              <w:contextualSpacing/>
              <w:rPr>
                <w:rFonts w:eastAsia="Calibri"/>
                <w:lang w:eastAsia="en-US"/>
              </w:rPr>
            </w:pPr>
            <w:r w:rsidRPr="001A41C0">
              <w:rPr>
                <w:rFonts w:eastAsia="Calibri"/>
                <w:lang w:eastAsia="en-US"/>
              </w:rPr>
              <w:t>mol/l</w:t>
            </w:r>
          </w:p>
        </w:tc>
        <w:tc>
          <w:tcPr>
            <w:tcW w:w="833" w:type="pct"/>
            <w:shd w:val="clear" w:color="auto" w:fill="E2EFD9"/>
          </w:tcPr>
          <w:p w14:paraId="1CEC3BF9" w14:textId="77777777" w:rsidR="00CE1F2C" w:rsidRPr="001A41C0" w:rsidRDefault="00CE1F2C" w:rsidP="005E16F8">
            <w:pPr>
              <w:spacing w:after="160" w:line="276" w:lineRule="auto"/>
              <w:ind w:right="0"/>
              <w:contextualSpacing/>
              <w:rPr>
                <w:rFonts w:eastAsia="Calibri"/>
                <w:lang w:eastAsia="en-US"/>
              </w:rPr>
            </w:pPr>
            <w:r w:rsidRPr="001A41C0">
              <w:rPr>
                <w:rFonts w:eastAsia="Calibri"/>
                <w:lang w:eastAsia="en-US"/>
              </w:rPr>
              <w:t>7,3-7,45</w:t>
            </w:r>
          </w:p>
        </w:tc>
        <w:tc>
          <w:tcPr>
            <w:tcW w:w="833" w:type="pct"/>
            <w:shd w:val="clear" w:color="auto" w:fill="E2EFD9"/>
          </w:tcPr>
          <w:p w14:paraId="2DC56DEA" w14:textId="77777777" w:rsidR="00CE1F2C" w:rsidRPr="001A41C0" w:rsidRDefault="00CE1F2C" w:rsidP="005E16F8">
            <w:pPr>
              <w:spacing w:after="160" w:line="276" w:lineRule="auto"/>
              <w:ind w:right="0"/>
              <w:contextualSpacing/>
              <w:rPr>
                <w:rFonts w:eastAsia="Calibri"/>
                <w:lang w:eastAsia="en-US"/>
              </w:rPr>
            </w:pPr>
            <w:r w:rsidRPr="001A41C0">
              <w:rPr>
                <w:rFonts w:eastAsia="Calibri"/>
                <w:lang w:eastAsia="en-US"/>
              </w:rPr>
              <w:t>5-10</w:t>
            </w:r>
          </w:p>
          <w:p w14:paraId="0A16752A" w14:textId="77777777" w:rsidR="00CE1F2C" w:rsidRPr="001A41C0" w:rsidRDefault="00CE1F2C" w:rsidP="005E16F8">
            <w:pPr>
              <w:spacing w:after="160" w:line="276" w:lineRule="auto"/>
              <w:ind w:right="0"/>
              <w:contextualSpacing/>
              <w:rPr>
                <w:rFonts w:eastAsia="Calibri"/>
                <w:lang w:eastAsia="en-US"/>
              </w:rPr>
            </w:pPr>
            <w:r w:rsidRPr="001A41C0">
              <w:rPr>
                <w:rFonts w:eastAsia="Calibri"/>
                <w:lang w:eastAsia="en-US"/>
              </w:rPr>
              <w:t>g/l</w:t>
            </w:r>
          </w:p>
        </w:tc>
        <w:tc>
          <w:tcPr>
            <w:tcW w:w="833" w:type="pct"/>
            <w:shd w:val="clear" w:color="auto" w:fill="E2EFD9"/>
          </w:tcPr>
          <w:p w14:paraId="1A9986DB" w14:textId="77777777" w:rsidR="00CE1F2C" w:rsidRPr="001A41C0" w:rsidRDefault="00CE1F2C" w:rsidP="005E16F8">
            <w:pPr>
              <w:spacing w:after="160" w:line="276" w:lineRule="auto"/>
              <w:ind w:right="0"/>
              <w:contextualSpacing/>
              <w:rPr>
                <w:rFonts w:eastAsia="Calibri"/>
                <w:lang w:eastAsia="en-US"/>
              </w:rPr>
            </w:pPr>
            <w:r w:rsidRPr="001A41C0">
              <w:rPr>
                <w:rFonts w:eastAsia="Calibri"/>
                <w:lang w:eastAsia="en-US"/>
              </w:rPr>
              <w:t>35,5-38</w:t>
            </w:r>
          </w:p>
          <w:p w14:paraId="0ED734B0" w14:textId="77777777" w:rsidR="00CE1F2C" w:rsidRPr="001A41C0" w:rsidRDefault="00CE1F2C" w:rsidP="005E16F8">
            <w:pPr>
              <w:spacing w:after="160" w:line="276" w:lineRule="auto"/>
              <w:ind w:right="0"/>
              <w:contextualSpacing/>
              <w:rPr>
                <w:rFonts w:eastAsia="Calibri"/>
                <w:lang w:eastAsia="en-US"/>
              </w:rPr>
            </w:pPr>
            <w:r w:rsidRPr="001A41C0">
              <w:rPr>
                <w:rFonts w:eastAsia="Calibri"/>
                <w:lang w:eastAsia="en-US"/>
              </w:rPr>
              <w:t>° C</w:t>
            </w:r>
          </w:p>
        </w:tc>
      </w:tr>
    </w:tbl>
    <w:p w14:paraId="1137BC51" w14:textId="77777777" w:rsidR="005E16F8" w:rsidRDefault="00DF5630" w:rsidP="005E16F8">
      <w:pPr>
        <w:pStyle w:val="underrubrikVGR"/>
      </w:pPr>
      <w:r w:rsidRPr="001A41C0">
        <w:t>Hypernatremi (Na</w:t>
      </w:r>
      <w:r w:rsidRPr="001A41C0">
        <w:rPr>
          <w:vertAlign w:val="superscript"/>
        </w:rPr>
        <w:t>+</w:t>
      </w:r>
      <w:r w:rsidRPr="001A41C0">
        <w:t xml:space="preserve"> &gt;150)</w:t>
      </w:r>
    </w:p>
    <w:p w14:paraId="1FCB78A5" w14:textId="22401D6F" w:rsidR="00DF5630" w:rsidRPr="00D755F7" w:rsidRDefault="00DF5630" w:rsidP="005E16F8">
      <w:r w:rsidRPr="001A41C0">
        <w:t>Glukosinfusion utan Na-tillsats. Kontroll av diures. Misstänkt diabetes insipidus vid stora urinmängder.</w:t>
      </w:r>
    </w:p>
    <w:p w14:paraId="71D53A91" w14:textId="77777777" w:rsidR="0018077D" w:rsidRPr="0018077D" w:rsidRDefault="00D55B2B" w:rsidP="005E16F8">
      <w:pPr>
        <w:pStyle w:val="underrubrikVGR"/>
      </w:pPr>
      <w:bookmarkStart w:id="5" w:name="_Diures"/>
      <w:bookmarkEnd w:id="5"/>
      <w:r w:rsidRPr="0018077D">
        <w:t>Diures</w:t>
      </w:r>
    </w:p>
    <w:p w14:paraId="3C1FECD6" w14:textId="05F3B78C" w:rsidR="00DF5630" w:rsidRPr="0018077D" w:rsidRDefault="00DF5630" w:rsidP="005E16F8">
      <w:pPr>
        <w:rPr>
          <w:b/>
          <w:bCs/>
        </w:rPr>
      </w:pPr>
      <w:r w:rsidRPr="001A41C0">
        <w:t>Vanligt med diabetes insipidus (DI) (&gt;4 ml/kg/min i 2 timmar). Vid konstaterad DI så behandlas detta med Minirin 0,25-0,5 µg. i.v vid behov till diures &lt; 4ml/kg/h. Vid samtida hypotoni kan vasopressininfusion, 0,01-0,04 E/min användas istället.</w:t>
      </w:r>
    </w:p>
    <w:p w14:paraId="305A1255" w14:textId="68CDF3CF" w:rsidR="002D1E93" w:rsidRPr="00DA738C" w:rsidRDefault="002D1E93" w:rsidP="00DA738C">
      <w:pPr>
        <w:pStyle w:val="underrubrikVGR"/>
      </w:pPr>
      <w:bookmarkStart w:id="6" w:name="_Hypo-/hyperglykemi"/>
      <w:bookmarkEnd w:id="6"/>
      <w:r w:rsidRPr="00DA738C">
        <w:rPr>
          <w:rStyle w:val="Rubrik2Char"/>
          <w:bCs/>
          <w:sz w:val="28"/>
          <w:szCs w:val="24"/>
        </w:rPr>
        <w:t>Tem</w:t>
      </w:r>
      <w:r w:rsidR="00505DDF" w:rsidRPr="00DA738C">
        <w:rPr>
          <w:rStyle w:val="Rubrik2Char"/>
          <w:bCs/>
          <w:sz w:val="28"/>
          <w:szCs w:val="24"/>
        </w:rPr>
        <w:t>peratur</w:t>
      </w:r>
      <w:r w:rsidR="00505DDF" w:rsidRPr="00DA738C">
        <w:t xml:space="preserve"> (35,5-38</w:t>
      </w:r>
      <w:r w:rsidR="00505DDF" w:rsidRPr="00DA738C">
        <w:rPr>
          <w:rStyle w:val="Rubrik2Char"/>
          <w:bCs/>
          <w:sz w:val="28"/>
          <w:szCs w:val="24"/>
        </w:rPr>
        <w:t>°C</w:t>
      </w:r>
      <w:r w:rsidR="00AF3A4A" w:rsidRPr="00DA738C">
        <w:rPr>
          <w:rStyle w:val="Rubrik2Char"/>
          <w:bCs/>
          <w:sz w:val="28"/>
          <w:szCs w:val="24"/>
        </w:rPr>
        <w:t>)</w:t>
      </w:r>
    </w:p>
    <w:p w14:paraId="6CFE5E5C" w14:textId="26361152" w:rsidR="00DF5630" w:rsidRPr="001A41C0" w:rsidRDefault="00DF5630" w:rsidP="00A07A25">
      <w:r w:rsidRPr="001A41C0">
        <w:t>Vanligt med hypotermi p.g.a av störning i thalamus temperaturreglerande funktion. Donatorn skall vara normoterm. Kan ske multimodalt med Allon, varma vätskor, och värmetäcke. Värme fram till att organ plockas ut, därefter kan värmarna slås av. Temp över 38°C ska undvikas då det kan vara svårt att kyla organen efter det att cirkulation upphört.</w:t>
      </w:r>
    </w:p>
    <w:p w14:paraId="7576F012" w14:textId="11D63F32" w:rsidR="00DF5630" w:rsidRPr="001A41C0" w:rsidRDefault="00C91625" w:rsidP="00A07A25">
      <w:pPr>
        <w:pStyle w:val="underrubrikVGR"/>
      </w:pPr>
      <w:r w:rsidRPr="008472D0">
        <w:t>Hyp</w:t>
      </w:r>
      <w:r w:rsidR="00C24B64" w:rsidRPr="008472D0">
        <w:t>o-/hyperglykemi</w:t>
      </w:r>
      <w:r w:rsidR="00A07A25">
        <w:t xml:space="preserve"> </w:t>
      </w:r>
      <w:r w:rsidR="00DF5630" w:rsidRPr="001A41C0">
        <w:t>(b-gl</w:t>
      </w:r>
      <w:r w:rsidR="005E1312">
        <w:t>u</w:t>
      </w:r>
      <w:r w:rsidR="00DF5630" w:rsidRPr="001A41C0">
        <w:t>c</w:t>
      </w:r>
      <w:r w:rsidR="005E1312">
        <w:t>os</w:t>
      </w:r>
      <w:r w:rsidR="00DF5630" w:rsidRPr="001A41C0">
        <w:t xml:space="preserve"> 5-10 mmol/l)</w:t>
      </w:r>
    </w:p>
    <w:p w14:paraId="6EE4DE18" w14:textId="633E7181" w:rsidR="00DF5630" w:rsidRPr="001A41C0" w:rsidRDefault="00DF5630" w:rsidP="00A07A25">
      <w:r w:rsidRPr="001A41C0">
        <w:t>Vanligt med hyperglykemi (alla donatorer har fått bolusdos SoluMedrol).</w:t>
      </w:r>
    </w:p>
    <w:p w14:paraId="5D292CC9" w14:textId="77777777" w:rsidR="00DF5630" w:rsidRPr="001A41C0" w:rsidRDefault="00DF5630" w:rsidP="00A07A25">
      <w:pPr>
        <w:pStyle w:val="Liststycke"/>
        <w:numPr>
          <w:ilvl w:val="0"/>
          <w:numId w:val="25"/>
        </w:numPr>
      </w:pPr>
      <w:r w:rsidRPr="001A41C0">
        <w:t>Vid b-glc 10-15 g/l ge 10 E Novorapid iv. Nytt värde efter 60 min.</w:t>
      </w:r>
    </w:p>
    <w:p w14:paraId="0FA814C8" w14:textId="77777777" w:rsidR="00DF5630" w:rsidRPr="001A41C0" w:rsidRDefault="00DF5630" w:rsidP="00A07A25">
      <w:pPr>
        <w:pStyle w:val="Liststycke"/>
        <w:numPr>
          <w:ilvl w:val="0"/>
          <w:numId w:val="25"/>
        </w:numPr>
      </w:pPr>
      <w:r w:rsidRPr="001A41C0">
        <w:t>Vid b-glc &gt;15, ge 15 E Novorapid i.v. Nytt värde efter 60 min.</w:t>
      </w:r>
    </w:p>
    <w:p w14:paraId="3E31F680" w14:textId="77777777" w:rsidR="00DF5630" w:rsidRPr="001A41C0" w:rsidRDefault="00DF5630" w:rsidP="00A07A25">
      <w:pPr>
        <w:pStyle w:val="Liststycke"/>
        <w:numPr>
          <w:ilvl w:val="0"/>
          <w:numId w:val="25"/>
        </w:numPr>
      </w:pPr>
      <w:r w:rsidRPr="001A41C0">
        <w:t>Vid allvarlig hypoglykemi (glc &lt;3) ge 30 ml 30% glukoslösning i.v, ta nytt prov efter 10 min och upprepa om fortsatt &lt;3 g/l.</w:t>
      </w:r>
    </w:p>
    <w:p w14:paraId="1DCA6F08" w14:textId="77777777" w:rsidR="00DF5630" w:rsidRPr="001A41C0" w:rsidRDefault="00DF5630" w:rsidP="00A07A25">
      <w:pPr>
        <w:pStyle w:val="Liststycke"/>
        <w:numPr>
          <w:ilvl w:val="0"/>
          <w:numId w:val="25"/>
        </w:numPr>
      </w:pPr>
      <w:r w:rsidRPr="001A41C0">
        <w:t>Vid insulininfusion, se PM ”Insulininfusion för blodsockerkontroll”</w:t>
      </w:r>
    </w:p>
    <w:p w14:paraId="2D1E1D80" w14:textId="77777777" w:rsidR="00DF5630" w:rsidRPr="008472D0" w:rsidRDefault="00DF5630" w:rsidP="00A07A25">
      <w:pPr>
        <w:pStyle w:val="Rubrik3"/>
      </w:pPr>
      <w:bookmarkStart w:id="7" w:name="_Hematologiskt"/>
      <w:bookmarkEnd w:id="7"/>
      <w:r w:rsidRPr="008472D0">
        <w:lastRenderedPageBreak/>
        <w:t>Hematologiskt</w:t>
      </w:r>
    </w:p>
    <w:p w14:paraId="3000E7A3" w14:textId="6B42247B" w:rsidR="000A2240" w:rsidRPr="00D755F7" w:rsidRDefault="00DF5630" w:rsidP="00A07A25">
      <w:r w:rsidRPr="001A41C0">
        <w:t>Disseminerad intravasal koagulation (DIC) kan utvecklas vid inklämningstillfället. Koagulation får kontrolleras med ROTEM inför donation och korrigering av koagulation hos blödande donatorer efter provsvar.</w:t>
      </w:r>
      <w:bookmarkStart w:id="8" w:name="_Bakgrund"/>
      <w:bookmarkEnd w:id="8"/>
    </w:p>
    <w:p w14:paraId="77A35295" w14:textId="70C77C85" w:rsidR="00DF5630" w:rsidRPr="008472D0" w:rsidRDefault="00DF5630" w:rsidP="00A07A25">
      <w:pPr>
        <w:pStyle w:val="Rubrik2"/>
      </w:pPr>
      <w:r w:rsidRPr="00A07A25">
        <w:t>Bakgrund</w:t>
      </w:r>
    </w:p>
    <w:p w14:paraId="4FA418DD" w14:textId="77777777" w:rsidR="00DF5630" w:rsidRPr="001A41C0" w:rsidRDefault="00DF5630" w:rsidP="00DF5630">
      <w:pPr>
        <w:spacing w:after="0" w:line="276" w:lineRule="auto"/>
        <w:ind w:right="0"/>
      </w:pPr>
      <w:r w:rsidRPr="001A41C0">
        <w:t xml:space="preserve">Anestesi till avlidna som är planerade för organdonation kräver en förståelse för patofysiologin vid inklämning och begreppet hjärndöd. Stegrat intrakraniellt tryck (ICP) kan komma av cerebrovaskulär insult, långvarig ischemi, trauma m.m. Hjärnödem tilltar och cirkulationen till hjärnan minskar då tryckstegringen sker. Total hjärninfarkt kan förebådas av inklämningsattacker och Cushingsreflexen när pons i hjärnstammen börjar komprimeras och tappa sin cirkulation. Reflexen beskrivs som en triad med ökat systoliskt tryck/pulstryck, bradykardi och oregelbunden respiration När funktionerna i hjärnstammen börjar avta så drabbas ofta patienterna av en ”autonom storm” med massiv frisättning av katekolaminer och inflammatoriska mediatorer. </w:t>
      </w:r>
      <w:r w:rsidRPr="001A41C0">
        <w:br/>
      </w:r>
      <w:r w:rsidRPr="001A41C0">
        <w:br/>
        <w:t>Patienten är som mest instabil vid inklämningsskedet men kan vara det även efter att cirkulationen till hjärnan upphört. Den hemodynamiska påverkan är ofta korrelerad till hur snabbt stegringen av ICP skett. Inklämningsprocessen kan således kraftigt påverka organen både neurogent och humoralt, på IVA har man försökt optimera organfunktionen inför organdonation och det är av yttersta vikt att fortsätta den organbevarande behandlingen perioperativt. Det är därför viktigt med hög närvaro av anestesiolog på sal framtill att cirkulationen är upphörd.</w:t>
      </w:r>
    </w:p>
    <w:p w14:paraId="655AA987" w14:textId="77777777" w:rsidR="00DF5630" w:rsidRPr="001A41C0" w:rsidRDefault="00DF5630" w:rsidP="00DF5630">
      <w:pPr>
        <w:spacing w:after="0" w:line="240" w:lineRule="auto"/>
        <w:ind w:right="0"/>
      </w:pPr>
    </w:p>
    <w:p w14:paraId="622698AD" w14:textId="77777777" w:rsidR="00DF5630" w:rsidRPr="008472D0" w:rsidRDefault="00DF5630" w:rsidP="00A07A25">
      <w:pPr>
        <w:pStyle w:val="Rubrik3"/>
      </w:pPr>
      <w:bookmarkStart w:id="9" w:name="_Respiration"/>
      <w:bookmarkEnd w:id="9"/>
      <w:r w:rsidRPr="00A07A25">
        <w:t>Respiration</w:t>
      </w:r>
    </w:p>
    <w:p w14:paraId="7DBC0F9E" w14:textId="77777777" w:rsidR="00DF5630" w:rsidRPr="001A41C0" w:rsidRDefault="00DF5630" w:rsidP="00DF5630">
      <w:pPr>
        <w:spacing w:after="0" w:line="276" w:lineRule="auto"/>
        <w:ind w:right="0"/>
      </w:pPr>
      <w:r w:rsidRPr="001A41C0">
        <w:t>Det finns en överhängande risk att organdonatorer har aspirerat före ankomst till sjukhus och utvecklar pneumoni/pneumonit som kan försämra gasutbytet. Ventilatorassocierad pneumoni kan utvecklas under IVA-tiden och det är viktigt med tidigt förebyggande arbete på intensivvården och tidigt insatt antibiotika. Pneumoni är inte en kontraindikation för lungtransplantation så det är viktigt med fortsatt lungskyddande behandling under operation.</w:t>
      </w:r>
      <w:r w:rsidRPr="001A41C0">
        <w:br/>
      </w:r>
    </w:p>
    <w:p w14:paraId="32B01A62" w14:textId="77777777" w:rsidR="00DF5630" w:rsidRPr="001A41C0" w:rsidRDefault="00DF5630" w:rsidP="00DF5630">
      <w:pPr>
        <w:spacing w:after="0" w:line="276" w:lineRule="auto"/>
        <w:ind w:right="0"/>
      </w:pPr>
      <w:r w:rsidRPr="001A41C0">
        <w:t>Vid inklämningsskedet så kan neurogent lungödem utvecklas, vilket tros bero på den stora katekolaminutsvämningen, och ger en ARDS-liknande bild. Lungfunktionsnedsättningen kan kvarvara även perioperativt så det är viktigt med lungprotektiv behandling. Vid konstaterat neurogent lungödem skall PEEP ligga i det högre intervallet, 10-15 cmH</w:t>
      </w:r>
      <w:r w:rsidRPr="001A41C0">
        <w:rPr>
          <w:vertAlign w:val="subscript"/>
        </w:rPr>
        <w:t>2</w:t>
      </w:r>
      <w:r w:rsidRPr="001A41C0">
        <w:t>0 om cirkulationen så tillåter. I det lungprotektiva konceptet ingår även tidalvolymer på 6-8 ml/kg/min och ett lågt drivtryck, så det kan bli aktuellt att korrigera inspirations- och stigtider.</w:t>
      </w:r>
      <w:r w:rsidRPr="001A41C0">
        <w:br/>
      </w:r>
    </w:p>
    <w:p w14:paraId="28F0F05A" w14:textId="77777777" w:rsidR="00DF5630" w:rsidRPr="001A41C0" w:rsidRDefault="00DF5630" w:rsidP="00DF5630">
      <w:pPr>
        <w:spacing w:after="0" w:line="276" w:lineRule="auto"/>
        <w:ind w:right="0"/>
      </w:pPr>
      <w:r w:rsidRPr="001A41C0">
        <w:lastRenderedPageBreak/>
        <w:t>Vid ARDS, lungdonation eller svårigheter att oxygenera är det viktigt att undvika upprepade atelektaser som kan ge atelectotrauma vilket ger ökad shear stress i alveolerna och i förlängningen upphov till skador. Brytning av cirkelsystemet skall minimeras och vid påverkad ventilation kan det vara av värde att klampa tuben vid byte av respirator för att bibehålla PEEP. Vid försämrad saturation eller blodgaser efter brytning av systemet så kan försiktig rekrytering genomföras.</w:t>
      </w:r>
    </w:p>
    <w:p w14:paraId="72462DC7" w14:textId="77777777" w:rsidR="00DF5630" w:rsidRPr="001A41C0" w:rsidRDefault="00DF5630" w:rsidP="00DF5630">
      <w:pPr>
        <w:spacing w:after="0" w:line="240" w:lineRule="auto"/>
        <w:ind w:right="0"/>
      </w:pPr>
    </w:p>
    <w:p w14:paraId="09570ECD" w14:textId="77777777" w:rsidR="00DF5630" w:rsidRPr="008472D0" w:rsidRDefault="00DF5630" w:rsidP="00A07A25">
      <w:pPr>
        <w:pStyle w:val="Rubrik3"/>
      </w:pPr>
      <w:bookmarkStart w:id="10" w:name="_Cirkulation"/>
      <w:bookmarkEnd w:id="10"/>
      <w:r w:rsidRPr="00A07A25">
        <w:t>Cirkulation</w:t>
      </w:r>
    </w:p>
    <w:p w14:paraId="6BDF8A57" w14:textId="77777777" w:rsidR="00DF5630" w:rsidRPr="001A41C0" w:rsidRDefault="00DF5630" w:rsidP="00A07A25">
      <w:r w:rsidRPr="001A41C0">
        <w:t>Vid inklämningsögonblicket så ökar sympatisk tonus och blodtryck samt hjärtfrekvens blir kraftigt pendlande. När cirkulationen till hjärna och hjärnstam sedan upphört så försvinner sympatiskt stimuli och vasodilatation utvecklas på venösa och arteriella kär. Detta behandlas i första hand med vasopressorer (Noradrenalin). Noradrenalin är förstahandsvalet, men Vasopressin har eventuellt visat sig ge fler viabla organ för donation och förbättrad organfunktion efter transplantation.</w:t>
      </w:r>
    </w:p>
    <w:p w14:paraId="79CB0A76" w14:textId="77777777" w:rsidR="00DF5630" w:rsidRPr="001A41C0" w:rsidRDefault="00DF5630" w:rsidP="00A07A25">
      <w:r w:rsidRPr="001A41C0">
        <w:t xml:space="preserve">Volymstatus kan ha försämrats av eventuell mannitolbehandling och diabetes insipidus. Extra volym kan behövas för att nå euvolemi. </w:t>
      </w:r>
    </w:p>
    <w:p w14:paraId="7FC273DE" w14:textId="249CEB23" w:rsidR="00DF5630" w:rsidRPr="001A41C0" w:rsidRDefault="00DF5630" w:rsidP="00A07A25">
      <w:r w:rsidRPr="001A41C0">
        <w:t>Den autonoma reaktionen som sker vid inklämningen kan leda till katekolaminkardiotoxicitet med övergående vänstersidig hjärtdysfunktion och hjärtsvikt. UCG är gjort på IVA och hjärtfunktionen är kraftigt varierande, från normalt till Takotsubo-kardiomyopati och kan kräva specifik behandling med ex. Milrinon, Dopamin</w:t>
      </w:r>
      <w:r w:rsidR="00A07A25">
        <w:t>.</w:t>
      </w:r>
    </w:p>
    <w:p w14:paraId="6C21E75A" w14:textId="77777777" w:rsidR="00A07A25" w:rsidRDefault="00A07A25" w:rsidP="00DF5630">
      <w:pPr>
        <w:spacing w:after="0" w:line="276" w:lineRule="auto"/>
        <w:ind w:right="0"/>
      </w:pPr>
    </w:p>
    <w:p w14:paraId="61E41823" w14:textId="5D144AF5" w:rsidR="00DF5630" w:rsidRPr="001A41C0" w:rsidRDefault="00DF5630" w:rsidP="00A07A25">
      <w:r w:rsidRPr="001A41C0">
        <w:t>Mål</w:t>
      </w:r>
      <w:r w:rsidR="00912BA4">
        <w:t>et är</w:t>
      </w:r>
    </w:p>
    <w:p w14:paraId="067EE6BD" w14:textId="77777777" w:rsidR="00DF5630" w:rsidRPr="00A07A25" w:rsidRDefault="00DF5630" w:rsidP="00A07A25">
      <w:pPr>
        <w:pStyle w:val="Liststycke"/>
        <w:numPr>
          <w:ilvl w:val="0"/>
          <w:numId w:val="26"/>
        </w:numPr>
        <w:spacing w:after="160" w:line="276" w:lineRule="auto"/>
        <w:ind w:right="0"/>
        <w:contextualSpacing/>
        <w:rPr>
          <w:rFonts w:eastAsia="Calibri"/>
          <w:lang w:eastAsia="en-US"/>
        </w:rPr>
      </w:pPr>
      <w:r w:rsidRPr="00A07A25">
        <w:rPr>
          <w:rFonts w:eastAsia="Calibri"/>
          <w:lang w:eastAsia="en-US"/>
        </w:rPr>
        <w:t>Återställa den intravasala volymen med balanserade kristalloider och albumin.</w:t>
      </w:r>
    </w:p>
    <w:p w14:paraId="4D6682FA" w14:textId="77777777" w:rsidR="00DF5630" w:rsidRPr="00A07A25" w:rsidRDefault="00DF5630" w:rsidP="00A07A25">
      <w:pPr>
        <w:pStyle w:val="Liststycke"/>
        <w:numPr>
          <w:ilvl w:val="0"/>
          <w:numId w:val="26"/>
        </w:numPr>
        <w:spacing w:after="160" w:line="276" w:lineRule="auto"/>
        <w:ind w:right="0"/>
        <w:contextualSpacing/>
        <w:rPr>
          <w:rFonts w:eastAsia="Calibri"/>
          <w:lang w:eastAsia="en-US"/>
        </w:rPr>
      </w:pPr>
      <w:r w:rsidRPr="00A07A25">
        <w:rPr>
          <w:rFonts w:eastAsia="Calibri"/>
          <w:lang w:eastAsia="en-US"/>
        </w:rPr>
        <w:t xml:space="preserve">Hålla patienten euvolem med modest vätskebehandling, CVP 4-10 kan oftast upprätthålla en god cirkulation utan att förvärra lungfunktion och njurperfusion. </w:t>
      </w:r>
    </w:p>
    <w:p w14:paraId="70BB9200" w14:textId="381BFA59" w:rsidR="00DF5630" w:rsidRPr="00A07A25" w:rsidRDefault="00DF5630" w:rsidP="00A07A25">
      <w:pPr>
        <w:pStyle w:val="Liststycke"/>
        <w:numPr>
          <w:ilvl w:val="0"/>
          <w:numId w:val="26"/>
        </w:numPr>
        <w:spacing w:after="160" w:line="276" w:lineRule="auto"/>
        <w:ind w:right="0"/>
        <w:contextualSpacing/>
        <w:rPr>
          <w:rFonts w:eastAsia="Calibri"/>
          <w:lang w:eastAsia="en-US"/>
        </w:rPr>
      </w:pPr>
      <w:r w:rsidRPr="00A07A25">
        <w:rPr>
          <w:rFonts w:eastAsia="Calibri"/>
          <w:lang w:eastAsia="en-US"/>
        </w:rPr>
        <w:t>Noradrenalin är förstahandsmedlet som vasopressor men det kan behövas tillägg med Vasopressin, Milrinon eller Dopamin vid samtida hjärtsvikt. Behåll till en början samma regim som på IVA.</w:t>
      </w:r>
      <w:bookmarkStart w:id="11" w:name="_Endokrinologiskt"/>
      <w:bookmarkEnd w:id="11"/>
    </w:p>
    <w:p w14:paraId="66DCFA64" w14:textId="77777777" w:rsidR="00DF5630" w:rsidRPr="008472D0" w:rsidRDefault="00DF5630" w:rsidP="00A07A25">
      <w:pPr>
        <w:pStyle w:val="Rubrik3"/>
      </w:pPr>
      <w:r w:rsidRPr="008472D0">
        <w:t>Endokrinologiskt</w:t>
      </w:r>
    </w:p>
    <w:p w14:paraId="467EB9DA" w14:textId="77777777" w:rsidR="00DF5630" w:rsidRPr="001A41C0" w:rsidRDefault="00DF5630" w:rsidP="00A07A25">
      <w:r w:rsidRPr="001A41C0">
        <w:t>Inklämning orsakar rubbningar i hormonaxlarna för kortisol, thyroideahormon och antidiuretiskt hormon. Det kraftiga katecholaminpåslaget leder också till insulinresistens. Stora diureser vid diabetes insipidus kan ge snabba förändringar av K</w:t>
      </w:r>
      <w:r w:rsidRPr="001A41C0">
        <w:rPr>
          <w:vertAlign w:val="superscript"/>
        </w:rPr>
        <w:t>+</w:t>
      </w:r>
      <w:r w:rsidRPr="001A41C0">
        <w:t>, Mg</w:t>
      </w:r>
      <w:r w:rsidRPr="001A41C0">
        <w:rPr>
          <w:vertAlign w:val="superscript"/>
        </w:rPr>
        <w:t>++</w:t>
      </w:r>
      <w:r w:rsidRPr="001A41C0">
        <w:t>, och Ca</w:t>
      </w:r>
      <w:r w:rsidRPr="001A41C0">
        <w:rPr>
          <w:vertAlign w:val="superscript"/>
        </w:rPr>
        <w:t>++</w:t>
      </w:r>
      <w:r w:rsidRPr="001A41C0">
        <w:t xml:space="preserve"> som kräver upprepade blodgaser för eventuell korrigering. Vid arrytmier kan 20 mMol Mg++ ges i.v. </w:t>
      </w:r>
    </w:p>
    <w:p w14:paraId="06ACACC7" w14:textId="77777777" w:rsidR="00DF5630" w:rsidRPr="001A41C0" w:rsidRDefault="00DF5630" w:rsidP="00A07A25">
      <w:r w:rsidRPr="001A41C0">
        <w:lastRenderedPageBreak/>
        <w:t>Hyperglykemi kan aggraveras av eventuell kortisonbehandling före donation, och insulininfusion kan behöva kopplas för glykemisk kontroll perioperativt.</w:t>
      </w:r>
    </w:p>
    <w:p w14:paraId="296CF3D5" w14:textId="77777777" w:rsidR="00DF5630" w:rsidRPr="001A41C0" w:rsidRDefault="00DF5630" w:rsidP="00DF5630">
      <w:pPr>
        <w:spacing w:after="0" w:line="240" w:lineRule="auto"/>
        <w:ind w:right="0"/>
      </w:pPr>
    </w:p>
    <w:p w14:paraId="53D30C4B" w14:textId="77777777" w:rsidR="00DF5630" w:rsidRPr="008472D0" w:rsidRDefault="00DF5630" w:rsidP="00A07A25">
      <w:pPr>
        <w:pStyle w:val="Rubrik3"/>
      </w:pPr>
      <w:bookmarkStart w:id="12" w:name="_Operationsmetod"/>
      <w:bookmarkEnd w:id="12"/>
      <w:r w:rsidRPr="008472D0">
        <w:t>Operationsmetod</w:t>
      </w:r>
    </w:p>
    <w:p w14:paraId="06008B3C" w14:textId="77777777" w:rsidR="00A07A25" w:rsidRDefault="00DF5630" w:rsidP="00A07A25">
      <w:r w:rsidRPr="001A41C0">
        <w:t xml:space="preserve">Snitt läggs från symfys till jugulum och oftast sker delning av sternum, även om inte thoraxorgan skall doneras, för att lättare komma åt levern. Organen som skall doneras fridissekeras inför perfusion och kylning. Levern delas ibland för transplantation till flera recipienter och pankreas kan doneras som paket med lever eller som eget organ. Njurar kan tas ut tidigt i donationsprocessen eller vara kvar fram till kylning av levern. </w:t>
      </w:r>
    </w:p>
    <w:p w14:paraId="628B71E2" w14:textId="76D9362E" w:rsidR="00DF5630" w:rsidRDefault="00DF5630" w:rsidP="00A07A25">
      <w:r w:rsidRPr="001A41C0">
        <w:t>Vid donation av thoraxorgan så görs en sternotomi. Inför kylning placeras kylkatetrar i buk och thoraxkärl. Vid perfusion med kylvätskor ges mannitol och donatorns blod hepariniseras. Organen som är aktuella kyls även i operationssåret med isblandad vätska. Thorax- och bukorgan kan därefter tas ut simultant av thoraxteam och bukteam, alternativt tas först thoraxorgan ut och därefter bukorgan.</w:t>
      </w:r>
    </w:p>
    <w:p w14:paraId="70E6B289" w14:textId="77777777" w:rsidR="001A41C0" w:rsidRPr="008472D0" w:rsidRDefault="001A41C0" w:rsidP="00A07A25">
      <w:pPr>
        <w:pStyle w:val="Rubrik2"/>
      </w:pPr>
      <w:bookmarkStart w:id="13" w:name="_Syfte"/>
      <w:bookmarkEnd w:id="13"/>
      <w:r w:rsidRPr="00A07A25">
        <w:t>Syfte</w:t>
      </w:r>
    </w:p>
    <w:p w14:paraId="5D5C283B" w14:textId="77777777" w:rsidR="001A41C0" w:rsidRPr="001A41C0" w:rsidRDefault="001A41C0" w:rsidP="001A41C0">
      <w:pPr>
        <w:spacing w:after="0" w:line="276" w:lineRule="auto"/>
        <w:ind w:right="0"/>
      </w:pPr>
      <w:r w:rsidRPr="001A41C0">
        <w:t xml:space="preserve">Denna rutin gäller donatorer som avlidit p.g.a. att cirkulationen till hjärnan upphört. Direkt neurologisk diagnostik för att fastställa att döden inträffat innan den döde anländer till operationsavdelningen har utförts. Anestesipersonalens uppdrag vid organdonation är att bedriva organbevarande behandling fram till att cirkulationen upphört. Avlidna organdonatorer uppvisar stor grad av individuell variation vad gäller vitalparametrar och detta kräver varierande grad av intervention för att säkerställa optimal perfusion och oxygenering av de organ som ska doneras. </w:t>
      </w:r>
    </w:p>
    <w:p w14:paraId="33804004" w14:textId="77777777" w:rsidR="001A41C0" w:rsidRPr="001A41C0" w:rsidRDefault="001A41C0" w:rsidP="001A41C0">
      <w:pPr>
        <w:spacing w:after="0" w:line="276" w:lineRule="auto"/>
        <w:ind w:right="0"/>
      </w:pPr>
    </w:p>
    <w:p w14:paraId="0C78745F" w14:textId="0ED281F9" w:rsidR="004C779A" w:rsidRPr="004C779A" w:rsidRDefault="00DF5630" w:rsidP="00A07A25">
      <w:pPr>
        <w:pStyle w:val="Rubrik2"/>
      </w:pPr>
      <w:bookmarkStart w:id="14" w:name="_Kunskapsöversikt"/>
      <w:bookmarkEnd w:id="14"/>
      <w:r w:rsidRPr="008472D0">
        <w:t>Kunskapsöversikt</w:t>
      </w:r>
    </w:p>
    <w:p w14:paraId="37D62485" w14:textId="3016A3DC" w:rsidR="004C779A" w:rsidRPr="004C779A" w:rsidRDefault="004C779A" w:rsidP="00A07A25">
      <w:hyperlink r:id="rId17" w:history="1">
        <w:r>
          <w:rPr>
            <w:rStyle w:val="Hyperlnk"/>
          </w:rPr>
          <w:t>Nationell Donationspärm DBD - Sahlgrenska Universitetssjukhuset</w:t>
        </w:r>
      </w:hyperlink>
    </w:p>
    <w:p w14:paraId="41EDD0C3" w14:textId="77777777" w:rsidR="00DF5630" w:rsidRDefault="00DF5630" w:rsidP="00A07A25">
      <w:pPr>
        <w:rPr>
          <w:color w:val="0000FF"/>
          <w:u w:val="single"/>
        </w:rPr>
      </w:pPr>
      <w:r w:rsidRPr="001A41C0">
        <w:t xml:space="preserve">Uptodate[Internet]. Management of the deceased organ donor. Citerad 2020-09-30 tillgänglig: </w:t>
      </w:r>
      <w:hyperlink r:id="rId18" w:history="1">
        <w:r w:rsidRPr="001A41C0">
          <w:rPr>
            <w:color w:val="0000FF"/>
            <w:u w:val="single"/>
          </w:rPr>
          <w:t>https://www.uptodate.com/contents/management-of-the-deceased-organ-donor</w:t>
        </w:r>
      </w:hyperlink>
    </w:p>
    <w:p w14:paraId="51C9E677" w14:textId="77777777" w:rsidR="009E2D30" w:rsidRPr="001A41C0" w:rsidRDefault="009E2D30" w:rsidP="00DF5630">
      <w:pPr>
        <w:spacing w:after="0" w:line="240" w:lineRule="auto"/>
        <w:ind w:right="0"/>
      </w:pPr>
    </w:p>
    <w:p w14:paraId="3E5B3646" w14:textId="77777777" w:rsidR="00DF5630" w:rsidRPr="001A41C0" w:rsidRDefault="00DF5630" w:rsidP="00A07A25">
      <w:pPr>
        <w:pStyle w:val="Rubrik2"/>
      </w:pPr>
      <w:r w:rsidRPr="001A41C0">
        <w:t>Granskare/arbetsgrupp</w:t>
      </w:r>
    </w:p>
    <w:p w14:paraId="4C3DF81E" w14:textId="77777777" w:rsidR="00DF5630" w:rsidRPr="001A41C0" w:rsidRDefault="00DF5630" w:rsidP="00A07A25">
      <w:r w:rsidRPr="001A41C0">
        <w:t>Peter Larsson, Överläkare AnOpIVA, Anestesi 1 och 8, Omr 5, Sahlgrenska Universitetssjukhuset</w:t>
      </w:r>
    </w:p>
    <w:p w14:paraId="006464D4" w14:textId="77777777" w:rsidR="00DF5630" w:rsidRPr="001A41C0" w:rsidRDefault="00DF5630" w:rsidP="00A07A25">
      <w:r w:rsidRPr="001A41C0">
        <w:t>Pia Löwhagen Hendén, Överläkare AnOpIVA, Omr 5, Sahlgrenska Universitetssjukhuset</w:t>
      </w:r>
    </w:p>
    <w:bookmarkEnd w:id="0"/>
    <w:p w14:paraId="76B9F95B" w14:textId="24513497" w:rsidR="00536A5A" w:rsidRPr="001A41C0" w:rsidRDefault="00536A5A" w:rsidP="00536A5A">
      <w:pPr>
        <w:spacing w:after="0" w:line="240" w:lineRule="auto"/>
        <w:ind w:right="0"/>
      </w:pPr>
    </w:p>
    <w:sectPr w:rsidR="00536A5A" w:rsidRPr="001A41C0" w:rsidSect="002B1542">
      <w:type w:val="continuous"/>
      <w:pgSz w:w="11900" w:h="16840"/>
      <w:pgMar w:top="1418" w:right="1418" w:bottom="1276" w:left="1418" w:header="284"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AA71A4" w14:textId="77777777" w:rsidR="00E437CB" w:rsidRDefault="00E437CB">
      <w:r>
        <w:separator/>
      </w:r>
    </w:p>
  </w:endnote>
  <w:endnote w:type="continuationSeparator" w:id="0">
    <w:p w14:paraId="1381DCC5" w14:textId="77777777" w:rsidR="00E437CB" w:rsidRDefault="00E437CB">
      <w:r>
        <w:continuationSeparator/>
      </w:r>
    </w:p>
  </w:endnote>
  <w:endnote w:type="continuationNotice" w:id="1">
    <w:p w14:paraId="1190706E" w14:textId="77777777" w:rsidR="00E437CB" w:rsidRDefault="00E437C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4C8403" w14:textId="77777777" w:rsidR="00E437CB" w:rsidRDefault="00E437CB"/>
  </w:footnote>
  <w:footnote w:type="continuationSeparator" w:id="0">
    <w:p w14:paraId="5B796E4F" w14:textId="77777777" w:rsidR="00E437CB" w:rsidRDefault="00E437CB">
      <w:r>
        <w:continuationSeparator/>
      </w:r>
    </w:p>
  </w:footnote>
  <w:footnote w:type="continuationNotice" w:id="1">
    <w:p w14:paraId="2B9DE194" w14:textId="77777777" w:rsidR="00E437CB" w:rsidRDefault="00E437C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D7090F"/>
    <w:multiLevelType w:val="hybridMultilevel"/>
    <w:tmpl w:val="7964539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F3B7439"/>
    <w:multiLevelType w:val="hybridMultilevel"/>
    <w:tmpl w:val="FB34846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12E03EB9"/>
    <w:multiLevelType w:val="hybridMultilevel"/>
    <w:tmpl w:val="D86EA470"/>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C075547"/>
    <w:multiLevelType w:val="hybridMultilevel"/>
    <w:tmpl w:val="8FC28874"/>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1B50023"/>
    <w:multiLevelType w:val="hybridMultilevel"/>
    <w:tmpl w:val="EC74A53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8CD2F9E"/>
    <w:multiLevelType w:val="hybridMultilevel"/>
    <w:tmpl w:val="DAA6B67E"/>
    <w:lvl w:ilvl="0" w:tplc="FFFFFFFF">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AB71FD6"/>
    <w:multiLevelType w:val="hybridMultilevel"/>
    <w:tmpl w:val="3716BA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FBB6B34"/>
    <w:multiLevelType w:val="hybridMultilevel"/>
    <w:tmpl w:val="CC1AA172"/>
    <w:lvl w:ilvl="0" w:tplc="FFFFFFFF">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700012300">
    <w:abstractNumId w:val="24"/>
  </w:num>
  <w:num w:numId="2" w16cid:durableId="689991368">
    <w:abstractNumId w:val="20"/>
  </w:num>
  <w:num w:numId="3" w16cid:durableId="273902194">
    <w:abstractNumId w:val="0"/>
  </w:num>
  <w:num w:numId="4" w16cid:durableId="2064870630">
    <w:abstractNumId w:val="9"/>
  </w:num>
  <w:num w:numId="5" w16cid:durableId="1607348557">
    <w:abstractNumId w:val="21"/>
  </w:num>
  <w:num w:numId="6" w16cid:durableId="1488744197">
    <w:abstractNumId w:val="3"/>
  </w:num>
  <w:num w:numId="7" w16cid:durableId="1801414605">
    <w:abstractNumId w:val="16"/>
  </w:num>
  <w:num w:numId="8" w16cid:durableId="2125996150">
    <w:abstractNumId w:val="12"/>
  </w:num>
  <w:num w:numId="9" w16cid:durableId="411440481">
    <w:abstractNumId w:val="1"/>
  </w:num>
  <w:num w:numId="10" w16cid:durableId="1513110667">
    <w:abstractNumId w:val="1"/>
  </w:num>
  <w:num w:numId="11" w16cid:durableId="428963528">
    <w:abstractNumId w:val="4"/>
  </w:num>
  <w:num w:numId="12" w16cid:durableId="1231232673">
    <w:abstractNumId w:val="7"/>
  </w:num>
  <w:num w:numId="13" w16cid:durableId="1286813097">
    <w:abstractNumId w:val="19"/>
  </w:num>
  <w:num w:numId="14" w16cid:durableId="974795147">
    <w:abstractNumId w:val="13"/>
  </w:num>
  <w:num w:numId="15" w16cid:durableId="181944903">
    <w:abstractNumId w:val="10"/>
  </w:num>
  <w:num w:numId="16" w16cid:durableId="448865262">
    <w:abstractNumId w:val="18"/>
  </w:num>
  <w:num w:numId="17" w16cid:durableId="754473439">
    <w:abstractNumId w:val="8"/>
  </w:num>
  <w:num w:numId="18" w16cid:durableId="973676551">
    <w:abstractNumId w:val="14"/>
  </w:num>
  <w:num w:numId="19" w16cid:durableId="404569506">
    <w:abstractNumId w:val="23"/>
  </w:num>
  <w:num w:numId="20" w16cid:durableId="138352110">
    <w:abstractNumId w:val="25"/>
  </w:num>
  <w:num w:numId="21" w16cid:durableId="2059351627">
    <w:abstractNumId w:val="17"/>
  </w:num>
  <w:num w:numId="22" w16cid:durableId="1258514355">
    <w:abstractNumId w:val="5"/>
  </w:num>
  <w:num w:numId="23" w16cid:durableId="1389306306">
    <w:abstractNumId w:val="15"/>
  </w:num>
  <w:num w:numId="24" w16cid:durableId="1905213002">
    <w:abstractNumId w:val="6"/>
  </w:num>
  <w:num w:numId="25" w16cid:durableId="1068578702">
    <w:abstractNumId w:val="22"/>
  </w:num>
  <w:num w:numId="26" w16cid:durableId="1953438689">
    <w:abstractNumId w:val="11"/>
  </w:num>
  <w:num w:numId="27" w16cid:durableId="21188698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4A6"/>
    <w:rsid w:val="000051D5"/>
    <w:rsid w:val="00006D2A"/>
    <w:rsid w:val="00010D47"/>
    <w:rsid w:val="00016CF0"/>
    <w:rsid w:val="0002435C"/>
    <w:rsid w:val="00030DDD"/>
    <w:rsid w:val="000313BB"/>
    <w:rsid w:val="00033ED5"/>
    <w:rsid w:val="00034A70"/>
    <w:rsid w:val="00050500"/>
    <w:rsid w:val="0005691C"/>
    <w:rsid w:val="00056ECB"/>
    <w:rsid w:val="00056ED5"/>
    <w:rsid w:val="000655CC"/>
    <w:rsid w:val="000700AE"/>
    <w:rsid w:val="00072E2F"/>
    <w:rsid w:val="00084024"/>
    <w:rsid w:val="0009062C"/>
    <w:rsid w:val="00095368"/>
    <w:rsid w:val="000954C4"/>
    <w:rsid w:val="000A2240"/>
    <w:rsid w:val="000A4C35"/>
    <w:rsid w:val="000A611A"/>
    <w:rsid w:val="000B12D9"/>
    <w:rsid w:val="000B4536"/>
    <w:rsid w:val="000B7715"/>
    <w:rsid w:val="000C48E9"/>
    <w:rsid w:val="000D5E28"/>
    <w:rsid w:val="000E463B"/>
    <w:rsid w:val="000E5A7E"/>
    <w:rsid w:val="000F43A3"/>
    <w:rsid w:val="000F7681"/>
    <w:rsid w:val="00103031"/>
    <w:rsid w:val="001044FE"/>
    <w:rsid w:val="00107579"/>
    <w:rsid w:val="001139D4"/>
    <w:rsid w:val="00114C38"/>
    <w:rsid w:val="00130AA3"/>
    <w:rsid w:val="00131B08"/>
    <w:rsid w:val="00132A59"/>
    <w:rsid w:val="00133337"/>
    <w:rsid w:val="00133A0F"/>
    <w:rsid w:val="0013580F"/>
    <w:rsid w:val="00137B6D"/>
    <w:rsid w:val="0014070B"/>
    <w:rsid w:val="001422C1"/>
    <w:rsid w:val="00144A10"/>
    <w:rsid w:val="00151E75"/>
    <w:rsid w:val="001522AE"/>
    <w:rsid w:val="00157D5B"/>
    <w:rsid w:val="00161FE6"/>
    <w:rsid w:val="00163B82"/>
    <w:rsid w:val="001647EA"/>
    <w:rsid w:val="00164C3D"/>
    <w:rsid w:val="00164DF1"/>
    <w:rsid w:val="00166D3A"/>
    <w:rsid w:val="0018077D"/>
    <w:rsid w:val="00181FDC"/>
    <w:rsid w:val="001860B9"/>
    <w:rsid w:val="00186F2B"/>
    <w:rsid w:val="001874D6"/>
    <w:rsid w:val="0019632A"/>
    <w:rsid w:val="001A41C0"/>
    <w:rsid w:val="001A4E7C"/>
    <w:rsid w:val="001B762C"/>
    <w:rsid w:val="001C4834"/>
    <w:rsid w:val="001C4D0A"/>
    <w:rsid w:val="001C5FEF"/>
    <w:rsid w:val="001D66B7"/>
    <w:rsid w:val="001E3F6C"/>
    <w:rsid w:val="001F66B4"/>
    <w:rsid w:val="00211487"/>
    <w:rsid w:val="00211D91"/>
    <w:rsid w:val="00217DEC"/>
    <w:rsid w:val="00235B57"/>
    <w:rsid w:val="00237CA1"/>
    <w:rsid w:val="00237DDB"/>
    <w:rsid w:val="0024199C"/>
    <w:rsid w:val="00242421"/>
    <w:rsid w:val="00243BD2"/>
    <w:rsid w:val="00250F24"/>
    <w:rsid w:val="002523C5"/>
    <w:rsid w:val="0025380B"/>
    <w:rsid w:val="0025703A"/>
    <w:rsid w:val="00262F3D"/>
    <w:rsid w:val="00263281"/>
    <w:rsid w:val="002651D6"/>
    <w:rsid w:val="0026551F"/>
    <w:rsid w:val="00275BA6"/>
    <w:rsid w:val="0027615F"/>
    <w:rsid w:val="0027744C"/>
    <w:rsid w:val="00280A85"/>
    <w:rsid w:val="00284119"/>
    <w:rsid w:val="00287C71"/>
    <w:rsid w:val="00290B5C"/>
    <w:rsid w:val="00294791"/>
    <w:rsid w:val="00296408"/>
    <w:rsid w:val="002A453A"/>
    <w:rsid w:val="002B0B30"/>
    <w:rsid w:val="002B0C78"/>
    <w:rsid w:val="002B1542"/>
    <w:rsid w:val="002C0C02"/>
    <w:rsid w:val="002C1277"/>
    <w:rsid w:val="002C60AD"/>
    <w:rsid w:val="002D0E0E"/>
    <w:rsid w:val="002D1E93"/>
    <w:rsid w:val="002D6023"/>
    <w:rsid w:val="002E1D5E"/>
    <w:rsid w:val="002E263F"/>
    <w:rsid w:val="002E6F81"/>
    <w:rsid w:val="002F08BA"/>
    <w:rsid w:val="002F2CFF"/>
    <w:rsid w:val="002F568B"/>
    <w:rsid w:val="002F7818"/>
    <w:rsid w:val="00303DC2"/>
    <w:rsid w:val="003066D0"/>
    <w:rsid w:val="00311401"/>
    <w:rsid w:val="003203D7"/>
    <w:rsid w:val="00320F86"/>
    <w:rsid w:val="00324171"/>
    <w:rsid w:val="00326C24"/>
    <w:rsid w:val="00330AC8"/>
    <w:rsid w:val="00337105"/>
    <w:rsid w:val="00337F99"/>
    <w:rsid w:val="0034307B"/>
    <w:rsid w:val="00345EB1"/>
    <w:rsid w:val="00350CC4"/>
    <w:rsid w:val="003523B3"/>
    <w:rsid w:val="00360E0D"/>
    <w:rsid w:val="0036357D"/>
    <w:rsid w:val="00363B23"/>
    <w:rsid w:val="0036458F"/>
    <w:rsid w:val="0036594C"/>
    <w:rsid w:val="00367D19"/>
    <w:rsid w:val="00371BED"/>
    <w:rsid w:val="00372F8C"/>
    <w:rsid w:val="00374595"/>
    <w:rsid w:val="00384019"/>
    <w:rsid w:val="003846FA"/>
    <w:rsid w:val="003854F1"/>
    <w:rsid w:val="0039118E"/>
    <w:rsid w:val="00397F54"/>
    <w:rsid w:val="003A0D43"/>
    <w:rsid w:val="003A4782"/>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7E9"/>
    <w:rsid w:val="00451935"/>
    <w:rsid w:val="00460ED0"/>
    <w:rsid w:val="00465651"/>
    <w:rsid w:val="00470CE7"/>
    <w:rsid w:val="00470F4F"/>
    <w:rsid w:val="004722E7"/>
    <w:rsid w:val="00472482"/>
    <w:rsid w:val="00480DC7"/>
    <w:rsid w:val="004876F6"/>
    <w:rsid w:val="0049236A"/>
    <w:rsid w:val="00492718"/>
    <w:rsid w:val="004A355D"/>
    <w:rsid w:val="004A4970"/>
    <w:rsid w:val="004B2183"/>
    <w:rsid w:val="004B2A01"/>
    <w:rsid w:val="004C0EB0"/>
    <w:rsid w:val="004C2559"/>
    <w:rsid w:val="004C779A"/>
    <w:rsid w:val="004D086B"/>
    <w:rsid w:val="004D7BA3"/>
    <w:rsid w:val="004F4518"/>
    <w:rsid w:val="004F4C62"/>
    <w:rsid w:val="004F657D"/>
    <w:rsid w:val="00501433"/>
    <w:rsid w:val="00505DDF"/>
    <w:rsid w:val="00511CC4"/>
    <w:rsid w:val="0052440E"/>
    <w:rsid w:val="00531E60"/>
    <w:rsid w:val="00536A5A"/>
    <w:rsid w:val="00541D07"/>
    <w:rsid w:val="00544BAB"/>
    <w:rsid w:val="00545F31"/>
    <w:rsid w:val="005578FA"/>
    <w:rsid w:val="00565129"/>
    <w:rsid w:val="00565CD0"/>
    <w:rsid w:val="00567820"/>
    <w:rsid w:val="005770AD"/>
    <w:rsid w:val="00577353"/>
    <w:rsid w:val="00581414"/>
    <w:rsid w:val="00582490"/>
    <w:rsid w:val="005826FA"/>
    <w:rsid w:val="00597E28"/>
    <w:rsid w:val="005A2E3B"/>
    <w:rsid w:val="005A54ED"/>
    <w:rsid w:val="005A5D5B"/>
    <w:rsid w:val="005A6081"/>
    <w:rsid w:val="005A61BA"/>
    <w:rsid w:val="005A627D"/>
    <w:rsid w:val="005C0045"/>
    <w:rsid w:val="005C084E"/>
    <w:rsid w:val="005C4606"/>
    <w:rsid w:val="005D0B0C"/>
    <w:rsid w:val="005E02B3"/>
    <w:rsid w:val="005E1312"/>
    <w:rsid w:val="005E16F8"/>
    <w:rsid w:val="005E1E24"/>
    <w:rsid w:val="0060596B"/>
    <w:rsid w:val="00606D97"/>
    <w:rsid w:val="00614E64"/>
    <w:rsid w:val="0061670E"/>
    <w:rsid w:val="00617710"/>
    <w:rsid w:val="00617EE6"/>
    <w:rsid w:val="0062184C"/>
    <w:rsid w:val="00623724"/>
    <w:rsid w:val="00625A7C"/>
    <w:rsid w:val="00627BEA"/>
    <w:rsid w:val="006319DB"/>
    <w:rsid w:val="00634838"/>
    <w:rsid w:val="00653EA4"/>
    <w:rsid w:val="0065595B"/>
    <w:rsid w:val="00660269"/>
    <w:rsid w:val="00665F89"/>
    <w:rsid w:val="00673C92"/>
    <w:rsid w:val="006753EC"/>
    <w:rsid w:val="00675C6D"/>
    <w:rsid w:val="00686D9C"/>
    <w:rsid w:val="006A2789"/>
    <w:rsid w:val="006A4978"/>
    <w:rsid w:val="006A7261"/>
    <w:rsid w:val="006B0D29"/>
    <w:rsid w:val="006B1819"/>
    <w:rsid w:val="006B5DE7"/>
    <w:rsid w:val="006B78F4"/>
    <w:rsid w:val="006C2BCE"/>
    <w:rsid w:val="006C5048"/>
    <w:rsid w:val="006C6A4B"/>
    <w:rsid w:val="006C779F"/>
    <w:rsid w:val="006D01F5"/>
    <w:rsid w:val="006D0CFB"/>
    <w:rsid w:val="006D30C0"/>
    <w:rsid w:val="006D7535"/>
    <w:rsid w:val="006E450B"/>
    <w:rsid w:val="006F0D7E"/>
    <w:rsid w:val="00710B77"/>
    <w:rsid w:val="007141CE"/>
    <w:rsid w:val="0072075B"/>
    <w:rsid w:val="007221C2"/>
    <w:rsid w:val="00725816"/>
    <w:rsid w:val="00730955"/>
    <w:rsid w:val="00733A9C"/>
    <w:rsid w:val="00736574"/>
    <w:rsid w:val="007367E0"/>
    <w:rsid w:val="00737215"/>
    <w:rsid w:val="007479CD"/>
    <w:rsid w:val="00754905"/>
    <w:rsid w:val="00760038"/>
    <w:rsid w:val="007600C3"/>
    <w:rsid w:val="00762EE0"/>
    <w:rsid w:val="007640F9"/>
    <w:rsid w:val="00765C41"/>
    <w:rsid w:val="00771100"/>
    <w:rsid w:val="00773615"/>
    <w:rsid w:val="007759DD"/>
    <w:rsid w:val="0078609F"/>
    <w:rsid w:val="007917BA"/>
    <w:rsid w:val="007A5C6F"/>
    <w:rsid w:val="007B323E"/>
    <w:rsid w:val="007B5A37"/>
    <w:rsid w:val="007D4241"/>
    <w:rsid w:val="007D4317"/>
    <w:rsid w:val="007D4EA3"/>
    <w:rsid w:val="007E4A4D"/>
    <w:rsid w:val="007F1CFF"/>
    <w:rsid w:val="007F5DD5"/>
    <w:rsid w:val="00805247"/>
    <w:rsid w:val="00821A1B"/>
    <w:rsid w:val="008262E9"/>
    <w:rsid w:val="00827E69"/>
    <w:rsid w:val="00835C4D"/>
    <w:rsid w:val="00843F48"/>
    <w:rsid w:val="00846376"/>
    <w:rsid w:val="008472D0"/>
    <w:rsid w:val="00851423"/>
    <w:rsid w:val="00857848"/>
    <w:rsid w:val="008654B6"/>
    <w:rsid w:val="00866D2A"/>
    <w:rsid w:val="0087139C"/>
    <w:rsid w:val="008746F4"/>
    <w:rsid w:val="00880E83"/>
    <w:rsid w:val="00882360"/>
    <w:rsid w:val="00892F28"/>
    <w:rsid w:val="008A0C5F"/>
    <w:rsid w:val="008A177D"/>
    <w:rsid w:val="008A3DEA"/>
    <w:rsid w:val="008A4EB9"/>
    <w:rsid w:val="008A71AC"/>
    <w:rsid w:val="008A74C0"/>
    <w:rsid w:val="008B1694"/>
    <w:rsid w:val="008B717B"/>
    <w:rsid w:val="008C4B27"/>
    <w:rsid w:val="008C7F2A"/>
    <w:rsid w:val="008D07F1"/>
    <w:rsid w:val="008E31B9"/>
    <w:rsid w:val="008E36F8"/>
    <w:rsid w:val="008E46B2"/>
    <w:rsid w:val="008E682C"/>
    <w:rsid w:val="008E78A1"/>
    <w:rsid w:val="008F589F"/>
    <w:rsid w:val="008F7669"/>
    <w:rsid w:val="008F7752"/>
    <w:rsid w:val="00906238"/>
    <w:rsid w:val="00907EF9"/>
    <w:rsid w:val="0091295C"/>
    <w:rsid w:val="00912BA4"/>
    <w:rsid w:val="00914D58"/>
    <w:rsid w:val="00915330"/>
    <w:rsid w:val="00921537"/>
    <w:rsid w:val="00921F47"/>
    <w:rsid w:val="009228AB"/>
    <w:rsid w:val="00925D7B"/>
    <w:rsid w:val="0093085B"/>
    <w:rsid w:val="00931C57"/>
    <w:rsid w:val="00931DA6"/>
    <w:rsid w:val="009347A5"/>
    <w:rsid w:val="00941675"/>
    <w:rsid w:val="00942257"/>
    <w:rsid w:val="009425CE"/>
    <w:rsid w:val="009440D7"/>
    <w:rsid w:val="009471BF"/>
    <w:rsid w:val="00950E4E"/>
    <w:rsid w:val="009529BD"/>
    <w:rsid w:val="00952AC4"/>
    <w:rsid w:val="009533B4"/>
    <w:rsid w:val="00971D93"/>
    <w:rsid w:val="009A5461"/>
    <w:rsid w:val="009B03F8"/>
    <w:rsid w:val="009B1F6B"/>
    <w:rsid w:val="009C0D12"/>
    <w:rsid w:val="009C192E"/>
    <w:rsid w:val="009D6819"/>
    <w:rsid w:val="009D6D1C"/>
    <w:rsid w:val="009E0CF9"/>
    <w:rsid w:val="009E14C1"/>
    <w:rsid w:val="009E2D30"/>
    <w:rsid w:val="009E531B"/>
    <w:rsid w:val="009E6C56"/>
    <w:rsid w:val="009E7DCF"/>
    <w:rsid w:val="009F4A56"/>
    <w:rsid w:val="009F4E65"/>
    <w:rsid w:val="00A006A5"/>
    <w:rsid w:val="00A05942"/>
    <w:rsid w:val="00A07A25"/>
    <w:rsid w:val="00A07BEC"/>
    <w:rsid w:val="00A2117C"/>
    <w:rsid w:val="00A25A1C"/>
    <w:rsid w:val="00A264BE"/>
    <w:rsid w:val="00A272CA"/>
    <w:rsid w:val="00A31EDD"/>
    <w:rsid w:val="00A33051"/>
    <w:rsid w:val="00A407AD"/>
    <w:rsid w:val="00A40923"/>
    <w:rsid w:val="00A41C05"/>
    <w:rsid w:val="00A42426"/>
    <w:rsid w:val="00A514B7"/>
    <w:rsid w:val="00A54A0B"/>
    <w:rsid w:val="00A638FF"/>
    <w:rsid w:val="00A65FD4"/>
    <w:rsid w:val="00A74E81"/>
    <w:rsid w:val="00A81198"/>
    <w:rsid w:val="00A81B9A"/>
    <w:rsid w:val="00A81E48"/>
    <w:rsid w:val="00A82035"/>
    <w:rsid w:val="00A90D77"/>
    <w:rsid w:val="00A92E07"/>
    <w:rsid w:val="00AA0B3A"/>
    <w:rsid w:val="00AA6EB4"/>
    <w:rsid w:val="00AA767D"/>
    <w:rsid w:val="00AB0CC9"/>
    <w:rsid w:val="00AC3FF6"/>
    <w:rsid w:val="00AD73EC"/>
    <w:rsid w:val="00AE5BC7"/>
    <w:rsid w:val="00AF3A4A"/>
    <w:rsid w:val="00AF5AAF"/>
    <w:rsid w:val="00B003B6"/>
    <w:rsid w:val="00B046D8"/>
    <w:rsid w:val="00B04D08"/>
    <w:rsid w:val="00B13F4C"/>
    <w:rsid w:val="00B16219"/>
    <w:rsid w:val="00B16C59"/>
    <w:rsid w:val="00B171E8"/>
    <w:rsid w:val="00B25BF4"/>
    <w:rsid w:val="00B27A7E"/>
    <w:rsid w:val="00B33FDD"/>
    <w:rsid w:val="00B354B8"/>
    <w:rsid w:val="00B359CC"/>
    <w:rsid w:val="00B36107"/>
    <w:rsid w:val="00B41789"/>
    <w:rsid w:val="00B46C03"/>
    <w:rsid w:val="00B60C6C"/>
    <w:rsid w:val="00B619A9"/>
    <w:rsid w:val="00B65A9D"/>
    <w:rsid w:val="00B66139"/>
    <w:rsid w:val="00B66D60"/>
    <w:rsid w:val="00B750DF"/>
    <w:rsid w:val="00B75EDE"/>
    <w:rsid w:val="00B77D88"/>
    <w:rsid w:val="00B77FAF"/>
    <w:rsid w:val="00B80B2E"/>
    <w:rsid w:val="00B84336"/>
    <w:rsid w:val="00B851B9"/>
    <w:rsid w:val="00B86453"/>
    <w:rsid w:val="00B868CC"/>
    <w:rsid w:val="00B90054"/>
    <w:rsid w:val="00B92C14"/>
    <w:rsid w:val="00BA0066"/>
    <w:rsid w:val="00BB18E1"/>
    <w:rsid w:val="00BB5287"/>
    <w:rsid w:val="00BB69DB"/>
    <w:rsid w:val="00BC322E"/>
    <w:rsid w:val="00BC44CD"/>
    <w:rsid w:val="00BC48A6"/>
    <w:rsid w:val="00BE7978"/>
    <w:rsid w:val="00C07DDB"/>
    <w:rsid w:val="00C24B64"/>
    <w:rsid w:val="00C3060A"/>
    <w:rsid w:val="00C3122A"/>
    <w:rsid w:val="00C4115D"/>
    <w:rsid w:val="00C43BDD"/>
    <w:rsid w:val="00C47778"/>
    <w:rsid w:val="00C5011E"/>
    <w:rsid w:val="00C50EE5"/>
    <w:rsid w:val="00C5240A"/>
    <w:rsid w:val="00C5398F"/>
    <w:rsid w:val="00C54BEA"/>
    <w:rsid w:val="00C556F5"/>
    <w:rsid w:val="00C70E19"/>
    <w:rsid w:val="00C72574"/>
    <w:rsid w:val="00C7430C"/>
    <w:rsid w:val="00C74BC4"/>
    <w:rsid w:val="00C774CD"/>
    <w:rsid w:val="00C77AD9"/>
    <w:rsid w:val="00C80BED"/>
    <w:rsid w:val="00C85DA1"/>
    <w:rsid w:val="00C9071C"/>
    <w:rsid w:val="00C908FF"/>
    <w:rsid w:val="00C91625"/>
    <w:rsid w:val="00C97BD3"/>
    <w:rsid w:val="00CA39EF"/>
    <w:rsid w:val="00CA521F"/>
    <w:rsid w:val="00CB0493"/>
    <w:rsid w:val="00CB17FF"/>
    <w:rsid w:val="00CB1ED7"/>
    <w:rsid w:val="00CC167C"/>
    <w:rsid w:val="00CC52D9"/>
    <w:rsid w:val="00CD5740"/>
    <w:rsid w:val="00CD6184"/>
    <w:rsid w:val="00CD6647"/>
    <w:rsid w:val="00CE1F2C"/>
    <w:rsid w:val="00CE4B73"/>
    <w:rsid w:val="00CE6750"/>
    <w:rsid w:val="00CF62E7"/>
    <w:rsid w:val="00CF70BB"/>
    <w:rsid w:val="00D074DB"/>
    <w:rsid w:val="00D139CF"/>
    <w:rsid w:val="00D37E7F"/>
    <w:rsid w:val="00D47AD7"/>
    <w:rsid w:val="00D51529"/>
    <w:rsid w:val="00D55B2B"/>
    <w:rsid w:val="00D66E9C"/>
    <w:rsid w:val="00D74F0C"/>
    <w:rsid w:val="00D755F7"/>
    <w:rsid w:val="00D77D48"/>
    <w:rsid w:val="00D85218"/>
    <w:rsid w:val="00D915B1"/>
    <w:rsid w:val="00D93F89"/>
    <w:rsid w:val="00D971A7"/>
    <w:rsid w:val="00DA299D"/>
    <w:rsid w:val="00DA65C4"/>
    <w:rsid w:val="00DA738C"/>
    <w:rsid w:val="00DD0B41"/>
    <w:rsid w:val="00DD2BE0"/>
    <w:rsid w:val="00DD3A96"/>
    <w:rsid w:val="00DE4447"/>
    <w:rsid w:val="00DE49A0"/>
    <w:rsid w:val="00DE5DA2"/>
    <w:rsid w:val="00DF0033"/>
    <w:rsid w:val="00DF1543"/>
    <w:rsid w:val="00DF17C6"/>
    <w:rsid w:val="00DF5630"/>
    <w:rsid w:val="00E026BF"/>
    <w:rsid w:val="00E07B1B"/>
    <w:rsid w:val="00E11853"/>
    <w:rsid w:val="00E138CE"/>
    <w:rsid w:val="00E23696"/>
    <w:rsid w:val="00E40D93"/>
    <w:rsid w:val="00E437CB"/>
    <w:rsid w:val="00E52A86"/>
    <w:rsid w:val="00E54B47"/>
    <w:rsid w:val="00E553BF"/>
    <w:rsid w:val="00E55D93"/>
    <w:rsid w:val="00E61294"/>
    <w:rsid w:val="00E63BF6"/>
    <w:rsid w:val="00E7237C"/>
    <w:rsid w:val="00E73F0A"/>
    <w:rsid w:val="00E77C46"/>
    <w:rsid w:val="00E82372"/>
    <w:rsid w:val="00E86CE8"/>
    <w:rsid w:val="00E90E82"/>
    <w:rsid w:val="00EA00CB"/>
    <w:rsid w:val="00EA1BAA"/>
    <w:rsid w:val="00EA3FCD"/>
    <w:rsid w:val="00EA42A0"/>
    <w:rsid w:val="00EB0B6B"/>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55860"/>
    <w:rsid w:val="00F829D8"/>
    <w:rsid w:val="00F830C7"/>
    <w:rsid w:val="00F86F47"/>
    <w:rsid w:val="00F90B64"/>
    <w:rsid w:val="00F96D81"/>
    <w:rsid w:val="00FB0022"/>
    <w:rsid w:val="00FB2F0F"/>
    <w:rsid w:val="00FB5086"/>
    <w:rsid w:val="00FB5411"/>
    <w:rsid w:val="00FB6392"/>
    <w:rsid w:val="00FC138A"/>
    <w:rsid w:val="00FC4512"/>
    <w:rsid w:val="00FD3C70"/>
    <w:rsid w:val="00FD4A9B"/>
    <w:rsid w:val="00FD6820"/>
    <w:rsid w:val="00FE12D8"/>
    <w:rsid w:val="00FF7C02"/>
    <w:rsid w:val="01684715"/>
    <w:rsid w:val="024801E3"/>
    <w:rsid w:val="3C92FD74"/>
    <w:rsid w:val="40180D92"/>
    <w:rsid w:val="4F4B093C"/>
    <w:rsid w:val="52CAF968"/>
    <w:rsid w:val="62E90AB8"/>
    <w:rsid w:val="647B2B65"/>
    <w:rsid w:val="6620AB7A"/>
    <w:rsid w:val="69584C3C"/>
    <w:rsid w:val="6B2CF8ED"/>
    <w:rsid w:val="6C42A3E2"/>
    <w:rsid w:val="7D80AB5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6E05B8AF-276C-4B8C-8FB5-72BF3007EF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868CC"/>
    <w:pPr>
      <w:spacing w:after="120" w:line="288" w:lineRule="auto"/>
      <w:ind w:right="868"/>
    </w:pPr>
    <w:rPr>
      <w:rFonts w:ascii="Georgia" w:hAnsi="Georgia"/>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B868CC"/>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634838"/>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B868CC"/>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634838"/>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EB0B6B"/>
    <w:pPr>
      <w:numPr>
        <w:numId w:val="13"/>
      </w:numPr>
      <w:spacing w:before="120"/>
      <w:ind w:left="1712" w:hanging="357"/>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8746F4"/>
    <w:pPr>
      <w:spacing w:after="0" w:line="240" w:lineRule="auto"/>
      <w:ind w:left="1304"/>
    </w:pPr>
    <w:rPr>
      <w:rFonts w:ascii="Verdana" w:hAnsi="Verdana"/>
      <w:sz w:val="48"/>
    </w:rPr>
  </w:style>
  <w:style w:type="character" w:customStyle="1" w:styleId="OmslagsrubrikChar">
    <w:name w:val="Omslagsrubrik Char"/>
    <w:basedOn w:val="Standardstycketeckensnitt"/>
    <w:link w:val="Omslagsrubrik"/>
    <w:uiPriority w:val="3"/>
    <w:rsid w:val="008746F4"/>
    <w:rPr>
      <w:rFonts w:ascii="Verdana" w:hAnsi="Verdana"/>
      <w:sz w:val="48"/>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B04D08"/>
    <w:rPr>
      <w:color w:val="605E5C"/>
      <w:shd w:val="clear" w:color="auto" w:fill="E1DFDD"/>
    </w:rPr>
  </w:style>
  <w:style w:type="paragraph" w:customStyle="1" w:styleId="underrubrikVGR">
    <w:name w:val="underrubrik VGR"/>
    <w:basedOn w:val="Rubrik4"/>
    <w:link w:val="underrubrikVGRChar"/>
    <w:qFormat/>
    <w:rsid w:val="00882360"/>
    <w:rPr>
      <w:rFonts w:ascii="Verdana" w:hAnsi="Verdana"/>
      <w:b w:val="0"/>
      <w:sz w:val="28"/>
    </w:rPr>
  </w:style>
  <w:style w:type="character" w:customStyle="1" w:styleId="underrubrikVGRChar">
    <w:name w:val="underrubrik VGR Char"/>
    <w:basedOn w:val="Rubrik4Char"/>
    <w:link w:val="underrubrikVGR"/>
    <w:rsid w:val="00882360"/>
    <w:rPr>
      <w:rFonts w:ascii="Verdana" w:eastAsiaTheme="majorEastAsia" w:hAnsi="Verdana" w:cstheme="majorBidi"/>
      <w:b w:val="0"/>
      <w:bCs/>
      <w:iCs/>
      <w:color w:val="000000" w:themeColor="text1"/>
      <w:sz w:val="28"/>
      <w:szCs w:val="24"/>
    </w:rPr>
  </w:style>
  <w:style w:type="paragraph" w:styleId="Underrubrik">
    <w:name w:val="Subtitle"/>
    <w:basedOn w:val="Normal"/>
    <w:next w:val="Normal"/>
    <w:link w:val="UnderrubrikChar"/>
    <w:qFormat/>
    <w:rsid w:val="00072E2F"/>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072E2F"/>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uptodate.com/contents/management-of-the-deceased-organ-donor"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sahlgrenska.se/omraden/omrade-5/verksamhet-transplantationscentrum/donationsparmen/dbd/"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248</TotalTime>
  <Pages>7</Pages>
  <Words>2028</Words>
  <Characters>10754</Characters>
  <Application>Microsoft Office Word</Application>
  <DocSecurity>0</DocSecurity>
  <Lines>89</Lines>
  <Paragraphs>25</Paragraphs>
  <ScaleCrop>false</ScaleCrop>
  <Manager/>
  <Company/>
  <LinksUpToDate>false</LinksUpToDate>
  <CharactersWithSpaces>12757</CharactersWithSpaces>
  <SharedDoc>false</SharedDoc>
  <HyperlinkBase/>
  <HLinks>
    <vt:vector size="90" baseType="variant">
      <vt:variant>
        <vt:i4>1310740</vt:i4>
      </vt:variant>
      <vt:variant>
        <vt:i4>42</vt:i4>
      </vt:variant>
      <vt:variant>
        <vt:i4>0</vt:i4>
      </vt:variant>
      <vt:variant>
        <vt:i4>5</vt:i4>
      </vt:variant>
      <vt:variant>
        <vt:lpwstr>https://www.uptodate.com/contents/management-of-the-deceased-organ-donor</vt:lpwstr>
      </vt:variant>
      <vt:variant>
        <vt:lpwstr/>
      </vt:variant>
      <vt:variant>
        <vt:i4>7733286</vt:i4>
      </vt:variant>
      <vt:variant>
        <vt:i4>39</vt:i4>
      </vt:variant>
      <vt:variant>
        <vt:i4>0</vt:i4>
      </vt:variant>
      <vt:variant>
        <vt:i4>5</vt:i4>
      </vt:variant>
      <vt:variant>
        <vt:lpwstr>https://www.sahlgrenska.se/omraden/omrade-5/verksamhet-transplantationscentrum/donationsparmen/dbd/</vt:lpwstr>
      </vt:variant>
      <vt:variant>
        <vt:lpwstr/>
      </vt:variant>
      <vt:variant>
        <vt:i4>9764902</vt:i4>
      </vt:variant>
      <vt:variant>
        <vt:i4>36</vt:i4>
      </vt:variant>
      <vt:variant>
        <vt:i4>0</vt:i4>
      </vt:variant>
      <vt:variant>
        <vt:i4>5</vt:i4>
      </vt:variant>
      <vt:variant>
        <vt:lpwstr/>
      </vt:variant>
      <vt:variant>
        <vt:lpwstr>_Kunskapsöversikt</vt:lpwstr>
      </vt:variant>
      <vt:variant>
        <vt:i4>7340114</vt:i4>
      </vt:variant>
      <vt:variant>
        <vt:i4>33</vt:i4>
      </vt:variant>
      <vt:variant>
        <vt:i4>0</vt:i4>
      </vt:variant>
      <vt:variant>
        <vt:i4>5</vt:i4>
      </vt:variant>
      <vt:variant>
        <vt:lpwstr/>
      </vt:variant>
      <vt:variant>
        <vt:lpwstr>_Syfte</vt:lpwstr>
      </vt:variant>
      <vt:variant>
        <vt:i4>1114175</vt:i4>
      </vt:variant>
      <vt:variant>
        <vt:i4>30</vt:i4>
      </vt:variant>
      <vt:variant>
        <vt:i4>0</vt:i4>
      </vt:variant>
      <vt:variant>
        <vt:i4>5</vt:i4>
      </vt:variant>
      <vt:variant>
        <vt:lpwstr/>
      </vt:variant>
      <vt:variant>
        <vt:lpwstr>_Operationsmetod</vt:lpwstr>
      </vt:variant>
      <vt:variant>
        <vt:i4>65594</vt:i4>
      </vt:variant>
      <vt:variant>
        <vt:i4>27</vt:i4>
      </vt:variant>
      <vt:variant>
        <vt:i4>0</vt:i4>
      </vt:variant>
      <vt:variant>
        <vt:i4>5</vt:i4>
      </vt:variant>
      <vt:variant>
        <vt:lpwstr/>
      </vt:variant>
      <vt:variant>
        <vt:lpwstr>_Endokrinologiskt</vt:lpwstr>
      </vt:variant>
      <vt:variant>
        <vt:i4>131114</vt:i4>
      </vt:variant>
      <vt:variant>
        <vt:i4>24</vt:i4>
      </vt:variant>
      <vt:variant>
        <vt:i4>0</vt:i4>
      </vt:variant>
      <vt:variant>
        <vt:i4>5</vt:i4>
      </vt:variant>
      <vt:variant>
        <vt:lpwstr/>
      </vt:variant>
      <vt:variant>
        <vt:lpwstr>_Cirkulation</vt:lpwstr>
      </vt:variant>
      <vt:variant>
        <vt:i4>917539</vt:i4>
      </vt:variant>
      <vt:variant>
        <vt:i4>21</vt:i4>
      </vt:variant>
      <vt:variant>
        <vt:i4>0</vt:i4>
      </vt:variant>
      <vt:variant>
        <vt:i4>5</vt:i4>
      </vt:variant>
      <vt:variant>
        <vt:lpwstr/>
      </vt:variant>
      <vt:variant>
        <vt:lpwstr>_Respiration</vt:lpwstr>
      </vt:variant>
      <vt:variant>
        <vt:i4>1376300</vt:i4>
      </vt:variant>
      <vt:variant>
        <vt:i4>18</vt:i4>
      </vt:variant>
      <vt:variant>
        <vt:i4>0</vt:i4>
      </vt:variant>
      <vt:variant>
        <vt:i4>5</vt:i4>
      </vt:variant>
      <vt:variant>
        <vt:lpwstr/>
      </vt:variant>
      <vt:variant>
        <vt:lpwstr>_Bakgrund</vt:lpwstr>
      </vt:variant>
      <vt:variant>
        <vt:i4>8192089</vt:i4>
      </vt:variant>
      <vt:variant>
        <vt:i4>15</vt:i4>
      </vt:variant>
      <vt:variant>
        <vt:i4>0</vt:i4>
      </vt:variant>
      <vt:variant>
        <vt:i4>5</vt:i4>
      </vt:variant>
      <vt:variant>
        <vt:lpwstr/>
      </vt:variant>
      <vt:variant>
        <vt:lpwstr>_Hematologiskt</vt:lpwstr>
      </vt:variant>
      <vt:variant>
        <vt:i4>3473409</vt:i4>
      </vt:variant>
      <vt:variant>
        <vt:i4>12</vt:i4>
      </vt:variant>
      <vt:variant>
        <vt:i4>0</vt:i4>
      </vt:variant>
      <vt:variant>
        <vt:i4>5</vt:i4>
      </vt:variant>
      <vt:variant>
        <vt:lpwstr/>
      </vt:variant>
      <vt:variant>
        <vt:lpwstr>_Hypo-/hyperglykemi</vt:lpwstr>
      </vt:variant>
      <vt:variant>
        <vt:i4>7602244</vt:i4>
      </vt:variant>
      <vt:variant>
        <vt:i4>9</vt:i4>
      </vt:variant>
      <vt:variant>
        <vt:i4>0</vt:i4>
      </vt:variant>
      <vt:variant>
        <vt:i4>5</vt:i4>
      </vt:variant>
      <vt:variant>
        <vt:lpwstr/>
      </vt:variant>
      <vt:variant>
        <vt:lpwstr>_Diures</vt:lpwstr>
      </vt:variant>
      <vt:variant>
        <vt:i4>11665459</vt:i4>
      </vt:variant>
      <vt:variant>
        <vt:i4>6</vt:i4>
      </vt:variant>
      <vt:variant>
        <vt:i4>0</vt:i4>
      </vt:variant>
      <vt:variant>
        <vt:i4>5</vt:i4>
      </vt:variant>
      <vt:variant>
        <vt:lpwstr/>
      </vt:variant>
      <vt:variant>
        <vt:lpwstr>_Behandlingsmål_endokrina</vt:lpwstr>
      </vt:variant>
      <vt:variant>
        <vt:i4>14286940</vt:i4>
      </vt:variant>
      <vt:variant>
        <vt:i4>3</vt:i4>
      </vt:variant>
      <vt:variant>
        <vt:i4>0</vt:i4>
      </vt:variant>
      <vt:variant>
        <vt:i4>5</vt:i4>
      </vt:variant>
      <vt:variant>
        <vt:lpwstr/>
      </vt:variant>
      <vt:variant>
        <vt:lpwstr>_Behandlingsmål_cirkulation</vt:lpwstr>
      </vt:variant>
      <vt:variant>
        <vt:i4>15663185</vt:i4>
      </vt:variant>
      <vt:variant>
        <vt:i4>0</vt:i4>
      </vt:variant>
      <vt:variant>
        <vt:i4>0</vt:i4>
      </vt:variant>
      <vt:variant>
        <vt:i4>5</vt:i4>
      </vt:variant>
      <vt:variant>
        <vt:lpwstr/>
      </vt:variant>
      <vt:variant>
        <vt:lpwstr>_Behandlingsmål_respiration_och</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Multiorgandonation anestesirutin</dc:title>
  <dc:subject/>
  <dc:creator>patrik.jens.johansson@vgregion.se</dc:creator>
  <keywords/>
  <lastModifiedBy>Annette Verlinden</lastModifiedBy>
  <revision>146</revision>
  <lastPrinted>2016-03-31T10:56:00.0000000Z</lastPrinted>
  <dcterms:created xsi:type="dcterms:W3CDTF">2022-06-06T13:03:00.0000000Z</dcterms:created>
  <dcterms:modified xsi:type="dcterms:W3CDTF">2025-07-16T07:48:00.0000000Z</dcterms:modified>
</coreProperties>
</file>