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300C3E" w14:textId="77777777" w:rsidR="00EA2EDC" w:rsidRDefault="00EA2EDC" w:rsidP="00F35B05">
      <w:pPr>
        <w:pStyle w:val="Rubrik2"/>
        <w:sectPr w:rsidR="00EA2EDC" w:rsidSect="00EA2ED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85279D8" w14:textId="5F49DCED" w:rsidR="00EA2EDC" w:rsidRPr="00EA2EDC" w:rsidRDefault="00733444" w:rsidP="00944E2D">
      <w:pPr>
        <w:pStyle w:val="Rubrik1"/>
      </w:pPr>
      <w:bookmarkStart w:id="1" w:name="_Toc161410661"/>
      <w:bookmarkStart w:id="2" w:name="_Toc161410780"/>
      <w:bookmarkStart w:id="3" w:name="_Toc161411075"/>
      <w:proofErr w:type="spellStart"/>
      <w:r>
        <w:t>Bronkiektasier</w:t>
      </w:r>
      <w:proofErr w:type="spellEnd"/>
      <w:r>
        <w:t xml:space="preserve"> och PCD – utredning och behandling</w:t>
      </w:r>
      <w:bookmarkEnd w:id="1"/>
      <w:bookmarkEnd w:id="2"/>
      <w:bookmarkEnd w:id="3"/>
    </w:p>
    <w:p w14:paraId="29765A3E" w14:textId="04F4EFF4" w:rsidR="00EA2EDC" w:rsidRPr="00EA2EDC" w:rsidRDefault="00294FAD" w:rsidP="00294FAD">
      <w:pPr>
        <w:pStyle w:val="Rubrik2"/>
      </w:pPr>
      <w:bookmarkStart w:id="4" w:name="_Toc161410662"/>
      <w:bookmarkStart w:id="5" w:name="_Toc161410781"/>
      <w:bookmarkStart w:id="6" w:name="_Toc161411076"/>
      <w:r>
        <w:t>Förändringar sedan föregående version</w:t>
      </w:r>
      <w:bookmarkEnd w:id="4"/>
      <w:bookmarkEnd w:id="5"/>
      <w:bookmarkEnd w:id="6"/>
    </w:p>
    <w:p w14:paraId="4F7DA3B9" w14:textId="15CD87DC" w:rsidR="00EA2EDC" w:rsidRDefault="00CF1D10" w:rsidP="0005085A">
      <w:pPr>
        <w:rPr>
          <w:lang w:val="is-IS"/>
        </w:rPr>
      </w:pPr>
      <w:r>
        <w:rPr>
          <w:lang w:val="is-IS"/>
        </w:rPr>
        <w:t>Några än</w:t>
      </w:r>
      <w:r w:rsidR="0088776E">
        <w:rPr>
          <w:lang w:val="is-IS"/>
        </w:rPr>
        <w:t>d</w:t>
      </w:r>
      <w:r>
        <w:rPr>
          <w:lang w:val="is-IS"/>
        </w:rPr>
        <w:t>ringar</w:t>
      </w:r>
      <w:r w:rsidR="00B13FC0">
        <w:rPr>
          <w:lang w:val="is-IS"/>
        </w:rPr>
        <w:t xml:space="preserve"> gjorda under rubrik </w:t>
      </w:r>
      <w:r w:rsidR="00467186">
        <w:rPr>
          <w:lang w:val="is-IS"/>
        </w:rPr>
        <w:t xml:space="preserve">bakgrund och </w:t>
      </w:r>
      <w:r w:rsidR="00B13FC0">
        <w:rPr>
          <w:lang w:val="is-IS"/>
        </w:rPr>
        <w:t>syft</w:t>
      </w:r>
      <w:r w:rsidR="00467186">
        <w:rPr>
          <w:lang w:val="is-IS"/>
        </w:rPr>
        <w:t>e</w:t>
      </w:r>
      <w:r w:rsidR="00FF0A84">
        <w:rPr>
          <w:lang w:val="is-IS"/>
        </w:rPr>
        <w:t xml:space="preserve">, samt under organisation. </w:t>
      </w:r>
      <w:r w:rsidR="00B13FC0">
        <w:rPr>
          <w:lang w:val="is-IS"/>
        </w:rPr>
        <w:t xml:space="preserve">Rutinen anpassad till ny mall i STY sharepoint. </w:t>
      </w:r>
    </w:p>
    <w:sdt>
      <w:sdtPr>
        <w:id w:val="-558322525"/>
        <w:docPartObj>
          <w:docPartGallery w:val="Table of Contents"/>
          <w:docPartUnique/>
        </w:docPartObj>
      </w:sdtPr>
      <w:sdtEndPr>
        <w:rPr>
          <w:rFonts w:ascii="Times New Roman" w:eastAsia="Times New Roman" w:hAnsi="Times New Roman" w:cs="Times New Roman"/>
          <w:b/>
          <w:bCs/>
          <w:color w:val="auto"/>
          <w:sz w:val="24"/>
          <w:szCs w:val="24"/>
        </w:rPr>
      </w:sdtEndPr>
      <w:sdtContent>
        <w:p w14:paraId="41B21503" w14:textId="795F4505" w:rsidR="004C2219" w:rsidRPr="00FE66D4" w:rsidRDefault="004C2219" w:rsidP="004C2219">
          <w:pPr>
            <w:pStyle w:val="Innehllsfrteckningsrubrik"/>
            <w:ind w:left="993"/>
            <w:rPr>
              <w:color w:val="auto"/>
              <w:sz w:val="36"/>
              <w:szCs w:val="36"/>
            </w:rPr>
          </w:pPr>
          <w:r w:rsidRPr="00FE66D4">
            <w:rPr>
              <w:color w:val="auto"/>
              <w:sz w:val="36"/>
              <w:szCs w:val="36"/>
            </w:rPr>
            <w:t>Innehållsförteckning</w:t>
          </w:r>
        </w:p>
        <w:p w14:paraId="3A6208B4" w14:textId="1E4A3EE3" w:rsidR="00FE66D4" w:rsidRPr="00FE66D4" w:rsidRDefault="004C2219" w:rsidP="00FE66D4">
          <w:pPr>
            <w:pStyle w:val="Innehll1"/>
            <w:rPr>
              <w:rFonts w:eastAsiaTheme="minorEastAsia"/>
              <w:kern w:val="2"/>
              <w14:ligatures w14:val="standardContextual"/>
            </w:rPr>
          </w:pPr>
          <w:r w:rsidRPr="00FE66D4">
            <w:fldChar w:fldCharType="begin"/>
          </w:r>
          <w:r w:rsidRPr="00FE66D4">
            <w:instrText xml:space="preserve"> TOC \o "1-3" \h \z \u </w:instrText>
          </w:r>
          <w:r w:rsidRPr="00FE66D4">
            <w:fldChar w:fldCharType="separate"/>
          </w:r>
          <w:hyperlink w:anchor="_Toc161411076" w:history="1">
            <w:r w:rsidR="00FE66D4" w:rsidRPr="00FE66D4">
              <w:rPr>
                <w:rStyle w:val="Hyperlnk"/>
              </w:rPr>
              <w:t>Förändringar sedan föregående version</w:t>
            </w:r>
            <w:r w:rsidR="00FE66D4" w:rsidRPr="00FE66D4">
              <w:rPr>
                <w:webHidden/>
              </w:rPr>
              <w:tab/>
            </w:r>
            <w:r w:rsidR="00FE66D4" w:rsidRPr="00FE66D4">
              <w:rPr>
                <w:webHidden/>
              </w:rPr>
              <w:fldChar w:fldCharType="begin"/>
            </w:r>
            <w:r w:rsidR="00FE66D4" w:rsidRPr="00FE66D4">
              <w:rPr>
                <w:webHidden/>
              </w:rPr>
              <w:instrText xml:space="preserve"> PAGEREF _Toc161411076 \h </w:instrText>
            </w:r>
            <w:r w:rsidR="00FE66D4" w:rsidRPr="00FE66D4">
              <w:rPr>
                <w:webHidden/>
              </w:rPr>
            </w:r>
            <w:r w:rsidR="00FE66D4" w:rsidRPr="00FE66D4">
              <w:rPr>
                <w:webHidden/>
              </w:rPr>
              <w:fldChar w:fldCharType="separate"/>
            </w:r>
            <w:r w:rsidR="00FE66D4" w:rsidRPr="00FE66D4">
              <w:rPr>
                <w:webHidden/>
              </w:rPr>
              <w:t>1</w:t>
            </w:r>
            <w:r w:rsidR="00FE66D4" w:rsidRPr="00FE66D4">
              <w:rPr>
                <w:webHidden/>
              </w:rPr>
              <w:fldChar w:fldCharType="end"/>
            </w:r>
          </w:hyperlink>
        </w:p>
        <w:p w14:paraId="5DF4C724" w14:textId="058A9D87" w:rsidR="00FE66D4" w:rsidRPr="00FE66D4" w:rsidRDefault="00FE66D4">
          <w:pPr>
            <w:pStyle w:val="Innehll2"/>
            <w:rPr>
              <w:rFonts w:eastAsiaTheme="minorEastAsia"/>
              <w:kern w:val="2"/>
              <w14:ligatures w14:val="standardContextual"/>
            </w:rPr>
          </w:pPr>
          <w:hyperlink w:anchor="_Toc161411077" w:history="1">
            <w:r w:rsidRPr="00FE66D4">
              <w:rPr>
                <w:rStyle w:val="Hyperlnk"/>
              </w:rPr>
              <w:t>Bakgrund och syfte</w:t>
            </w:r>
            <w:r w:rsidRPr="00FE66D4">
              <w:rPr>
                <w:webHidden/>
              </w:rPr>
              <w:tab/>
            </w:r>
            <w:r w:rsidRPr="00FE66D4">
              <w:rPr>
                <w:webHidden/>
              </w:rPr>
              <w:fldChar w:fldCharType="begin"/>
            </w:r>
            <w:r w:rsidRPr="00FE66D4">
              <w:rPr>
                <w:webHidden/>
              </w:rPr>
              <w:instrText xml:space="preserve"> PAGEREF _Toc161411077 \h </w:instrText>
            </w:r>
            <w:r w:rsidRPr="00FE66D4">
              <w:rPr>
                <w:webHidden/>
              </w:rPr>
            </w:r>
            <w:r w:rsidRPr="00FE66D4">
              <w:rPr>
                <w:webHidden/>
              </w:rPr>
              <w:fldChar w:fldCharType="separate"/>
            </w:r>
            <w:r w:rsidRPr="00FE66D4">
              <w:rPr>
                <w:webHidden/>
              </w:rPr>
              <w:t>1</w:t>
            </w:r>
            <w:r w:rsidRPr="00FE66D4">
              <w:rPr>
                <w:webHidden/>
              </w:rPr>
              <w:fldChar w:fldCharType="end"/>
            </w:r>
          </w:hyperlink>
        </w:p>
        <w:p w14:paraId="1288A38C" w14:textId="7195074D" w:rsidR="00FE66D4" w:rsidRPr="00FE66D4" w:rsidRDefault="00FE66D4">
          <w:pPr>
            <w:pStyle w:val="Innehll3"/>
            <w:rPr>
              <w:rFonts w:ascii="Times New Roman" w:eastAsiaTheme="minorEastAsia" w:hAnsi="Times New Roman"/>
              <w:noProof/>
              <w:kern w:val="2"/>
              <w:sz w:val="24"/>
              <w:szCs w:val="24"/>
              <w14:ligatures w14:val="standardContextual"/>
            </w:rPr>
          </w:pPr>
          <w:hyperlink w:anchor="_Toc161411078" w:history="1">
            <w:r w:rsidRPr="00FE66D4">
              <w:rPr>
                <w:rStyle w:val="Hyperlnk"/>
                <w:rFonts w:ascii="Times New Roman" w:eastAsia="MS Gothic" w:hAnsi="Times New Roman"/>
                <w:noProof/>
                <w:sz w:val="24"/>
                <w:szCs w:val="24"/>
              </w:rPr>
              <w:t>Förutsättningar</w:t>
            </w:r>
            <w:r w:rsidRPr="00FE66D4">
              <w:rPr>
                <w:rFonts w:ascii="Times New Roman" w:hAnsi="Times New Roman"/>
                <w:noProof/>
                <w:webHidden/>
                <w:sz w:val="24"/>
                <w:szCs w:val="24"/>
              </w:rPr>
              <w:tab/>
            </w:r>
            <w:r w:rsidRPr="00FE66D4">
              <w:rPr>
                <w:rFonts w:ascii="Times New Roman" w:hAnsi="Times New Roman"/>
                <w:noProof/>
                <w:webHidden/>
                <w:sz w:val="24"/>
                <w:szCs w:val="24"/>
              </w:rPr>
              <w:fldChar w:fldCharType="begin"/>
            </w:r>
            <w:r w:rsidRPr="00FE66D4">
              <w:rPr>
                <w:rFonts w:ascii="Times New Roman" w:hAnsi="Times New Roman"/>
                <w:noProof/>
                <w:webHidden/>
                <w:sz w:val="24"/>
                <w:szCs w:val="24"/>
              </w:rPr>
              <w:instrText xml:space="preserve"> PAGEREF _Toc161411078 \h </w:instrText>
            </w:r>
            <w:r w:rsidRPr="00FE66D4">
              <w:rPr>
                <w:rFonts w:ascii="Times New Roman" w:hAnsi="Times New Roman"/>
                <w:noProof/>
                <w:webHidden/>
                <w:sz w:val="24"/>
                <w:szCs w:val="24"/>
              </w:rPr>
            </w:r>
            <w:r w:rsidRPr="00FE66D4">
              <w:rPr>
                <w:rFonts w:ascii="Times New Roman" w:hAnsi="Times New Roman"/>
                <w:noProof/>
                <w:webHidden/>
                <w:sz w:val="24"/>
                <w:szCs w:val="24"/>
              </w:rPr>
              <w:fldChar w:fldCharType="separate"/>
            </w:r>
            <w:r w:rsidRPr="00FE66D4">
              <w:rPr>
                <w:rFonts w:ascii="Times New Roman" w:hAnsi="Times New Roman"/>
                <w:noProof/>
                <w:webHidden/>
                <w:sz w:val="24"/>
                <w:szCs w:val="24"/>
              </w:rPr>
              <w:t>2</w:t>
            </w:r>
            <w:r w:rsidRPr="00FE66D4">
              <w:rPr>
                <w:rFonts w:ascii="Times New Roman" w:hAnsi="Times New Roman"/>
                <w:noProof/>
                <w:webHidden/>
                <w:sz w:val="24"/>
                <w:szCs w:val="24"/>
              </w:rPr>
              <w:fldChar w:fldCharType="end"/>
            </w:r>
          </w:hyperlink>
        </w:p>
        <w:p w14:paraId="1EF6E1D1" w14:textId="7BA33B3B" w:rsidR="00FE66D4" w:rsidRPr="00FE66D4" w:rsidRDefault="00FE66D4">
          <w:pPr>
            <w:pStyle w:val="Innehll3"/>
            <w:rPr>
              <w:rFonts w:ascii="Times New Roman" w:eastAsiaTheme="minorEastAsia" w:hAnsi="Times New Roman"/>
              <w:noProof/>
              <w:kern w:val="2"/>
              <w:sz w:val="24"/>
              <w:szCs w:val="24"/>
              <w14:ligatures w14:val="standardContextual"/>
            </w:rPr>
          </w:pPr>
          <w:hyperlink w:anchor="_Toc161411079" w:history="1">
            <w:r w:rsidRPr="00FE66D4">
              <w:rPr>
                <w:rStyle w:val="Hyperlnk"/>
                <w:rFonts w:ascii="Times New Roman" w:eastAsia="MS Gothic" w:hAnsi="Times New Roman"/>
                <w:noProof/>
                <w:sz w:val="24"/>
                <w:szCs w:val="24"/>
              </w:rPr>
              <w:t>Avgränsningar</w:t>
            </w:r>
            <w:r w:rsidRPr="00FE66D4">
              <w:rPr>
                <w:rFonts w:ascii="Times New Roman" w:hAnsi="Times New Roman"/>
                <w:noProof/>
                <w:webHidden/>
                <w:sz w:val="24"/>
                <w:szCs w:val="24"/>
              </w:rPr>
              <w:tab/>
            </w:r>
            <w:r w:rsidRPr="00FE66D4">
              <w:rPr>
                <w:rFonts w:ascii="Times New Roman" w:hAnsi="Times New Roman"/>
                <w:noProof/>
                <w:webHidden/>
                <w:sz w:val="24"/>
                <w:szCs w:val="24"/>
              </w:rPr>
              <w:fldChar w:fldCharType="begin"/>
            </w:r>
            <w:r w:rsidRPr="00FE66D4">
              <w:rPr>
                <w:rFonts w:ascii="Times New Roman" w:hAnsi="Times New Roman"/>
                <w:noProof/>
                <w:webHidden/>
                <w:sz w:val="24"/>
                <w:szCs w:val="24"/>
              </w:rPr>
              <w:instrText xml:space="preserve"> PAGEREF _Toc161411079 \h </w:instrText>
            </w:r>
            <w:r w:rsidRPr="00FE66D4">
              <w:rPr>
                <w:rFonts w:ascii="Times New Roman" w:hAnsi="Times New Roman"/>
                <w:noProof/>
                <w:webHidden/>
                <w:sz w:val="24"/>
                <w:szCs w:val="24"/>
              </w:rPr>
            </w:r>
            <w:r w:rsidRPr="00FE66D4">
              <w:rPr>
                <w:rFonts w:ascii="Times New Roman" w:hAnsi="Times New Roman"/>
                <w:noProof/>
                <w:webHidden/>
                <w:sz w:val="24"/>
                <w:szCs w:val="24"/>
              </w:rPr>
              <w:fldChar w:fldCharType="separate"/>
            </w:r>
            <w:r w:rsidRPr="00FE66D4">
              <w:rPr>
                <w:rFonts w:ascii="Times New Roman" w:hAnsi="Times New Roman"/>
                <w:noProof/>
                <w:webHidden/>
                <w:sz w:val="24"/>
                <w:szCs w:val="24"/>
              </w:rPr>
              <w:t>2</w:t>
            </w:r>
            <w:r w:rsidRPr="00FE66D4">
              <w:rPr>
                <w:rFonts w:ascii="Times New Roman" w:hAnsi="Times New Roman"/>
                <w:noProof/>
                <w:webHidden/>
                <w:sz w:val="24"/>
                <w:szCs w:val="24"/>
              </w:rPr>
              <w:fldChar w:fldCharType="end"/>
            </w:r>
          </w:hyperlink>
        </w:p>
        <w:p w14:paraId="0041CBFF" w14:textId="00E99D24" w:rsidR="00FE66D4" w:rsidRPr="00FE66D4" w:rsidRDefault="00FE66D4">
          <w:pPr>
            <w:pStyle w:val="Innehll2"/>
            <w:rPr>
              <w:rFonts w:eastAsiaTheme="minorEastAsia"/>
              <w:kern w:val="2"/>
              <w14:ligatures w14:val="standardContextual"/>
            </w:rPr>
          </w:pPr>
          <w:hyperlink w:anchor="_Toc161411080" w:history="1">
            <w:r w:rsidRPr="00FE66D4">
              <w:rPr>
                <w:rStyle w:val="Hyperlnk"/>
              </w:rPr>
              <w:t>Utförande</w:t>
            </w:r>
            <w:r w:rsidRPr="00FE66D4">
              <w:rPr>
                <w:webHidden/>
              </w:rPr>
              <w:tab/>
            </w:r>
            <w:r w:rsidRPr="00FE66D4">
              <w:rPr>
                <w:webHidden/>
              </w:rPr>
              <w:fldChar w:fldCharType="begin"/>
            </w:r>
            <w:r w:rsidRPr="00FE66D4">
              <w:rPr>
                <w:webHidden/>
              </w:rPr>
              <w:instrText xml:space="preserve"> PAGEREF _Toc161411080 \h </w:instrText>
            </w:r>
            <w:r w:rsidRPr="00FE66D4">
              <w:rPr>
                <w:webHidden/>
              </w:rPr>
            </w:r>
            <w:r w:rsidRPr="00FE66D4">
              <w:rPr>
                <w:webHidden/>
              </w:rPr>
              <w:fldChar w:fldCharType="separate"/>
            </w:r>
            <w:r w:rsidRPr="00FE66D4">
              <w:rPr>
                <w:webHidden/>
              </w:rPr>
              <w:t>3</w:t>
            </w:r>
            <w:r w:rsidRPr="00FE66D4">
              <w:rPr>
                <w:webHidden/>
              </w:rPr>
              <w:fldChar w:fldCharType="end"/>
            </w:r>
          </w:hyperlink>
        </w:p>
        <w:p w14:paraId="773BAA88" w14:textId="1F2B4B94" w:rsidR="00FE66D4" w:rsidRPr="00FE66D4" w:rsidRDefault="00FE66D4">
          <w:pPr>
            <w:pStyle w:val="Innehll3"/>
            <w:rPr>
              <w:rFonts w:ascii="Times New Roman" w:eastAsiaTheme="minorEastAsia" w:hAnsi="Times New Roman"/>
              <w:noProof/>
              <w:kern w:val="2"/>
              <w:sz w:val="24"/>
              <w:szCs w:val="24"/>
              <w14:ligatures w14:val="standardContextual"/>
            </w:rPr>
          </w:pPr>
          <w:hyperlink w:anchor="_Toc161411081" w:history="1">
            <w:r w:rsidRPr="00FE66D4">
              <w:rPr>
                <w:rStyle w:val="Hyperlnk"/>
                <w:rFonts w:ascii="Times New Roman" w:eastAsia="MS Gothic" w:hAnsi="Times New Roman"/>
                <w:noProof/>
                <w:sz w:val="24"/>
                <w:szCs w:val="24"/>
              </w:rPr>
              <w:t>Utredning</w:t>
            </w:r>
            <w:r w:rsidRPr="00FE66D4">
              <w:rPr>
                <w:rFonts w:ascii="Times New Roman" w:hAnsi="Times New Roman"/>
                <w:noProof/>
                <w:webHidden/>
                <w:sz w:val="24"/>
                <w:szCs w:val="24"/>
              </w:rPr>
              <w:tab/>
            </w:r>
            <w:r w:rsidRPr="00FE66D4">
              <w:rPr>
                <w:rFonts w:ascii="Times New Roman" w:hAnsi="Times New Roman"/>
                <w:noProof/>
                <w:webHidden/>
                <w:sz w:val="24"/>
                <w:szCs w:val="24"/>
              </w:rPr>
              <w:fldChar w:fldCharType="begin"/>
            </w:r>
            <w:r w:rsidRPr="00FE66D4">
              <w:rPr>
                <w:rFonts w:ascii="Times New Roman" w:hAnsi="Times New Roman"/>
                <w:noProof/>
                <w:webHidden/>
                <w:sz w:val="24"/>
                <w:szCs w:val="24"/>
              </w:rPr>
              <w:instrText xml:space="preserve"> PAGEREF _Toc161411081 \h </w:instrText>
            </w:r>
            <w:r w:rsidRPr="00FE66D4">
              <w:rPr>
                <w:rFonts w:ascii="Times New Roman" w:hAnsi="Times New Roman"/>
                <w:noProof/>
                <w:webHidden/>
                <w:sz w:val="24"/>
                <w:szCs w:val="24"/>
              </w:rPr>
            </w:r>
            <w:r w:rsidRPr="00FE66D4">
              <w:rPr>
                <w:rFonts w:ascii="Times New Roman" w:hAnsi="Times New Roman"/>
                <w:noProof/>
                <w:webHidden/>
                <w:sz w:val="24"/>
                <w:szCs w:val="24"/>
              </w:rPr>
              <w:fldChar w:fldCharType="separate"/>
            </w:r>
            <w:r w:rsidRPr="00FE66D4">
              <w:rPr>
                <w:rFonts w:ascii="Times New Roman" w:hAnsi="Times New Roman"/>
                <w:noProof/>
                <w:webHidden/>
                <w:sz w:val="24"/>
                <w:szCs w:val="24"/>
              </w:rPr>
              <w:t>3</w:t>
            </w:r>
            <w:r w:rsidRPr="00FE66D4">
              <w:rPr>
                <w:rFonts w:ascii="Times New Roman" w:hAnsi="Times New Roman"/>
                <w:noProof/>
                <w:webHidden/>
                <w:sz w:val="24"/>
                <w:szCs w:val="24"/>
              </w:rPr>
              <w:fldChar w:fldCharType="end"/>
            </w:r>
          </w:hyperlink>
        </w:p>
        <w:p w14:paraId="470A2CC0" w14:textId="626DF292" w:rsidR="00FE66D4" w:rsidRPr="00FE66D4" w:rsidRDefault="00FE66D4">
          <w:pPr>
            <w:pStyle w:val="Innehll3"/>
            <w:rPr>
              <w:rFonts w:ascii="Times New Roman" w:eastAsiaTheme="minorEastAsia" w:hAnsi="Times New Roman"/>
              <w:noProof/>
              <w:kern w:val="2"/>
              <w:sz w:val="24"/>
              <w:szCs w:val="24"/>
              <w14:ligatures w14:val="standardContextual"/>
            </w:rPr>
          </w:pPr>
          <w:hyperlink w:anchor="_Toc161411082" w:history="1">
            <w:r w:rsidRPr="00FE66D4">
              <w:rPr>
                <w:rStyle w:val="Hyperlnk"/>
                <w:rFonts w:ascii="Times New Roman" w:eastAsia="MS Gothic" w:hAnsi="Times New Roman"/>
                <w:noProof/>
                <w:sz w:val="24"/>
                <w:szCs w:val="24"/>
              </w:rPr>
              <w:t>Behandling</w:t>
            </w:r>
            <w:r w:rsidRPr="00FE66D4">
              <w:rPr>
                <w:rFonts w:ascii="Times New Roman" w:hAnsi="Times New Roman"/>
                <w:noProof/>
                <w:webHidden/>
                <w:sz w:val="24"/>
                <w:szCs w:val="24"/>
              </w:rPr>
              <w:tab/>
            </w:r>
            <w:r w:rsidRPr="00FE66D4">
              <w:rPr>
                <w:rFonts w:ascii="Times New Roman" w:hAnsi="Times New Roman"/>
                <w:noProof/>
                <w:webHidden/>
                <w:sz w:val="24"/>
                <w:szCs w:val="24"/>
              </w:rPr>
              <w:fldChar w:fldCharType="begin"/>
            </w:r>
            <w:r w:rsidRPr="00FE66D4">
              <w:rPr>
                <w:rFonts w:ascii="Times New Roman" w:hAnsi="Times New Roman"/>
                <w:noProof/>
                <w:webHidden/>
                <w:sz w:val="24"/>
                <w:szCs w:val="24"/>
              </w:rPr>
              <w:instrText xml:space="preserve"> PAGEREF _Toc161411082 \h </w:instrText>
            </w:r>
            <w:r w:rsidRPr="00FE66D4">
              <w:rPr>
                <w:rFonts w:ascii="Times New Roman" w:hAnsi="Times New Roman"/>
                <w:noProof/>
                <w:webHidden/>
                <w:sz w:val="24"/>
                <w:szCs w:val="24"/>
              </w:rPr>
            </w:r>
            <w:r w:rsidRPr="00FE66D4">
              <w:rPr>
                <w:rFonts w:ascii="Times New Roman" w:hAnsi="Times New Roman"/>
                <w:noProof/>
                <w:webHidden/>
                <w:sz w:val="24"/>
                <w:szCs w:val="24"/>
              </w:rPr>
              <w:fldChar w:fldCharType="separate"/>
            </w:r>
            <w:r w:rsidRPr="00FE66D4">
              <w:rPr>
                <w:rFonts w:ascii="Times New Roman" w:hAnsi="Times New Roman"/>
                <w:noProof/>
                <w:webHidden/>
                <w:sz w:val="24"/>
                <w:szCs w:val="24"/>
              </w:rPr>
              <w:t>4</w:t>
            </w:r>
            <w:r w:rsidRPr="00FE66D4">
              <w:rPr>
                <w:rFonts w:ascii="Times New Roman" w:hAnsi="Times New Roman"/>
                <w:noProof/>
                <w:webHidden/>
                <w:sz w:val="24"/>
                <w:szCs w:val="24"/>
              </w:rPr>
              <w:fldChar w:fldCharType="end"/>
            </w:r>
          </w:hyperlink>
        </w:p>
        <w:p w14:paraId="6C63A806" w14:textId="52536C7D" w:rsidR="00FE66D4" w:rsidRPr="00FE66D4" w:rsidRDefault="00FE66D4">
          <w:pPr>
            <w:pStyle w:val="Innehll3"/>
            <w:rPr>
              <w:rFonts w:ascii="Times New Roman" w:eastAsiaTheme="minorEastAsia" w:hAnsi="Times New Roman"/>
              <w:noProof/>
              <w:kern w:val="2"/>
              <w:sz w:val="24"/>
              <w:szCs w:val="24"/>
              <w14:ligatures w14:val="standardContextual"/>
            </w:rPr>
          </w:pPr>
          <w:hyperlink w:anchor="_Toc161411083" w:history="1">
            <w:r w:rsidRPr="00FE66D4">
              <w:rPr>
                <w:rStyle w:val="Hyperlnk"/>
                <w:rFonts w:ascii="Times New Roman" w:eastAsia="MS Gothic" w:hAnsi="Times New Roman"/>
                <w:noProof/>
                <w:sz w:val="24"/>
                <w:szCs w:val="24"/>
              </w:rPr>
              <w:t>Uppföljning</w:t>
            </w:r>
            <w:r w:rsidRPr="00FE66D4">
              <w:rPr>
                <w:rFonts w:ascii="Times New Roman" w:hAnsi="Times New Roman"/>
                <w:noProof/>
                <w:webHidden/>
                <w:sz w:val="24"/>
                <w:szCs w:val="24"/>
              </w:rPr>
              <w:tab/>
            </w:r>
            <w:r w:rsidRPr="00FE66D4">
              <w:rPr>
                <w:rFonts w:ascii="Times New Roman" w:hAnsi="Times New Roman"/>
                <w:noProof/>
                <w:webHidden/>
                <w:sz w:val="24"/>
                <w:szCs w:val="24"/>
              </w:rPr>
              <w:fldChar w:fldCharType="begin"/>
            </w:r>
            <w:r w:rsidRPr="00FE66D4">
              <w:rPr>
                <w:rFonts w:ascii="Times New Roman" w:hAnsi="Times New Roman"/>
                <w:noProof/>
                <w:webHidden/>
                <w:sz w:val="24"/>
                <w:szCs w:val="24"/>
              </w:rPr>
              <w:instrText xml:space="preserve"> PAGEREF _Toc161411083 \h </w:instrText>
            </w:r>
            <w:r w:rsidRPr="00FE66D4">
              <w:rPr>
                <w:rFonts w:ascii="Times New Roman" w:hAnsi="Times New Roman"/>
                <w:noProof/>
                <w:webHidden/>
                <w:sz w:val="24"/>
                <w:szCs w:val="24"/>
              </w:rPr>
            </w:r>
            <w:r w:rsidRPr="00FE66D4">
              <w:rPr>
                <w:rFonts w:ascii="Times New Roman" w:hAnsi="Times New Roman"/>
                <w:noProof/>
                <w:webHidden/>
                <w:sz w:val="24"/>
                <w:szCs w:val="24"/>
              </w:rPr>
              <w:fldChar w:fldCharType="separate"/>
            </w:r>
            <w:r w:rsidRPr="00FE66D4">
              <w:rPr>
                <w:rFonts w:ascii="Times New Roman" w:hAnsi="Times New Roman"/>
                <w:noProof/>
                <w:webHidden/>
                <w:sz w:val="24"/>
                <w:szCs w:val="24"/>
              </w:rPr>
              <w:t>6</w:t>
            </w:r>
            <w:r w:rsidRPr="00FE66D4">
              <w:rPr>
                <w:rFonts w:ascii="Times New Roman" w:hAnsi="Times New Roman"/>
                <w:noProof/>
                <w:webHidden/>
                <w:sz w:val="24"/>
                <w:szCs w:val="24"/>
              </w:rPr>
              <w:fldChar w:fldCharType="end"/>
            </w:r>
          </w:hyperlink>
        </w:p>
        <w:p w14:paraId="4631EC0F" w14:textId="45D280D8" w:rsidR="00FE66D4" w:rsidRPr="00FE66D4" w:rsidRDefault="00FE66D4">
          <w:pPr>
            <w:pStyle w:val="Innehll3"/>
            <w:rPr>
              <w:rFonts w:ascii="Times New Roman" w:eastAsiaTheme="minorEastAsia" w:hAnsi="Times New Roman"/>
              <w:noProof/>
              <w:kern w:val="2"/>
              <w:sz w:val="24"/>
              <w:szCs w:val="24"/>
              <w14:ligatures w14:val="standardContextual"/>
            </w:rPr>
          </w:pPr>
          <w:hyperlink w:anchor="_Toc161411084" w:history="1">
            <w:r w:rsidRPr="00FE66D4">
              <w:rPr>
                <w:rStyle w:val="Hyperlnk"/>
                <w:rFonts w:ascii="Times New Roman" w:eastAsia="MS Gothic" w:hAnsi="Times New Roman"/>
                <w:noProof/>
                <w:sz w:val="24"/>
                <w:szCs w:val="24"/>
              </w:rPr>
              <w:t>Organisation</w:t>
            </w:r>
            <w:r w:rsidRPr="00FE66D4">
              <w:rPr>
                <w:rFonts w:ascii="Times New Roman" w:hAnsi="Times New Roman"/>
                <w:noProof/>
                <w:webHidden/>
                <w:sz w:val="24"/>
                <w:szCs w:val="24"/>
              </w:rPr>
              <w:tab/>
            </w:r>
            <w:r w:rsidRPr="00FE66D4">
              <w:rPr>
                <w:rFonts w:ascii="Times New Roman" w:hAnsi="Times New Roman"/>
                <w:noProof/>
                <w:webHidden/>
                <w:sz w:val="24"/>
                <w:szCs w:val="24"/>
              </w:rPr>
              <w:fldChar w:fldCharType="begin"/>
            </w:r>
            <w:r w:rsidRPr="00FE66D4">
              <w:rPr>
                <w:rFonts w:ascii="Times New Roman" w:hAnsi="Times New Roman"/>
                <w:noProof/>
                <w:webHidden/>
                <w:sz w:val="24"/>
                <w:szCs w:val="24"/>
              </w:rPr>
              <w:instrText xml:space="preserve"> PAGEREF _Toc161411084 \h </w:instrText>
            </w:r>
            <w:r w:rsidRPr="00FE66D4">
              <w:rPr>
                <w:rFonts w:ascii="Times New Roman" w:hAnsi="Times New Roman"/>
                <w:noProof/>
                <w:webHidden/>
                <w:sz w:val="24"/>
                <w:szCs w:val="24"/>
              </w:rPr>
            </w:r>
            <w:r w:rsidRPr="00FE66D4">
              <w:rPr>
                <w:rFonts w:ascii="Times New Roman" w:hAnsi="Times New Roman"/>
                <w:noProof/>
                <w:webHidden/>
                <w:sz w:val="24"/>
                <w:szCs w:val="24"/>
              </w:rPr>
              <w:fldChar w:fldCharType="separate"/>
            </w:r>
            <w:r w:rsidRPr="00FE66D4">
              <w:rPr>
                <w:rFonts w:ascii="Times New Roman" w:hAnsi="Times New Roman"/>
                <w:noProof/>
                <w:webHidden/>
                <w:sz w:val="24"/>
                <w:szCs w:val="24"/>
              </w:rPr>
              <w:t>7</w:t>
            </w:r>
            <w:r w:rsidRPr="00FE66D4">
              <w:rPr>
                <w:rFonts w:ascii="Times New Roman" w:hAnsi="Times New Roman"/>
                <w:noProof/>
                <w:webHidden/>
                <w:sz w:val="24"/>
                <w:szCs w:val="24"/>
              </w:rPr>
              <w:fldChar w:fldCharType="end"/>
            </w:r>
          </w:hyperlink>
        </w:p>
        <w:p w14:paraId="0439DB49" w14:textId="34DBEE57" w:rsidR="00FE66D4" w:rsidRPr="00FE66D4" w:rsidRDefault="00FE66D4">
          <w:pPr>
            <w:pStyle w:val="Innehll3"/>
            <w:rPr>
              <w:rFonts w:ascii="Times New Roman" w:eastAsiaTheme="minorEastAsia" w:hAnsi="Times New Roman"/>
              <w:noProof/>
              <w:kern w:val="2"/>
              <w:sz w:val="24"/>
              <w:szCs w:val="24"/>
              <w14:ligatures w14:val="standardContextual"/>
            </w:rPr>
          </w:pPr>
          <w:hyperlink w:anchor="_Toc161411085" w:history="1">
            <w:r w:rsidRPr="00FE66D4">
              <w:rPr>
                <w:rStyle w:val="Hyperlnk"/>
                <w:rFonts w:ascii="Times New Roman" w:eastAsia="MS Gothic" w:hAnsi="Times New Roman"/>
                <w:noProof/>
                <w:sz w:val="24"/>
                <w:szCs w:val="24"/>
              </w:rPr>
              <w:t>Kriterier för bedömning på bronkiektasi-mottagningen</w:t>
            </w:r>
            <w:r w:rsidRPr="00FE66D4">
              <w:rPr>
                <w:rFonts w:ascii="Times New Roman" w:hAnsi="Times New Roman"/>
                <w:noProof/>
                <w:webHidden/>
                <w:sz w:val="24"/>
                <w:szCs w:val="24"/>
              </w:rPr>
              <w:tab/>
            </w:r>
            <w:r w:rsidRPr="00FE66D4">
              <w:rPr>
                <w:rFonts w:ascii="Times New Roman" w:hAnsi="Times New Roman"/>
                <w:noProof/>
                <w:webHidden/>
                <w:sz w:val="24"/>
                <w:szCs w:val="24"/>
              </w:rPr>
              <w:fldChar w:fldCharType="begin"/>
            </w:r>
            <w:r w:rsidRPr="00FE66D4">
              <w:rPr>
                <w:rFonts w:ascii="Times New Roman" w:hAnsi="Times New Roman"/>
                <w:noProof/>
                <w:webHidden/>
                <w:sz w:val="24"/>
                <w:szCs w:val="24"/>
              </w:rPr>
              <w:instrText xml:space="preserve"> PAGEREF _Toc161411085 \h </w:instrText>
            </w:r>
            <w:r w:rsidRPr="00FE66D4">
              <w:rPr>
                <w:rFonts w:ascii="Times New Roman" w:hAnsi="Times New Roman"/>
                <w:noProof/>
                <w:webHidden/>
                <w:sz w:val="24"/>
                <w:szCs w:val="24"/>
              </w:rPr>
            </w:r>
            <w:r w:rsidRPr="00FE66D4">
              <w:rPr>
                <w:rFonts w:ascii="Times New Roman" w:hAnsi="Times New Roman"/>
                <w:noProof/>
                <w:webHidden/>
                <w:sz w:val="24"/>
                <w:szCs w:val="24"/>
              </w:rPr>
              <w:fldChar w:fldCharType="separate"/>
            </w:r>
            <w:r w:rsidRPr="00FE66D4">
              <w:rPr>
                <w:rFonts w:ascii="Times New Roman" w:hAnsi="Times New Roman"/>
                <w:noProof/>
                <w:webHidden/>
                <w:sz w:val="24"/>
                <w:szCs w:val="24"/>
              </w:rPr>
              <w:t>7</w:t>
            </w:r>
            <w:r w:rsidRPr="00FE66D4">
              <w:rPr>
                <w:rFonts w:ascii="Times New Roman" w:hAnsi="Times New Roman"/>
                <w:noProof/>
                <w:webHidden/>
                <w:sz w:val="24"/>
                <w:szCs w:val="24"/>
              </w:rPr>
              <w:fldChar w:fldCharType="end"/>
            </w:r>
          </w:hyperlink>
        </w:p>
        <w:p w14:paraId="63EBBD3A" w14:textId="4C3001D3" w:rsidR="00FE66D4" w:rsidRPr="00FE66D4" w:rsidRDefault="00FE66D4">
          <w:pPr>
            <w:pStyle w:val="Innehll2"/>
            <w:rPr>
              <w:rFonts w:eastAsiaTheme="minorEastAsia"/>
              <w:kern w:val="2"/>
              <w14:ligatures w14:val="standardContextual"/>
            </w:rPr>
          </w:pPr>
          <w:hyperlink w:anchor="_Toc161411087" w:history="1">
            <w:r w:rsidRPr="00FE66D4">
              <w:rPr>
                <w:rStyle w:val="Hyperlnk"/>
              </w:rPr>
              <w:t>Relaterad information</w:t>
            </w:r>
            <w:r w:rsidRPr="00FE66D4">
              <w:rPr>
                <w:webHidden/>
              </w:rPr>
              <w:tab/>
            </w:r>
            <w:r w:rsidRPr="00FE66D4">
              <w:rPr>
                <w:webHidden/>
              </w:rPr>
              <w:fldChar w:fldCharType="begin"/>
            </w:r>
            <w:r w:rsidRPr="00FE66D4">
              <w:rPr>
                <w:webHidden/>
              </w:rPr>
              <w:instrText xml:space="preserve"> PAGEREF _Toc161411087 \h </w:instrText>
            </w:r>
            <w:r w:rsidRPr="00FE66D4">
              <w:rPr>
                <w:webHidden/>
              </w:rPr>
            </w:r>
            <w:r w:rsidRPr="00FE66D4">
              <w:rPr>
                <w:webHidden/>
              </w:rPr>
              <w:fldChar w:fldCharType="separate"/>
            </w:r>
            <w:r w:rsidRPr="00FE66D4">
              <w:rPr>
                <w:webHidden/>
              </w:rPr>
              <w:t>8</w:t>
            </w:r>
            <w:r w:rsidRPr="00FE66D4">
              <w:rPr>
                <w:webHidden/>
              </w:rPr>
              <w:fldChar w:fldCharType="end"/>
            </w:r>
          </w:hyperlink>
        </w:p>
        <w:p w14:paraId="28DF83A2" w14:textId="483E519F" w:rsidR="00FE66D4" w:rsidRPr="00FE66D4" w:rsidRDefault="00FE66D4">
          <w:pPr>
            <w:pStyle w:val="Innehll2"/>
            <w:rPr>
              <w:rFonts w:eastAsiaTheme="minorEastAsia"/>
              <w:kern w:val="2"/>
              <w14:ligatures w14:val="standardContextual"/>
            </w:rPr>
          </w:pPr>
          <w:hyperlink w:anchor="_Toc161411089" w:history="1">
            <w:r w:rsidRPr="00FE66D4">
              <w:rPr>
                <w:rStyle w:val="Hyperlnk"/>
              </w:rPr>
              <w:t>Källförteckning</w:t>
            </w:r>
            <w:r w:rsidRPr="00FE66D4">
              <w:rPr>
                <w:webHidden/>
              </w:rPr>
              <w:tab/>
            </w:r>
            <w:r w:rsidRPr="00FE66D4">
              <w:rPr>
                <w:webHidden/>
              </w:rPr>
              <w:fldChar w:fldCharType="begin"/>
            </w:r>
            <w:r w:rsidRPr="00FE66D4">
              <w:rPr>
                <w:webHidden/>
              </w:rPr>
              <w:instrText xml:space="preserve"> PAGEREF _Toc161411089 \h </w:instrText>
            </w:r>
            <w:r w:rsidRPr="00FE66D4">
              <w:rPr>
                <w:webHidden/>
              </w:rPr>
            </w:r>
            <w:r w:rsidRPr="00FE66D4">
              <w:rPr>
                <w:webHidden/>
              </w:rPr>
              <w:fldChar w:fldCharType="separate"/>
            </w:r>
            <w:r w:rsidRPr="00FE66D4">
              <w:rPr>
                <w:webHidden/>
              </w:rPr>
              <w:t>8</w:t>
            </w:r>
            <w:r w:rsidRPr="00FE66D4">
              <w:rPr>
                <w:webHidden/>
              </w:rPr>
              <w:fldChar w:fldCharType="end"/>
            </w:r>
          </w:hyperlink>
        </w:p>
        <w:p w14:paraId="67DCF319" w14:textId="21C9AB08" w:rsidR="004C2219" w:rsidRDefault="004C2219" w:rsidP="00782E5C">
          <w:r w:rsidRPr="00FE66D4">
            <w:rPr>
              <w:b/>
              <w:bCs/>
            </w:rPr>
            <w:fldChar w:fldCharType="end"/>
          </w:r>
        </w:p>
      </w:sdtContent>
    </w:sdt>
    <w:p w14:paraId="21FEDE81" w14:textId="3DF13717" w:rsidR="00EA2EDC" w:rsidRPr="00EA2EDC" w:rsidRDefault="00B13FC0" w:rsidP="0015758A">
      <w:pPr>
        <w:pStyle w:val="Rubrik2"/>
      </w:pPr>
      <w:bookmarkStart w:id="7" w:name="_Toc161411077"/>
      <w:r>
        <w:t xml:space="preserve">Bakgrund och </w:t>
      </w:r>
      <w:r w:rsidR="0005085A">
        <w:t>s</w:t>
      </w:r>
      <w:r w:rsidR="00EA2EDC" w:rsidRPr="00EA2EDC">
        <w:t>yfte</w:t>
      </w:r>
      <w:bookmarkEnd w:id="7"/>
    </w:p>
    <w:p w14:paraId="3616F873" w14:textId="12A6A2C5" w:rsidR="00EA2EDC" w:rsidRPr="00EA2EDC" w:rsidRDefault="00EA2EDC" w:rsidP="0015758A">
      <w:pPr>
        <w:rPr>
          <w:lang w:val="is-IS"/>
        </w:rPr>
      </w:pPr>
      <w:r w:rsidRPr="00EA2EDC">
        <w:rPr>
          <w:lang w:val="is-IS"/>
        </w:rPr>
        <w:t>Att skapa enhetliga rutiner för diagnostik, behandling och uppföljning av</w:t>
      </w:r>
      <w:r w:rsidR="0015758A">
        <w:rPr>
          <w:lang w:val="is-IS"/>
        </w:rPr>
        <w:t xml:space="preserve"> </w:t>
      </w:r>
      <w:r w:rsidRPr="00EA2EDC">
        <w:rPr>
          <w:lang w:val="is-IS"/>
        </w:rPr>
        <w:t xml:space="preserve">bronkiektasipatienter på </w:t>
      </w:r>
      <w:r w:rsidR="00051898">
        <w:rPr>
          <w:lang w:val="is-IS"/>
        </w:rPr>
        <w:t>L</w:t>
      </w:r>
      <w:r w:rsidRPr="00EA2EDC">
        <w:rPr>
          <w:lang w:val="is-IS"/>
        </w:rPr>
        <w:t>ungmottagningen</w:t>
      </w:r>
      <w:r w:rsidR="00E15C02">
        <w:rPr>
          <w:lang w:val="is-IS"/>
        </w:rPr>
        <w:t xml:space="preserve"> och </w:t>
      </w:r>
      <w:r w:rsidR="00051898">
        <w:rPr>
          <w:lang w:val="is-IS"/>
        </w:rPr>
        <w:t>A</w:t>
      </w:r>
      <w:r w:rsidR="00E15C02">
        <w:rPr>
          <w:lang w:val="is-IS"/>
        </w:rPr>
        <w:t>llergimottagningen</w:t>
      </w:r>
      <w:r w:rsidRPr="00EA2EDC">
        <w:rPr>
          <w:lang w:val="is-IS"/>
        </w:rPr>
        <w:t xml:space="preserve">. För </w:t>
      </w:r>
      <w:r w:rsidR="00051898">
        <w:rPr>
          <w:lang w:val="is-IS"/>
        </w:rPr>
        <w:t>C</w:t>
      </w:r>
      <w:r w:rsidRPr="00EA2EDC">
        <w:rPr>
          <w:lang w:val="is-IS"/>
        </w:rPr>
        <w:t>ystisk fibros (CF),</w:t>
      </w:r>
      <w:r w:rsidRPr="00EA2EDC">
        <w:rPr>
          <w:color w:val="E7E6E6"/>
          <w:lang w:val="is-IS"/>
        </w:rPr>
        <w:t xml:space="preserve"> </w:t>
      </w:r>
      <w:r w:rsidRPr="00EA2EDC">
        <w:rPr>
          <w:lang w:val="is-IS"/>
        </w:rPr>
        <w:t>se separata rutiner</w:t>
      </w:r>
      <w:r w:rsidR="00051898">
        <w:rPr>
          <w:lang w:val="is-IS"/>
        </w:rPr>
        <w:t>.</w:t>
      </w:r>
    </w:p>
    <w:p w14:paraId="2A461531" w14:textId="04D804DD" w:rsidR="00EA2EDC" w:rsidRDefault="00A21942" w:rsidP="00C30B2D">
      <w:pPr>
        <w:pStyle w:val="Rubrik3"/>
      </w:pPr>
      <w:bookmarkStart w:id="8" w:name="_Toc161411078"/>
      <w:r>
        <w:lastRenderedPageBreak/>
        <w:t>Förutsättningar</w:t>
      </w:r>
      <w:bookmarkEnd w:id="8"/>
    </w:p>
    <w:p w14:paraId="2FEFBA0B" w14:textId="1A9B42E7" w:rsidR="00A21942" w:rsidRDefault="00A21942" w:rsidP="00A21942">
      <w:r w:rsidRPr="00EA2EDC">
        <w:t>Läkare och sjuksköterskor, Lungmottagningen</w:t>
      </w:r>
      <w:r w:rsidR="007D14CF">
        <w:t xml:space="preserve"> och Allergimottagningen</w:t>
      </w:r>
      <w:r w:rsidRPr="00EA2EDC">
        <w:t xml:space="preserve">, </w:t>
      </w:r>
      <w:r w:rsidR="00C30B2D">
        <w:t>v</w:t>
      </w:r>
      <w:r w:rsidRPr="00EA2EDC">
        <w:t xml:space="preserve">erksamhet </w:t>
      </w:r>
      <w:r w:rsidR="007D14CF">
        <w:t>L</w:t>
      </w:r>
      <w:r w:rsidRPr="00EA2EDC">
        <w:t>ungmedicin</w:t>
      </w:r>
      <w:r w:rsidR="007D14CF">
        <w:t xml:space="preserve">, </w:t>
      </w:r>
      <w:r w:rsidRPr="00EA2EDC">
        <w:t>allergologi</w:t>
      </w:r>
      <w:r w:rsidR="007D14CF">
        <w:t xml:space="preserve"> och palliativ medicin, </w:t>
      </w:r>
      <w:r w:rsidRPr="00EA2EDC">
        <w:t>Område 6, S</w:t>
      </w:r>
      <w:r w:rsidR="0005085A">
        <w:t xml:space="preserve">ahlgrenska </w:t>
      </w:r>
      <w:r w:rsidRPr="00EA2EDC">
        <w:t>U</w:t>
      </w:r>
      <w:r w:rsidR="0005085A">
        <w:t>niversitetssjukhuset</w:t>
      </w:r>
      <w:r w:rsidRPr="00EA2EDC">
        <w:t xml:space="preserve"> ansvarar för att utföra arbetet enligt gällande rutin. </w:t>
      </w:r>
    </w:p>
    <w:p w14:paraId="389851E6" w14:textId="7392D23C" w:rsidR="00AC3ECE" w:rsidRDefault="0005085A" w:rsidP="0005085A">
      <w:r>
        <w:t>Sektionschef</w:t>
      </w:r>
      <w:r w:rsidR="00AC3ECE">
        <w:t xml:space="preserve"> för Lungmedicin, allergi och KOL</w:t>
      </w:r>
      <w:r w:rsidR="00051898">
        <w:t xml:space="preserve"> och vårdenhetschefer för lung- och allergimottagningarna</w:t>
      </w:r>
      <w:r>
        <w:t xml:space="preserve"> ansvar för att rutinen är känd och följs. </w:t>
      </w:r>
    </w:p>
    <w:p w14:paraId="7BE299CA" w14:textId="5B53CACF" w:rsidR="0005085A" w:rsidRDefault="0005085A" w:rsidP="0005085A">
      <w:r>
        <w:t xml:space="preserve">Verksamhetschefen ansvarar för att rutinen finns och följer gällande författningar/lagar. </w:t>
      </w:r>
    </w:p>
    <w:p w14:paraId="4534E00E" w14:textId="37B722B0" w:rsidR="003C5B92" w:rsidRDefault="003C5B92" w:rsidP="00C30B2D">
      <w:pPr>
        <w:pStyle w:val="Rubrik3"/>
      </w:pPr>
      <w:bookmarkStart w:id="9" w:name="_Toc161411079"/>
      <w:r>
        <w:t>Avgränsningar</w:t>
      </w:r>
      <w:bookmarkEnd w:id="9"/>
      <w:r>
        <w:t xml:space="preserve"> </w:t>
      </w:r>
    </w:p>
    <w:p w14:paraId="59BE25B0" w14:textId="77777777" w:rsidR="007E7759" w:rsidRPr="0005085A" w:rsidRDefault="007E7759" w:rsidP="007E7759">
      <w:pPr>
        <w:rPr>
          <w:lang w:val="is-IS"/>
        </w:rPr>
      </w:pPr>
      <w:r w:rsidRPr="00EA2EDC">
        <w:rPr>
          <w:lang w:val="is-IS"/>
        </w:rPr>
        <w:t xml:space="preserve">Bronkiektasier innebär en bestående dilatation av bronker och bronkioler sekundärt till defekter i bronkväggen. Det kan orsakas av kongenitala skador men vanligen är det resultatet av inflammatoriska processer som destruerar bronkerna. Sjukdomen orsakar signifikant ökad mortalitet och morbiditet. Diagnosen ställs med HRCT. </w:t>
      </w:r>
    </w:p>
    <w:p w14:paraId="6EB8B557" w14:textId="77777777" w:rsidR="007E7759" w:rsidRPr="00EA7A50" w:rsidRDefault="007E7759" w:rsidP="007E7759">
      <w:pPr>
        <w:pStyle w:val="MellanrubrikVGR"/>
      </w:pPr>
      <w:r w:rsidRPr="00EA7A50">
        <w:t>Orsaker</w:t>
      </w:r>
    </w:p>
    <w:p w14:paraId="3F11B3BB" w14:textId="77777777" w:rsidR="007E7759" w:rsidRPr="00EA2EDC" w:rsidRDefault="007E7759" w:rsidP="007E7759">
      <w:pPr>
        <w:pStyle w:val="Punktlista"/>
      </w:pPr>
      <w:r w:rsidRPr="00EA2EDC">
        <w:t>Nekrotiserande infektioner orsakade av bakterier och virus (kikhosta, tuberkulos, atypiska mykobakterier, mykoplasma, klebsiella, stafylokockus aureus, RS-virus, influensa, adenovirus, herpes simplex).</w:t>
      </w:r>
    </w:p>
    <w:p w14:paraId="2528E0C8" w14:textId="5DC6DF3F" w:rsidR="007E7759" w:rsidRPr="00EA2EDC" w:rsidRDefault="007E7759" w:rsidP="007E7759">
      <w:pPr>
        <w:pStyle w:val="Punktlista"/>
      </w:pPr>
      <w:r w:rsidRPr="00EA2EDC">
        <w:t>Medfödda sjukdomar (Primär ciliär dyskinesi (PCD), alfa</w:t>
      </w:r>
      <w:r>
        <w:t>-</w:t>
      </w:r>
      <w:r w:rsidRPr="00EA2EDC">
        <w:t>1-antitrypsin brist, CF, m</w:t>
      </w:r>
      <w:r w:rsidR="00051898">
        <w:t xml:space="preserve">ed </w:t>
      </w:r>
      <w:r w:rsidRPr="00EA2EDC">
        <w:t>m</w:t>
      </w:r>
      <w:r w:rsidR="00051898">
        <w:t>era</w:t>
      </w:r>
      <w:r w:rsidRPr="00EA2EDC">
        <w:t>)</w:t>
      </w:r>
    </w:p>
    <w:p w14:paraId="2C4415F3" w14:textId="77777777" w:rsidR="007E7759" w:rsidRPr="00EA2EDC" w:rsidRDefault="007E7759" w:rsidP="007E7759">
      <w:pPr>
        <w:pStyle w:val="Punktlista"/>
      </w:pPr>
      <w:r w:rsidRPr="00EA2EDC">
        <w:t>Immunbristsjukdomar (medfödd eller förvärvad immunbrist såsom hypogammaglobulinemi, Comman Variable Immunodeficiency (CVID), HIV, sekundär till cancer och cellgiftsbehandling, Graft versus host reaction (GVH) efter benmärgstransplantation och kronisk avstötning efter lungtransplantation)</w:t>
      </w:r>
    </w:p>
    <w:p w14:paraId="4B0AD515" w14:textId="77777777" w:rsidR="007E7759" w:rsidRPr="00EA2EDC" w:rsidRDefault="007E7759" w:rsidP="007E7759">
      <w:pPr>
        <w:pStyle w:val="Punktlista"/>
      </w:pPr>
      <w:r w:rsidRPr="00EA2EDC">
        <w:t>Reumatiska sjukdomar (Reumatoid artrit, SLE, Sjögrens syndrom)</w:t>
      </w:r>
    </w:p>
    <w:p w14:paraId="799D5D3E" w14:textId="77777777" w:rsidR="007E7759" w:rsidRPr="00EA2EDC" w:rsidRDefault="007E7759" w:rsidP="007E7759">
      <w:pPr>
        <w:pStyle w:val="Punktlista"/>
      </w:pPr>
      <w:r w:rsidRPr="00EA2EDC">
        <w:t>Allergisk bronkopulmonell aspergillos (ABPA)</w:t>
      </w:r>
    </w:p>
    <w:p w14:paraId="250F12D4" w14:textId="77777777" w:rsidR="007E7759" w:rsidRPr="00EA2EDC" w:rsidRDefault="007E7759" w:rsidP="007E7759">
      <w:pPr>
        <w:pStyle w:val="Punktlista"/>
      </w:pPr>
      <w:r w:rsidRPr="00EA2EDC">
        <w:t>Bronkobstruktion, mellanlobssyndrom</w:t>
      </w:r>
    </w:p>
    <w:p w14:paraId="4E5219DE" w14:textId="77777777" w:rsidR="007E7759" w:rsidRPr="00EA2EDC" w:rsidRDefault="007E7759" w:rsidP="007E7759">
      <w:pPr>
        <w:pStyle w:val="Punktlista"/>
      </w:pPr>
      <w:r w:rsidRPr="00EA2EDC">
        <w:t>Inhalation av toxiska gaser</w:t>
      </w:r>
    </w:p>
    <w:p w14:paraId="3EB74519" w14:textId="77777777" w:rsidR="007E7759" w:rsidRPr="00396289" w:rsidRDefault="007E7759" w:rsidP="007E7759">
      <w:pPr>
        <w:pStyle w:val="Punktlista"/>
      </w:pPr>
      <w:r w:rsidRPr="00EA2EDC">
        <w:t>Övrigt (inflammatorisk tarmsjukdom, yellow nail syndrome, aspiration, reflux, astma, KOL)</w:t>
      </w:r>
      <w:r>
        <w:t>.</w:t>
      </w:r>
    </w:p>
    <w:p w14:paraId="17E295B1" w14:textId="77777777" w:rsidR="007E7759" w:rsidRDefault="007E7759" w:rsidP="007E7759">
      <w:pPr>
        <w:pStyle w:val="MellanrubrikVGR"/>
        <w:rPr>
          <w:lang w:val="is-IS"/>
        </w:rPr>
      </w:pPr>
      <w:r w:rsidRPr="00EA7A50">
        <w:rPr>
          <w:lang w:val="is-IS"/>
        </w:rPr>
        <w:lastRenderedPageBreak/>
        <w:t>Symtom</w:t>
      </w:r>
    </w:p>
    <w:p w14:paraId="6A957752" w14:textId="77777777" w:rsidR="007E7759" w:rsidRPr="00396289" w:rsidRDefault="007E7759" w:rsidP="007E7759">
      <w:pPr>
        <w:rPr>
          <w:lang w:val="is-IS"/>
        </w:rPr>
      </w:pPr>
      <w:r w:rsidRPr="00EA2EDC">
        <w:rPr>
          <w:lang w:val="is-IS"/>
        </w:rPr>
        <w:t xml:space="preserve">Kronisk hosta och slemproduktion med recidiverande luftvägsinfektioner är typiskt. Icke produktiv hosta förekommer. Andra symtom är hemoptys, andfåddhet, trötthet och viktnedgång. Dyspné och obstruktiva symptom kan utvecklas. Symtom varierar beroende på bakomliggande sjukdom. </w:t>
      </w:r>
    </w:p>
    <w:p w14:paraId="5DA7C23B" w14:textId="3D3FACAA" w:rsidR="00EA2EDC" w:rsidRPr="00EA2EDC" w:rsidRDefault="00DD1982" w:rsidP="007D0D1F">
      <w:pPr>
        <w:pStyle w:val="Rubrik2"/>
      </w:pPr>
      <w:bookmarkStart w:id="10" w:name="_Toc161411080"/>
      <w:r>
        <w:t>Utförande</w:t>
      </w:r>
      <w:bookmarkEnd w:id="10"/>
    </w:p>
    <w:p w14:paraId="3AF3FB65" w14:textId="77777777" w:rsidR="00AC3ECE" w:rsidRDefault="00EA2EDC" w:rsidP="002D3EFE">
      <w:pPr>
        <w:pStyle w:val="Rubrik3"/>
      </w:pPr>
      <w:bookmarkStart w:id="11" w:name="_Toc161411081"/>
      <w:r w:rsidRPr="00CE5FC4">
        <w:t>Utredning</w:t>
      </w:r>
      <w:bookmarkEnd w:id="11"/>
    </w:p>
    <w:p w14:paraId="1A083CA5" w14:textId="6AD7C0A4" w:rsidR="00EA2EDC" w:rsidRPr="00396289" w:rsidRDefault="00EA2EDC" w:rsidP="00396289">
      <w:r w:rsidRPr="00EA2EDC">
        <w:t xml:space="preserve">Utredningen inriktar sig på att verifiera eller utesluta </w:t>
      </w:r>
      <w:proofErr w:type="spellStart"/>
      <w:r w:rsidRPr="00EA2EDC">
        <w:t>bronkiektasier</w:t>
      </w:r>
      <w:proofErr w:type="spellEnd"/>
      <w:r w:rsidRPr="00EA2EDC">
        <w:t xml:space="preserve"> och</w:t>
      </w:r>
      <w:r w:rsidR="00396289">
        <w:t xml:space="preserve"> </w:t>
      </w:r>
      <w:r w:rsidRPr="00EA2EDC">
        <w:t xml:space="preserve">eventuella underliggande sjukdomar (se ovan). </w:t>
      </w:r>
    </w:p>
    <w:p w14:paraId="665BCD25" w14:textId="77777777" w:rsidR="00AC3ECE" w:rsidRDefault="00EA2EDC" w:rsidP="002D3EFE">
      <w:pPr>
        <w:pStyle w:val="MellanrubrikVGR"/>
      </w:pPr>
      <w:r w:rsidRPr="00CE5FC4">
        <w:t>HRCT thorax</w:t>
      </w:r>
    </w:p>
    <w:p w14:paraId="4F0E0AE3" w14:textId="7E54E367" w:rsidR="00EA2EDC" w:rsidRPr="00396289" w:rsidRDefault="00247868" w:rsidP="00396289">
      <w:r>
        <w:t>G</w:t>
      </w:r>
      <w:r w:rsidR="00EA2EDC" w:rsidRPr="00EA2EDC">
        <w:t xml:space="preserve">örs för att ställa diagnosen. HRCT visar typ och utbredning av bronkiektasierna samt bronkväggsförtjockning, slempluggar, ”tree-in-bud”, </w:t>
      </w:r>
      <w:proofErr w:type="spellStart"/>
      <w:r w:rsidR="00EA2EDC" w:rsidRPr="00EA2EDC">
        <w:t>peribronkiella</w:t>
      </w:r>
      <w:proofErr w:type="spellEnd"/>
      <w:r w:rsidR="00EA2EDC" w:rsidRPr="00EA2EDC">
        <w:t xml:space="preserve"> infiltrat och air-</w:t>
      </w:r>
      <w:proofErr w:type="spellStart"/>
      <w:r w:rsidR="00EA2EDC" w:rsidRPr="00EA2EDC">
        <w:t>trapping</w:t>
      </w:r>
      <w:proofErr w:type="spellEnd"/>
      <w:r w:rsidR="00EA2EDC" w:rsidRPr="00EA2EDC">
        <w:t>.</w:t>
      </w:r>
    </w:p>
    <w:p w14:paraId="39F57261" w14:textId="77777777" w:rsidR="00AC3ECE" w:rsidRDefault="00EA2EDC" w:rsidP="002D3EFE">
      <w:pPr>
        <w:pStyle w:val="MellanrubrikVGR"/>
      </w:pPr>
      <w:r w:rsidRPr="00CE5FC4">
        <w:t>Spirometri</w:t>
      </w:r>
    </w:p>
    <w:p w14:paraId="1B0619B3" w14:textId="1C5B8F00" w:rsidR="00EA2EDC" w:rsidRPr="00396289" w:rsidRDefault="00200B82" w:rsidP="00396289">
      <w:r>
        <w:t>G</w:t>
      </w:r>
      <w:r w:rsidR="00EA2EDC" w:rsidRPr="00EA2EDC">
        <w:t>örs för att mäta lungfunktionspåverkan och för att ha ett utgångsvärde för uppföljningen. Vanligen utvecklar bronkiektasipatienterna en obstruktiv ventilationsinskränkning som förvärras vid täta exacerbationer och progress av bronkiektasierna.</w:t>
      </w:r>
      <w:r w:rsidR="00A73539">
        <w:t xml:space="preserve"> </w:t>
      </w:r>
      <w:proofErr w:type="spellStart"/>
      <w:r w:rsidR="00EA2EDC" w:rsidRPr="00EA2EDC">
        <w:t>Sputumprover</w:t>
      </w:r>
      <w:proofErr w:type="spellEnd"/>
      <w:r w:rsidR="00EA2EDC" w:rsidRPr="00EA2EDC">
        <w:t xml:space="preserve"> tas både för allmän</w:t>
      </w:r>
      <w:r w:rsidR="00C84AD6">
        <w:t>-</w:t>
      </w:r>
      <w:r w:rsidR="00EA2EDC" w:rsidRPr="00EA2EDC">
        <w:t xml:space="preserve"> och tb-odling. Vanliga patogener är Haemophilus influenzae, Staphylococcus aureus, Streptococcus pneumoniae, Moraxella catarrhalis och gramnegativa arter såsom Pseudomonas aeruginosa, Stenotrophomonas maltophilia och Achromobacter sp. Atypiska mykobakterier och Aspergillus sp. kan kolonisera luftvägarna men behöver inte vara sjukdomsframkallande. Observera att minst två positiva odlingar och typiska symptom/röntgenfynd krävs för diagnosen pulmonell mykobakterios. Bronkoskopi kan behövas för adekvata prover.</w:t>
      </w:r>
    </w:p>
    <w:p w14:paraId="0903041D" w14:textId="77777777" w:rsidR="00AC3ECE" w:rsidRDefault="00EA2EDC" w:rsidP="002D3EFE">
      <w:pPr>
        <w:pStyle w:val="MellanrubrikVGR"/>
      </w:pPr>
      <w:r w:rsidRPr="00ED0A76">
        <w:t>Blodprover</w:t>
      </w:r>
    </w:p>
    <w:p w14:paraId="6640E4ED" w14:textId="77777777" w:rsidR="00247868" w:rsidRDefault="00EA2EDC" w:rsidP="00396289">
      <w:r w:rsidRPr="00247868">
        <w:rPr>
          <w:b/>
          <w:bCs/>
          <w:iCs/>
        </w:rPr>
        <w:t>Basprover</w:t>
      </w:r>
      <w:r w:rsidRPr="00EA2EDC">
        <w:rPr>
          <w:i/>
        </w:rPr>
        <w:t>:</w:t>
      </w:r>
      <w:r w:rsidRPr="00EA2EDC">
        <w:t xml:space="preserve"> Blod-, el</w:t>
      </w:r>
      <w:r w:rsidR="0051118C">
        <w:t>-</w:t>
      </w:r>
      <w:r w:rsidRPr="00EA2EDC">
        <w:t xml:space="preserve"> och leverstatus, </w:t>
      </w:r>
      <w:proofErr w:type="spellStart"/>
      <w:r w:rsidRPr="00EA2EDC">
        <w:t>diff</w:t>
      </w:r>
      <w:proofErr w:type="spellEnd"/>
      <w:r w:rsidRPr="00EA2EDC">
        <w:t xml:space="preserve">, CRP, SR. </w:t>
      </w:r>
    </w:p>
    <w:p w14:paraId="3548396A" w14:textId="65897B02" w:rsidR="00EA2EDC" w:rsidRPr="00396289" w:rsidRDefault="00EA2EDC" w:rsidP="00396289">
      <w:r w:rsidRPr="00247868">
        <w:rPr>
          <w:b/>
          <w:bCs/>
          <w:iCs/>
        </w:rPr>
        <w:t>Övriga blodprover</w:t>
      </w:r>
      <w:r w:rsidRPr="00FF0B01">
        <w:rPr>
          <w:iCs/>
        </w:rPr>
        <w:t>:</w:t>
      </w:r>
      <w:r w:rsidRPr="00EA2EDC">
        <w:t xml:space="preserve"> HIV, </w:t>
      </w:r>
      <w:proofErr w:type="spellStart"/>
      <w:r w:rsidRPr="00EA2EDC">
        <w:t>Immunoglobuliner</w:t>
      </w:r>
      <w:proofErr w:type="spellEnd"/>
      <w:r w:rsidRPr="00EA2EDC">
        <w:t xml:space="preserve"> och IgG-subklasser, anti-CCP, ANA screening, ANCA, Total IgE, precipitiner och RAST för aspergillus. Alfa-1-antitrypsin.</w:t>
      </w:r>
    </w:p>
    <w:p w14:paraId="04C1D6ED" w14:textId="77777777" w:rsidR="00AC3ECE" w:rsidRDefault="00EA2EDC" w:rsidP="002D3EFE">
      <w:pPr>
        <w:pStyle w:val="MellanrubrikVGR"/>
      </w:pPr>
      <w:r w:rsidRPr="0055233A">
        <w:lastRenderedPageBreak/>
        <w:t>Övrigt</w:t>
      </w:r>
    </w:p>
    <w:p w14:paraId="2ECF7971" w14:textId="71A291D7" w:rsidR="00EA2EDC" w:rsidRPr="00EA2EDC" w:rsidRDefault="00EA2EDC" w:rsidP="0055233A">
      <w:r w:rsidRPr="00EA2EDC">
        <w:t>Bronkoskopi vid misstanke om striktur/främmande kropp eller om man behöver få bättre odlingsprover. Analys av lipidfyllda makrofager som tecken på reflux. CT av bihålor vid misstanke om sinobronkiellt syndrom. Hos yngre personer skall diagnoserna CF, PCD och immunbrist starkt övervägas.</w:t>
      </w:r>
    </w:p>
    <w:p w14:paraId="117EECF3" w14:textId="3A183507" w:rsidR="00EA2EDC" w:rsidRPr="00396289" w:rsidRDefault="00EA2EDC" w:rsidP="00396289">
      <w:r w:rsidRPr="00EA2EDC">
        <w:t xml:space="preserve">Symptomfria </w:t>
      </w:r>
      <w:proofErr w:type="spellStart"/>
      <w:r w:rsidRPr="00EA2EDC">
        <w:t>bronkiektasipatienter</w:t>
      </w:r>
      <w:proofErr w:type="spellEnd"/>
      <w:r w:rsidRPr="00EA2EDC">
        <w:t xml:space="preserve"> behöver inte utredas eller följas vidare, men bör informeras och rekommenderas att vända sig till sjukvården vid besvär</w:t>
      </w:r>
    </w:p>
    <w:p w14:paraId="49EE168D" w14:textId="77777777" w:rsidR="00AC3ECE" w:rsidRDefault="00EA2EDC" w:rsidP="002D3EFE">
      <w:pPr>
        <w:pStyle w:val="Rubrik3"/>
      </w:pPr>
      <w:bookmarkStart w:id="12" w:name="_Toc161411082"/>
      <w:r w:rsidRPr="00AB7A1C">
        <w:t>Behandling</w:t>
      </w:r>
      <w:bookmarkEnd w:id="12"/>
    </w:p>
    <w:p w14:paraId="4D0BE467" w14:textId="1243B11B" w:rsidR="00EA2EDC" w:rsidRPr="00EA2EDC" w:rsidRDefault="00EA2EDC" w:rsidP="00AB7A1C">
      <w:pPr>
        <w:rPr>
          <w:rFonts w:ascii="Arial" w:hAnsi="Arial" w:cs="Arial"/>
          <w:sz w:val="20"/>
          <w:szCs w:val="20"/>
        </w:rPr>
      </w:pPr>
      <w:r w:rsidRPr="00EA2EDC">
        <w:t xml:space="preserve">Slemmobilisering är en hörnsten i behandlingen av bronkiektasisjukdom. En förbättrad slemmobilisering förebygger exacerbationer, minskar symptomen och förbättrar prognosen. Alla patienter skall genomgå en bedömning av en fysioterapeut och vid behov skall upprepade besök erbjudas. </w:t>
      </w:r>
    </w:p>
    <w:p w14:paraId="5C461790" w14:textId="473EDD85" w:rsidR="00EA2EDC" w:rsidRPr="00EA2EDC" w:rsidRDefault="00EA2EDC" w:rsidP="00AB7A1C">
      <w:r w:rsidRPr="00EA2EDC">
        <w:t xml:space="preserve">I lindriga fall kan det räcka med daglig fysisk aktivitet och BA-tub/PEP-mask. Vid mer påtaglig slemproduktion och/eller infektionsproblematik krävs ofta behandling med inhalation av </w:t>
      </w:r>
      <w:proofErr w:type="spellStart"/>
      <w:r w:rsidRPr="00EA2EDC">
        <w:t>isoton</w:t>
      </w:r>
      <w:proofErr w:type="spellEnd"/>
      <w:r w:rsidRPr="00EA2EDC">
        <w:t xml:space="preserve"> natriumkloridlösning (</w:t>
      </w:r>
      <w:proofErr w:type="spellStart"/>
      <w:r w:rsidRPr="00EA2EDC">
        <w:t>NaCl</w:t>
      </w:r>
      <w:proofErr w:type="spellEnd"/>
      <w:r w:rsidRPr="00EA2EDC">
        <w:t xml:space="preserve"> 9</w:t>
      </w:r>
      <w:r w:rsidR="00414248">
        <w:t xml:space="preserve"> </w:t>
      </w:r>
      <w:r w:rsidRPr="00EA2EDC">
        <w:t>mg/ml 4 ml x 3</w:t>
      </w:r>
      <w:r w:rsidR="00197A4C">
        <w:t xml:space="preserve"> </w:t>
      </w:r>
      <w:r w:rsidRPr="00EA2EDC">
        <w:t>-</w:t>
      </w:r>
      <w:r w:rsidR="00197A4C">
        <w:t xml:space="preserve"> </w:t>
      </w:r>
      <w:r w:rsidRPr="00EA2EDC">
        <w:t xml:space="preserve">4) i nebulisator. Alternativt kan </w:t>
      </w:r>
      <w:proofErr w:type="spellStart"/>
      <w:r w:rsidRPr="00EA2EDC">
        <w:t>hyperton</w:t>
      </w:r>
      <w:proofErr w:type="spellEnd"/>
      <w:r w:rsidRPr="00EA2EDC">
        <w:t xml:space="preserve"> natriumkloridlösning provas (</w:t>
      </w:r>
      <w:r w:rsidR="00C57BC0" w:rsidRPr="00EA2EDC">
        <w:t>3–7</w:t>
      </w:r>
      <w:r w:rsidR="00C57BC0">
        <w:t xml:space="preserve"> </w:t>
      </w:r>
      <w:r w:rsidRPr="00EA2EDC">
        <w:t xml:space="preserve">%). Patienten skall då förbehandlas med beta-2-stimulerare eftersom risk för bronkobstruktion även föreligger här. Uppstart av sådan behandling sker hos fysioterapeut. Ibland kan Acetylcystein ges i inhalationsform (200 mg/ml </w:t>
      </w:r>
      <w:proofErr w:type="gramStart"/>
      <w:r w:rsidR="00C57BC0" w:rsidRPr="00EA2EDC">
        <w:t>1</w:t>
      </w:r>
      <w:r w:rsidR="00C20DCA">
        <w:t>-</w:t>
      </w:r>
      <w:r w:rsidR="00C57BC0" w:rsidRPr="00EA2EDC">
        <w:t>2</w:t>
      </w:r>
      <w:proofErr w:type="gramEnd"/>
      <w:r w:rsidRPr="00EA2EDC">
        <w:t xml:space="preserve"> ml x </w:t>
      </w:r>
      <w:r w:rsidR="00C57BC0" w:rsidRPr="00EA2EDC">
        <w:t>3</w:t>
      </w:r>
      <w:r w:rsidR="00C20DCA">
        <w:t>-</w:t>
      </w:r>
      <w:r w:rsidR="00C57BC0" w:rsidRPr="00EA2EDC">
        <w:t>4</w:t>
      </w:r>
      <w:r w:rsidRPr="00EA2EDC">
        <w:t>), men det vetenskapliga stödet för denna behandling är svagt. Acetylcystein kan orsaka bronkobstruktion och skall kombineras med beta-2-stimulerare.</w:t>
      </w:r>
    </w:p>
    <w:p w14:paraId="6DD1D000" w14:textId="51C51CD8" w:rsidR="00EA2EDC" w:rsidRPr="00396289" w:rsidRDefault="00EA2EDC" w:rsidP="00396289">
      <w:r w:rsidRPr="00EA2EDC">
        <w:t xml:space="preserve">Behandling med perorala slemlösande medel såsom Bisolvon® och Acetylcystein® har låg evidensgrad. </w:t>
      </w:r>
      <w:proofErr w:type="spellStart"/>
      <w:r w:rsidRPr="00EA2EDC">
        <w:t>Pulmozym</w:t>
      </w:r>
      <w:proofErr w:type="spellEnd"/>
      <w:r w:rsidRPr="00EA2EDC">
        <w:t xml:space="preserve">® är ej indicerat vid icke-CF-bronkiektasier! </w:t>
      </w:r>
    </w:p>
    <w:p w14:paraId="5450F6D9" w14:textId="77777777" w:rsidR="00AC3ECE" w:rsidRDefault="00EA2EDC" w:rsidP="002D3EFE">
      <w:pPr>
        <w:pStyle w:val="MellanrubrikVGR"/>
      </w:pPr>
      <w:r w:rsidRPr="00E40932">
        <w:t>Antibiotikabehandling</w:t>
      </w:r>
    </w:p>
    <w:p w14:paraId="2CD7CF8A" w14:textId="39E571AE" w:rsidR="00EA2EDC" w:rsidRPr="00EA2EDC" w:rsidRDefault="00EA2EDC" w:rsidP="00E40932">
      <w:r w:rsidRPr="00EA2EDC">
        <w:t xml:space="preserve">Antibiotikabehandling bör ges frikostigt vid tecken till försämring. Kurerna bör vara minst 14 dagar. Lämpliga perorala förstahandspreparat är </w:t>
      </w:r>
      <w:proofErr w:type="spellStart"/>
      <w:r w:rsidRPr="00EA2EDC">
        <w:t>doxycyklin</w:t>
      </w:r>
      <w:proofErr w:type="spellEnd"/>
      <w:r w:rsidRPr="00EA2EDC">
        <w:t xml:space="preserve">, </w:t>
      </w:r>
      <w:proofErr w:type="spellStart"/>
      <w:r w:rsidRPr="00EA2EDC">
        <w:t>trimetoprimsulfa</w:t>
      </w:r>
      <w:proofErr w:type="spellEnd"/>
      <w:r w:rsidRPr="00EA2EDC">
        <w:t xml:space="preserve"> och </w:t>
      </w:r>
      <w:proofErr w:type="spellStart"/>
      <w:r w:rsidRPr="00EA2EDC">
        <w:t>amoxicillin</w:t>
      </w:r>
      <w:proofErr w:type="spellEnd"/>
      <w:r w:rsidRPr="00EA2EDC">
        <w:t xml:space="preserve">. För infektion med </w:t>
      </w:r>
      <w:r w:rsidRPr="00EA2EDC">
        <w:rPr>
          <w:i/>
        </w:rPr>
        <w:t>H</w:t>
      </w:r>
      <w:r w:rsidR="00C13E2A">
        <w:rPr>
          <w:i/>
        </w:rPr>
        <w:t> </w:t>
      </w:r>
      <w:proofErr w:type="spellStart"/>
      <w:r w:rsidRPr="00EA2EDC">
        <w:rPr>
          <w:i/>
        </w:rPr>
        <w:t>influenzae</w:t>
      </w:r>
      <w:proofErr w:type="spellEnd"/>
      <w:r w:rsidRPr="00EA2EDC">
        <w:t xml:space="preserve"> kan </w:t>
      </w:r>
      <w:proofErr w:type="spellStart"/>
      <w:r w:rsidRPr="00EA2EDC">
        <w:t>amoxicillindosen</w:t>
      </w:r>
      <w:proofErr w:type="spellEnd"/>
      <w:r w:rsidRPr="00EA2EDC">
        <w:t xml:space="preserve"> behöva vara 1g x 3 vid uttalade bronkiektasier. Bronkiektasier kan vara kroniskt koloniserade av en eller flera bakterier. Det kan därför vara svårt att veta vilket agens som orsakar den aktuella försämringen. Inför varje antibiotikakur bör en ny </w:t>
      </w:r>
      <w:r w:rsidRPr="00EA2EDC">
        <w:lastRenderedPageBreak/>
        <w:t xml:space="preserve">sputumodling tas. Även </w:t>
      </w:r>
      <w:proofErr w:type="spellStart"/>
      <w:r w:rsidRPr="00EA2EDC">
        <w:t>mykobakterieodlingar</w:t>
      </w:r>
      <w:proofErr w:type="spellEnd"/>
      <w:r w:rsidRPr="00EA2EDC">
        <w:t xml:space="preserve"> bör tas på vida indikationer. </w:t>
      </w:r>
    </w:p>
    <w:p w14:paraId="679277F3" w14:textId="38F56497" w:rsidR="00EA2EDC" w:rsidRPr="00EA2EDC" w:rsidRDefault="00EA2EDC" w:rsidP="00E40932">
      <w:r w:rsidRPr="00EA2EDC">
        <w:t>Tyvärr ger ibland perorala antibiotika bara kortvarig eller otillräcklig effekt, speciellt vid infektion med resistenta bakterier. Då kan man behöva ge intravenös behandling som kan administreras i hemmet via s</w:t>
      </w:r>
      <w:r w:rsidR="00051898">
        <w:t>å kallad</w:t>
      </w:r>
      <w:r w:rsidRPr="00EA2EDC">
        <w:t xml:space="preserve"> hempumpsbehandling. Första dosen ges dock alltid på sjukhus och behandlingen kräver speciella rutiner och uppföljning på mottagningen under hela antibiotikakuren. </w:t>
      </w:r>
    </w:p>
    <w:p w14:paraId="0D33822C" w14:textId="436F6723" w:rsidR="00EA2EDC" w:rsidRPr="00247D50" w:rsidRDefault="00EA2EDC" w:rsidP="00247D50">
      <w:r w:rsidRPr="00EA2EDC">
        <w:t xml:space="preserve">Vid mera än tre exacerbationer per år eller exacerbationer med stor morbiditet skiljer sig rekommendationerna åt för de som är infekterade med </w:t>
      </w:r>
      <w:proofErr w:type="spellStart"/>
      <w:r w:rsidRPr="00EA2EDC">
        <w:t>pseudomonas</w:t>
      </w:r>
      <w:proofErr w:type="spellEnd"/>
      <w:r w:rsidRPr="00EA2EDC">
        <w:t xml:space="preserve"> och de som inte är det. </w:t>
      </w:r>
    </w:p>
    <w:p w14:paraId="66AEC502" w14:textId="77777777" w:rsidR="00C13E2A" w:rsidRDefault="00EA2EDC" w:rsidP="00E40932">
      <w:r w:rsidRPr="00EA2EDC">
        <w:t xml:space="preserve">För patienter som har </w:t>
      </w:r>
      <w:proofErr w:type="spellStart"/>
      <w:r w:rsidRPr="004C1E4A">
        <w:rPr>
          <w:b/>
          <w:bCs/>
        </w:rPr>
        <w:t>pseudomonasinfektioner</w:t>
      </w:r>
      <w:proofErr w:type="spellEnd"/>
      <w:r w:rsidRPr="004C1E4A">
        <w:rPr>
          <w:b/>
          <w:bCs/>
        </w:rPr>
        <w:t xml:space="preserve"> </w:t>
      </w:r>
      <w:r w:rsidRPr="00EA2EDC">
        <w:t xml:space="preserve">bör man i första hand prova inhalationsantibiotika som många gånger har god effekt. Det finns både pulverinhalatorer och lösningar för inhalation i nebulisator. Uppstart av sådan behandling görs av fysioterapeut. </w:t>
      </w:r>
    </w:p>
    <w:p w14:paraId="022FF930" w14:textId="3246F196" w:rsidR="0088422C" w:rsidRDefault="00EA2EDC" w:rsidP="00E40932">
      <w:r w:rsidRPr="00EA2EDC">
        <w:t>Observera att särskilda nebulisatorer fordras för antibiotikainhalationer (Pari E-</w:t>
      </w:r>
      <w:proofErr w:type="spellStart"/>
      <w:r w:rsidRPr="00EA2EDC">
        <w:t>flow</w:t>
      </w:r>
      <w:proofErr w:type="spellEnd"/>
      <w:r w:rsidRPr="00EA2EDC">
        <w:t xml:space="preserve"> eller Pari LC plus). </w:t>
      </w:r>
      <w:r w:rsidRPr="0088422C">
        <w:rPr>
          <w:b/>
          <w:bCs/>
        </w:rPr>
        <w:t>OBS!</w:t>
      </w:r>
      <w:r w:rsidRPr="00EA2EDC">
        <w:t xml:space="preserve"> </w:t>
      </w:r>
      <w:r w:rsidRPr="0088422C">
        <w:rPr>
          <w:i/>
          <w:iCs/>
        </w:rPr>
        <w:t>Skorsten och filter måste användas</w:t>
      </w:r>
      <w:r w:rsidRPr="00EA2EDC">
        <w:t xml:space="preserve">. </w:t>
      </w:r>
    </w:p>
    <w:p w14:paraId="0C1583AA" w14:textId="3887E34E" w:rsidR="00EA2EDC" w:rsidRPr="00EA2EDC" w:rsidRDefault="00EA2EDC" w:rsidP="00E40932">
      <w:r w:rsidRPr="00EA2EDC">
        <w:t xml:space="preserve">För organisationen kring inhalationsantibiotika och hempumpsbehandling se </w:t>
      </w:r>
      <w:r w:rsidR="00C13E2A">
        <w:t xml:space="preserve">under </w:t>
      </w:r>
      <w:r w:rsidRPr="00EA2EDC">
        <w:t xml:space="preserve">rubriken. ”Organisation”. Enligt gällande rekommendationer bör man försöka </w:t>
      </w:r>
      <w:proofErr w:type="spellStart"/>
      <w:r w:rsidRPr="00EA2EDC">
        <w:t>eradikera</w:t>
      </w:r>
      <w:proofErr w:type="spellEnd"/>
      <w:r w:rsidRPr="00EA2EDC">
        <w:t xml:space="preserve"> </w:t>
      </w:r>
      <w:proofErr w:type="spellStart"/>
      <w:r w:rsidRPr="00EA2EDC">
        <w:t>pseudomonas</w:t>
      </w:r>
      <w:proofErr w:type="spellEnd"/>
      <w:r w:rsidRPr="00EA2EDC">
        <w:t xml:space="preserve"> på patienter som är nyligen infekterade. Man kan ge i.v. behandling eller T.</w:t>
      </w:r>
      <w:r w:rsidR="00C67835">
        <w:t> </w:t>
      </w:r>
      <w:r w:rsidRPr="00EA2EDC">
        <w:t xml:space="preserve">Ciprofloxacin 750 mg x 2 under 14 dagar i kombination med inhalationsantibiotika. Om patienten inte tolererar inhalationsbehandling eller om det saknar tillräcklig effekt rekommenderas att man ger </w:t>
      </w:r>
      <w:proofErr w:type="spellStart"/>
      <w:r w:rsidRPr="00EA2EDC">
        <w:t>makrolidprofylax</w:t>
      </w:r>
      <w:proofErr w:type="spellEnd"/>
      <w:r w:rsidRPr="00EA2EDC">
        <w:t xml:space="preserve"> (se nedan). Behandlingarna kan också kombineras.</w:t>
      </w:r>
    </w:p>
    <w:p w14:paraId="40B28726" w14:textId="6AD18117" w:rsidR="00EA2EDC" w:rsidRPr="00247D50" w:rsidRDefault="00EA2EDC" w:rsidP="00247D50">
      <w:r w:rsidRPr="00EA2EDC">
        <w:t xml:space="preserve">För patienter som inte har </w:t>
      </w:r>
      <w:r w:rsidRPr="004C1E4A">
        <w:rPr>
          <w:b/>
          <w:bCs/>
        </w:rPr>
        <w:t xml:space="preserve">luftvägsinfektion med </w:t>
      </w:r>
      <w:proofErr w:type="spellStart"/>
      <w:r w:rsidRPr="004C1E4A">
        <w:rPr>
          <w:b/>
          <w:bCs/>
        </w:rPr>
        <w:t>pseudomonas</w:t>
      </w:r>
      <w:proofErr w:type="spellEnd"/>
      <w:r w:rsidRPr="00EA2EDC">
        <w:t xml:space="preserve"> rekommenderas i första hand </w:t>
      </w:r>
      <w:proofErr w:type="spellStart"/>
      <w:r w:rsidRPr="00EA2EDC">
        <w:t>makrolidprofylax</w:t>
      </w:r>
      <w:proofErr w:type="spellEnd"/>
      <w:r w:rsidRPr="00EA2EDC">
        <w:t xml:space="preserve">. I andra hand kan inhalationsantibiotika provas enligt ovan. I vissa fall kan man prova att ge peroral antibiotikaprofylax förslagsvis under 3 månader (dock ej med </w:t>
      </w:r>
      <w:proofErr w:type="spellStart"/>
      <w:r w:rsidRPr="00EA2EDC">
        <w:t>kinolon</w:t>
      </w:r>
      <w:proofErr w:type="spellEnd"/>
      <w:r w:rsidRPr="00EA2EDC">
        <w:t>) och därefter utvärdera effekten.</w:t>
      </w:r>
    </w:p>
    <w:p w14:paraId="6FC8CE2F" w14:textId="77777777" w:rsidR="00247D50" w:rsidRDefault="00EA2EDC" w:rsidP="007800A7">
      <w:pPr>
        <w:pStyle w:val="MellanrubrikVGR"/>
      </w:pPr>
      <w:r w:rsidRPr="004C1E4A">
        <w:t>Övrig läkemedelsbehandling</w:t>
      </w:r>
    </w:p>
    <w:p w14:paraId="3DE8E57E" w14:textId="5AEDCC70" w:rsidR="00EA2EDC" w:rsidRPr="00EA2EDC" w:rsidRDefault="00EA2EDC" w:rsidP="004C1E4A">
      <w:pPr>
        <w:rPr>
          <w:rFonts w:ascii="Arial" w:hAnsi="Arial" w:cs="Arial"/>
          <w:sz w:val="20"/>
          <w:szCs w:val="20"/>
        </w:rPr>
      </w:pPr>
      <w:r w:rsidRPr="00EA2EDC">
        <w:t xml:space="preserve">Luftrörsvidgande läkemedel används om patienten har astma eller om hen upplever symptomlindring av sådana. Det finns inga evidens för behandling av bronkiektasipatienter med inhalationssteroider. </w:t>
      </w:r>
    </w:p>
    <w:p w14:paraId="2AB8ED11" w14:textId="77777777" w:rsidR="00EA2EDC" w:rsidRPr="00EA2EDC" w:rsidRDefault="00EA2EDC" w:rsidP="004C1E4A">
      <w:r w:rsidRPr="00EA2EDC">
        <w:t xml:space="preserve">Makrolider har lokala immunmodulerande effekter i luftrörsslemhinnan som visat sig förebygga exacerbationer vid bronkiektasier. Innan man startar behandling bör man utesluta kolonisation av atypiska mykobakterier. Orsaken är att makrolider är ett viktigt läkemedel vid </w:t>
      </w:r>
      <w:r w:rsidRPr="00EA2EDC">
        <w:lastRenderedPageBreak/>
        <w:t xml:space="preserve">behandling av </w:t>
      </w:r>
      <w:proofErr w:type="spellStart"/>
      <w:r w:rsidRPr="00EA2EDC">
        <w:t>mykobakterioser</w:t>
      </w:r>
      <w:proofErr w:type="spellEnd"/>
      <w:r w:rsidRPr="00EA2EDC">
        <w:t xml:space="preserve"> och vid singelbehandling av dessa med makrolider finns hög risk för resistensutveckling.</w:t>
      </w:r>
    </w:p>
    <w:p w14:paraId="193784B4" w14:textId="6887C67C" w:rsidR="00EA2EDC" w:rsidRPr="00247D50" w:rsidRDefault="00EA2EDC" w:rsidP="00247D50">
      <w:r w:rsidRPr="00EA2EDC">
        <w:t xml:space="preserve">Vanligen används </w:t>
      </w:r>
      <w:proofErr w:type="spellStart"/>
      <w:r w:rsidRPr="00EA2EDC">
        <w:t>Azitromycin</w:t>
      </w:r>
      <w:proofErr w:type="spellEnd"/>
      <w:r w:rsidRPr="00EA2EDC">
        <w:t xml:space="preserve"> 500 mg 3 ggr/vecka. Inför start kontrolleras EKG (risk för förlängning av QT-intervall), samt leverstatus. Leverprover kontrolleras om efter 2 veckor och därefter var tredje månad. Risk för hörselskada föreligger varför ett audiogram bör göras på alla som planeras för en långvarig profylax och vid symtom på hörselnedsättning</w:t>
      </w:r>
      <w:r w:rsidRPr="00EA2EDC">
        <w:rPr>
          <w:color w:val="00B050"/>
        </w:rPr>
        <w:t xml:space="preserve">. </w:t>
      </w:r>
      <w:r w:rsidRPr="00EA2EDC">
        <w:t>Hos patienter som har sina exacerbationer under vinterhalvåret kan man göra uppehåll i</w:t>
      </w:r>
      <w:r w:rsidRPr="00EA2EDC">
        <w:rPr>
          <w:color w:val="00B050"/>
        </w:rPr>
        <w:t xml:space="preserve"> </w:t>
      </w:r>
      <w:proofErr w:type="spellStart"/>
      <w:r w:rsidRPr="00EA2EDC">
        <w:t>Azitromycinbehandlingen</w:t>
      </w:r>
      <w:proofErr w:type="spellEnd"/>
      <w:r w:rsidRPr="00EA2EDC">
        <w:t xml:space="preserve"> under sommaren.</w:t>
      </w:r>
    </w:p>
    <w:p w14:paraId="6AE5E750" w14:textId="77777777" w:rsidR="00247D50" w:rsidRDefault="00EA2EDC" w:rsidP="00A22F57">
      <w:pPr>
        <w:pStyle w:val="MellanrubrikVGR"/>
      </w:pPr>
      <w:r w:rsidRPr="004C1E4A">
        <w:t>Monitorering av nutritionsstatus</w:t>
      </w:r>
    </w:p>
    <w:p w14:paraId="108E9741" w14:textId="48963849" w:rsidR="00EA2EDC" w:rsidRPr="00247D50" w:rsidRDefault="00EA2EDC" w:rsidP="00247D50">
      <w:r w:rsidRPr="00EA2EDC">
        <w:t>Vikten följs noggrant och vid undernutrition eller sjunkande vikt tas kontakt med dietist</w:t>
      </w:r>
      <w:r w:rsidR="00247D50">
        <w:t>.</w:t>
      </w:r>
    </w:p>
    <w:p w14:paraId="4D5CBEB9" w14:textId="77777777" w:rsidR="00247D50" w:rsidRDefault="00EA2EDC" w:rsidP="00A22F57">
      <w:pPr>
        <w:pStyle w:val="MellanrubrikVGR"/>
      </w:pPr>
      <w:r w:rsidRPr="000040D8">
        <w:t>Vaccination</w:t>
      </w:r>
    </w:p>
    <w:p w14:paraId="70AB8480" w14:textId="3B55C8BA" w:rsidR="00EA2EDC" w:rsidRPr="00FF737C" w:rsidRDefault="00EA2EDC" w:rsidP="00411923">
      <w:r w:rsidRPr="00EA2EDC">
        <w:t>Influensavaccin skall erbjudas varje år. Vaccin mot pneumokockinfektion erbjuds enligt gällande riktlinjer</w:t>
      </w:r>
      <w:r w:rsidRPr="3E450C56">
        <w:rPr>
          <w:color w:val="FF0000"/>
        </w:rPr>
        <w:t xml:space="preserve"> </w:t>
      </w:r>
      <w:r w:rsidRPr="00FF737C">
        <w:t>(</w:t>
      </w:r>
      <w:r w:rsidR="00394657">
        <w:t>f</w:t>
      </w:r>
      <w:r w:rsidR="62CC8910" w:rsidRPr="00FF737C">
        <w:t xml:space="preserve">ör närvarande </w:t>
      </w:r>
      <w:proofErr w:type="spellStart"/>
      <w:r w:rsidR="62CC8910" w:rsidRPr="00FF737C">
        <w:t>Pneumovax</w:t>
      </w:r>
      <w:proofErr w:type="spellEnd"/>
      <w:r w:rsidR="62CC8910" w:rsidRPr="00FF737C">
        <w:t xml:space="preserve"> var 5:e år)</w:t>
      </w:r>
    </w:p>
    <w:p w14:paraId="6970425F" w14:textId="77777777" w:rsidR="00247D50" w:rsidRDefault="00EA2EDC" w:rsidP="00A22F57">
      <w:pPr>
        <w:pStyle w:val="MellanrubrikVGR"/>
      </w:pPr>
      <w:r w:rsidRPr="000040D8">
        <w:t>Kirurgi</w:t>
      </w:r>
    </w:p>
    <w:p w14:paraId="47966581" w14:textId="50406B8A" w:rsidR="00EA2EDC" w:rsidRPr="00247D50" w:rsidRDefault="00EA2EDC" w:rsidP="00247D50">
      <w:pPr>
        <w:rPr>
          <w:i/>
        </w:rPr>
      </w:pPr>
      <w:r w:rsidRPr="00EA2EDC">
        <w:t xml:space="preserve">Kirurgisk resektion av </w:t>
      </w:r>
      <w:proofErr w:type="spellStart"/>
      <w:r w:rsidRPr="00EA2EDC">
        <w:t>bronkiektasierna</w:t>
      </w:r>
      <w:proofErr w:type="spellEnd"/>
      <w:r w:rsidRPr="00EA2EDC">
        <w:t xml:space="preserve"> kan vara aktuellt om de finns inom ett begränsat område.</w:t>
      </w:r>
    </w:p>
    <w:p w14:paraId="56E6312A" w14:textId="038C44D8" w:rsidR="00247D50" w:rsidRDefault="00EA2EDC" w:rsidP="007800A7">
      <w:pPr>
        <w:pStyle w:val="Rubrik3"/>
      </w:pPr>
      <w:bookmarkStart w:id="13" w:name="_Toc161411083"/>
      <w:r w:rsidRPr="000040D8">
        <w:t>Uppföljning</w:t>
      </w:r>
      <w:bookmarkEnd w:id="13"/>
    </w:p>
    <w:p w14:paraId="7DEE1E9B" w14:textId="77740F72" w:rsidR="00EA2EDC" w:rsidRPr="00247D50" w:rsidRDefault="00EA2EDC" w:rsidP="00247D50">
      <w:r w:rsidRPr="00EA2EDC">
        <w:t>Uppföljningen varierar efter behov. Grundregeln är att patienter med bronkiektasier som bedöms behöva uppföljning på lungklinik skall ha minst ett läkarbesök per år.</w:t>
      </w:r>
    </w:p>
    <w:p w14:paraId="33192409" w14:textId="77777777" w:rsidR="00EA2EDC" w:rsidRPr="00EA2EDC" w:rsidRDefault="00EA2EDC" w:rsidP="00350ADB">
      <w:pPr>
        <w:pStyle w:val="Punktlista"/>
      </w:pPr>
      <w:r w:rsidRPr="00EA2EDC">
        <w:rPr>
          <w:i/>
        </w:rPr>
        <w:t>Anamnes:</w:t>
      </w:r>
      <w:r w:rsidRPr="00EA2EDC">
        <w:t xml:space="preserve"> Antal antibiotikakrävande infektioner? </w:t>
      </w:r>
      <w:proofErr w:type="spellStart"/>
      <w:r w:rsidRPr="00EA2EDC">
        <w:t>Sputumvolym</w:t>
      </w:r>
      <w:proofErr w:type="spellEnd"/>
      <w:r w:rsidRPr="00EA2EDC">
        <w:t xml:space="preserve"> och färg? Hemoptyser? Allmänsymtom (viktutveckling, trötthet, aptit, feber, dyspné)?</w:t>
      </w:r>
    </w:p>
    <w:p w14:paraId="66882D55" w14:textId="77777777" w:rsidR="00EA2EDC" w:rsidRPr="00EA2EDC" w:rsidRDefault="00EA2EDC" w:rsidP="00350ADB">
      <w:pPr>
        <w:pStyle w:val="Punktlista"/>
      </w:pPr>
      <w:r w:rsidRPr="00EA2EDC">
        <w:t>Spirometri</w:t>
      </w:r>
    </w:p>
    <w:p w14:paraId="113FFB56" w14:textId="77777777" w:rsidR="00EA2EDC" w:rsidRPr="00EA2EDC" w:rsidRDefault="00EA2EDC" w:rsidP="00350ADB">
      <w:pPr>
        <w:pStyle w:val="Punktlista"/>
      </w:pPr>
      <w:r w:rsidRPr="00EA2EDC">
        <w:rPr>
          <w:i/>
        </w:rPr>
        <w:t xml:space="preserve">Lungröntgen </w:t>
      </w:r>
      <w:r w:rsidRPr="00EA2EDC">
        <w:t>vart tredje år. Vid allvarlig sjukdom med misstänkt progress kan HRCT upprepas.</w:t>
      </w:r>
    </w:p>
    <w:p w14:paraId="5E99C378" w14:textId="77777777" w:rsidR="00EA2EDC" w:rsidRPr="00EA2EDC" w:rsidRDefault="00EA2EDC" w:rsidP="00350ADB">
      <w:pPr>
        <w:pStyle w:val="Punktlista"/>
        <w:rPr>
          <w:i/>
        </w:rPr>
      </w:pPr>
      <w:r w:rsidRPr="00EA2EDC">
        <w:rPr>
          <w:i/>
        </w:rPr>
        <w:t xml:space="preserve">Allmän sputumodling </w:t>
      </w:r>
      <w:r w:rsidRPr="00EA2EDC">
        <w:t xml:space="preserve">inför besök. </w:t>
      </w:r>
      <w:proofErr w:type="spellStart"/>
      <w:r w:rsidRPr="00EA2EDC">
        <w:t>Mykobakterieodling</w:t>
      </w:r>
      <w:proofErr w:type="spellEnd"/>
      <w:r w:rsidRPr="00EA2EDC">
        <w:t xml:space="preserve"> bör tas årligen.</w:t>
      </w:r>
    </w:p>
    <w:p w14:paraId="5391399F" w14:textId="64389CFF" w:rsidR="00EA2EDC" w:rsidRPr="00247D50" w:rsidRDefault="00EA2EDC" w:rsidP="00247D50">
      <w:pPr>
        <w:pStyle w:val="Punktlista"/>
        <w:rPr>
          <w:i/>
        </w:rPr>
      </w:pPr>
      <w:r w:rsidRPr="00EA2EDC">
        <w:rPr>
          <w:i/>
        </w:rPr>
        <w:t>Blodprover</w:t>
      </w:r>
      <w:r w:rsidRPr="00EA2EDC">
        <w:t xml:space="preserve"> endast vid behov.</w:t>
      </w:r>
    </w:p>
    <w:p w14:paraId="469284D9" w14:textId="671C8373" w:rsidR="00EA2EDC" w:rsidRPr="00247D50" w:rsidRDefault="00EA2EDC" w:rsidP="00247D50">
      <w:r w:rsidRPr="00EA2EDC">
        <w:t>Patienter som har en period av relativ besvärsfrihet behöver inte kallas, men man kan komma överens om att de får lov att höra av sig vid behov (Kod 2090 i ELVIS).</w:t>
      </w:r>
    </w:p>
    <w:p w14:paraId="4439DB95" w14:textId="5916E399" w:rsidR="00F1292F" w:rsidRDefault="00EA2EDC" w:rsidP="007F150F">
      <w:pPr>
        <w:pStyle w:val="Rubrik3"/>
      </w:pPr>
      <w:bookmarkStart w:id="14" w:name="_Toc161411084"/>
      <w:r w:rsidRPr="00604948">
        <w:lastRenderedPageBreak/>
        <w:t>Organisation</w:t>
      </w:r>
      <w:bookmarkEnd w:id="14"/>
      <w:r w:rsidR="00604948">
        <w:t xml:space="preserve"> </w:t>
      </w:r>
    </w:p>
    <w:p w14:paraId="620DDD71" w14:textId="77777777" w:rsidR="00CE5A56" w:rsidRDefault="00EA2EDC" w:rsidP="00BD2FF8">
      <w:r w:rsidRPr="00EA2EDC">
        <w:t xml:space="preserve">Patienter med </w:t>
      </w:r>
      <w:r w:rsidRPr="00470CBA">
        <w:rPr>
          <w:b/>
          <w:bCs/>
        </w:rPr>
        <w:t>okomplicerad bronkiektasisjukdom</w:t>
      </w:r>
      <w:r w:rsidRPr="00EA2EDC">
        <w:t xml:space="preserve"> sköts på lung- eller KOL-mottagningen eller utremitteras till primärvården. </w:t>
      </w:r>
    </w:p>
    <w:p w14:paraId="2AE8E638" w14:textId="0531C98D" w:rsidR="003617C0" w:rsidRDefault="00EA2EDC" w:rsidP="00BD2FF8">
      <w:r w:rsidRPr="00EA2EDC">
        <w:t xml:space="preserve">Patienter med </w:t>
      </w:r>
      <w:r w:rsidRPr="00470CBA">
        <w:rPr>
          <w:b/>
          <w:bCs/>
        </w:rPr>
        <w:t>svårare sjukdom</w:t>
      </w:r>
      <w:r w:rsidRPr="00EA2EDC">
        <w:t xml:space="preserve"> remitteras till LMINF</w:t>
      </w:r>
      <w:r w:rsidR="005A4791">
        <w:t>-mottagningen</w:t>
      </w:r>
      <w:r w:rsidR="009001BB">
        <w:t xml:space="preserve"> bronkiektasimottagning. </w:t>
      </w:r>
    </w:p>
    <w:p w14:paraId="18BAE9E2" w14:textId="0257E07A" w:rsidR="00EA2EDC" w:rsidRPr="00EA2EDC" w:rsidRDefault="009001BB" w:rsidP="00BD2FF8">
      <w:pPr>
        <w:rPr>
          <w:rFonts w:ascii="Arial" w:hAnsi="Arial" w:cs="Arial"/>
          <w:sz w:val="20"/>
          <w:szCs w:val="20"/>
        </w:rPr>
      </w:pPr>
      <w:proofErr w:type="spellStart"/>
      <w:r>
        <w:t>Br</w:t>
      </w:r>
      <w:r w:rsidR="001001AB">
        <w:t>o</w:t>
      </w:r>
      <w:r>
        <w:t>nkiek</w:t>
      </w:r>
      <w:r w:rsidR="00884CC2">
        <w:t>tasi</w:t>
      </w:r>
      <w:r>
        <w:t>tmottagning</w:t>
      </w:r>
      <w:proofErr w:type="spellEnd"/>
      <w:r>
        <w:t xml:space="preserve"> LMINF </w:t>
      </w:r>
      <w:r w:rsidR="00EA2EDC" w:rsidRPr="00EA2EDC">
        <w:t xml:space="preserve">sköts i samarbete mellan lunginfektionsteamets läkare, </w:t>
      </w:r>
      <w:r w:rsidR="003617C0">
        <w:t>fysioterapeut</w:t>
      </w:r>
      <w:r w:rsidR="00EA2EDC" w:rsidRPr="00EA2EDC">
        <w:t xml:space="preserve"> och mottagningens kontaktsjuksköterska. </w:t>
      </w:r>
    </w:p>
    <w:p w14:paraId="65F0B413" w14:textId="77777777" w:rsidR="00FF1321" w:rsidRDefault="00EA2EDC" w:rsidP="00BD2FF8">
      <w:r w:rsidRPr="00470CBA">
        <w:rPr>
          <w:b/>
          <w:bCs/>
        </w:rPr>
        <w:t>Externa remisser</w:t>
      </w:r>
      <w:r w:rsidRPr="00EA2EDC">
        <w:t xml:space="preserve"> till LMINF </w:t>
      </w:r>
      <w:proofErr w:type="spellStart"/>
      <w:r w:rsidR="00884CC2">
        <w:t>bronkiektasimottagningen</w:t>
      </w:r>
      <w:proofErr w:type="spellEnd"/>
      <w:r w:rsidR="00884CC2">
        <w:t xml:space="preserve"> </w:t>
      </w:r>
      <w:r w:rsidRPr="00EA2EDC">
        <w:t xml:space="preserve">läggs till kontaktsjuksköterskan och gås igenom i samband med läkarnas teamkonferenser. Interna remisser kan skickas i form av kopior av Melioranteckningar. </w:t>
      </w:r>
    </w:p>
    <w:p w14:paraId="60A204A8" w14:textId="77777777" w:rsidR="00FF1321" w:rsidRPr="00FE66D4" w:rsidRDefault="00EA2EDC" w:rsidP="00470CBA">
      <w:pPr>
        <w:spacing w:after="0"/>
      </w:pPr>
      <w:r w:rsidRPr="00FE66D4">
        <w:t xml:space="preserve">I ELVIS kodas patienten </w:t>
      </w:r>
      <w:r w:rsidR="00FF1321" w:rsidRPr="00FE66D4">
        <w:t>enligt följande</w:t>
      </w:r>
      <w:r w:rsidRPr="00FE66D4">
        <w:t xml:space="preserve">: </w:t>
      </w:r>
    </w:p>
    <w:p w14:paraId="149E6A9B" w14:textId="77777777" w:rsidR="00FF1321" w:rsidRDefault="00EA2EDC" w:rsidP="00470CBA">
      <w:pPr>
        <w:spacing w:after="0"/>
      </w:pPr>
      <w:r w:rsidRPr="00FE66D4">
        <w:rPr>
          <w:i/>
          <w:iCs/>
        </w:rPr>
        <w:t>Team</w:t>
      </w:r>
      <w:r w:rsidRPr="00EA2EDC">
        <w:t>: LMOT</w:t>
      </w:r>
      <w:r w:rsidR="00B3044E">
        <w:t>:</w:t>
      </w:r>
      <w:r w:rsidRPr="00EA2EDC">
        <w:t xml:space="preserve"> </w:t>
      </w:r>
    </w:p>
    <w:p w14:paraId="0614EEB0" w14:textId="77777777" w:rsidR="00FF1321" w:rsidRDefault="00F50C1F" w:rsidP="00470CBA">
      <w:pPr>
        <w:spacing w:after="0"/>
      </w:pPr>
      <w:r w:rsidRPr="00FE66D4">
        <w:rPr>
          <w:i/>
          <w:iCs/>
        </w:rPr>
        <w:t>Resurs</w:t>
      </w:r>
      <w:r w:rsidR="00EA2EDC" w:rsidRPr="00EA2EDC">
        <w:t>:</w:t>
      </w:r>
      <w:r w:rsidR="00CE2ED3">
        <w:t xml:space="preserve"> LMFINF</w:t>
      </w:r>
      <w:r w:rsidR="00EA2EDC" w:rsidRPr="00EA2EDC">
        <w:t xml:space="preserve"> </w:t>
      </w:r>
    </w:p>
    <w:p w14:paraId="28059326" w14:textId="1C6C696B" w:rsidR="00EA2EDC" w:rsidRPr="00EA2EDC" w:rsidRDefault="00EA2EDC" w:rsidP="00BD2FF8">
      <w:pPr>
        <w:rPr>
          <w:rFonts w:ascii="Arial" w:hAnsi="Arial" w:cs="Arial"/>
          <w:sz w:val="20"/>
          <w:szCs w:val="20"/>
        </w:rPr>
      </w:pPr>
      <w:r w:rsidRPr="00FE66D4">
        <w:rPr>
          <w:i/>
          <w:iCs/>
        </w:rPr>
        <w:t>Orsak</w:t>
      </w:r>
      <w:r w:rsidR="00CE2ED3">
        <w:t xml:space="preserve">: BROEKT eller </w:t>
      </w:r>
      <w:r w:rsidRPr="00EA2EDC">
        <w:t>PC</w:t>
      </w:r>
      <w:r w:rsidR="00CE2ED3">
        <w:t>D</w:t>
      </w:r>
      <w:r w:rsidRPr="00EA2EDC">
        <w:t>.</w:t>
      </w:r>
    </w:p>
    <w:p w14:paraId="679F5ECB" w14:textId="2CD7ECBE" w:rsidR="00EA2EDC" w:rsidRPr="00EA2EDC" w:rsidRDefault="00EA2EDC" w:rsidP="00FE66D4">
      <w:pPr>
        <w:pStyle w:val="Rubrik3"/>
        <w:rPr>
          <w:rFonts w:ascii="Arial" w:hAnsi="Arial" w:cs="Arial"/>
          <w:sz w:val="20"/>
          <w:szCs w:val="20"/>
        </w:rPr>
      </w:pPr>
      <w:bookmarkStart w:id="15" w:name="_Toc161411085"/>
      <w:r w:rsidRPr="00EA2EDC">
        <w:t xml:space="preserve">Kriterier för bedömning på </w:t>
      </w:r>
      <w:proofErr w:type="spellStart"/>
      <w:r w:rsidRPr="00EA2EDC">
        <w:t>bronkiektasi</w:t>
      </w:r>
      <w:proofErr w:type="spellEnd"/>
      <w:r w:rsidR="003D774A">
        <w:t>-</w:t>
      </w:r>
      <w:r w:rsidRPr="00EA2EDC">
        <w:t>mottagningen</w:t>
      </w:r>
      <w:bookmarkEnd w:id="15"/>
    </w:p>
    <w:p w14:paraId="68048343" w14:textId="5749B111" w:rsidR="00EA2EDC" w:rsidRPr="00CE5A56" w:rsidRDefault="00EA2EDC" w:rsidP="00081173">
      <w:pPr>
        <w:pStyle w:val="Punktlista"/>
        <w:numPr>
          <w:ilvl w:val="0"/>
          <w:numId w:val="28"/>
        </w:numPr>
        <w:ind w:left="1418"/>
        <w:rPr>
          <w:b/>
          <w:bCs/>
        </w:rPr>
      </w:pPr>
      <w:r w:rsidRPr="00CE5A56">
        <w:rPr>
          <w:b/>
          <w:bCs/>
        </w:rPr>
        <w:t xml:space="preserve">Patient med </w:t>
      </w:r>
      <w:proofErr w:type="spellStart"/>
      <w:r w:rsidRPr="00CE5A56">
        <w:rPr>
          <w:b/>
          <w:bCs/>
        </w:rPr>
        <w:t>bronkiektasier</w:t>
      </w:r>
      <w:proofErr w:type="spellEnd"/>
      <w:r w:rsidRPr="00CE5A56">
        <w:rPr>
          <w:b/>
          <w:bCs/>
        </w:rPr>
        <w:t xml:space="preserve"> som dominerande diagnos</w:t>
      </w:r>
    </w:p>
    <w:p w14:paraId="102C824D" w14:textId="77777777" w:rsidR="00EA2EDC" w:rsidRPr="00081173" w:rsidRDefault="00EA2EDC" w:rsidP="00081173">
      <w:pPr>
        <w:pStyle w:val="Punktlista"/>
      </w:pPr>
      <w:r w:rsidRPr="00081173">
        <w:t>Ej CF</w:t>
      </w:r>
    </w:p>
    <w:p w14:paraId="168F791A" w14:textId="77777777" w:rsidR="00EA2EDC" w:rsidRPr="00081173" w:rsidRDefault="00EA2EDC" w:rsidP="00081173">
      <w:pPr>
        <w:pStyle w:val="Punktlista"/>
      </w:pPr>
      <w:r w:rsidRPr="00081173">
        <w:t>minst två antibiotikakrävande infektioner per år och/eller</w:t>
      </w:r>
    </w:p>
    <w:p w14:paraId="1925859B" w14:textId="77777777" w:rsidR="00EA2EDC" w:rsidRPr="00081173" w:rsidRDefault="00EA2EDC" w:rsidP="00081173">
      <w:pPr>
        <w:pStyle w:val="Punktlista"/>
      </w:pPr>
      <w:proofErr w:type="spellStart"/>
      <w:r w:rsidRPr="00081173">
        <w:t>progredierande</w:t>
      </w:r>
      <w:proofErr w:type="spellEnd"/>
      <w:r w:rsidRPr="00081173">
        <w:t xml:space="preserve"> </w:t>
      </w:r>
      <w:proofErr w:type="spellStart"/>
      <w:r w:rsidRPr="00081173">
        <w:t>bronkiektasier</w:t>
      </w:r>
      <w:proofErr w:type="spellEnd"/>
      <w:r w:rsidRPr="00081173">
        <w:t xml:space="preserve"> med försämrad lungfunktion och/eller</w:t>
      </w:r>
    </w:p>
    <w:p w14:paraId="4F8356C3" w14:textId="2EDC7A37" w:rsidR="00EA2EDC" w:rsidRPr="00081173" w:rsidRDefault="00EA2EDC" w:rsidP="00081173">
      <w:pPr>
        <w:pStyle w:val="Punktlista"/>
      </w:pPr>
      <w:r w:rsidRPr="00081173">
        <w:t xml:space="preserve">kolonisation med opportunistinfektion (vid behandlingskrävande </w:t>
      </w:r>
      <w:proofErr w:type="spellStart"/>
      <w:r w:rsidRPr="00081173">
        <w:t>mykobakterios</w:t>
      </w:r>
      <w:proofErr w:type="spellEnd"/>
      <w:r w:rsidRPr="00081173">
        <w:t xml:space="preserve"> skall patienten följas på L</w:t>
      </w:r>
      <w:r w:rsidR="00E01643" w:rsidRPr="00081173">
        <w:t>M</w:t>
      </w:r>
      <w:r w:rsidRPr="00081173">
        <w:t>INF, se nedan) och/eller</w:t>
      </w:r>
    </w:p>
    <w:p w14:paraId="46369AB4" w14:textId="349B181F" w:rsidR="00EA2EDC" w:rsidRPr="00081173" w:rsidRDefault="00EA2EDC" w:rsidP="00CE5A56">
      <w:pPr>
        <w:pStyle w:val="Punktlista"/>
        <w:contextualSpacing w:val="0"/>
      </w:pPr>
      <w:r w:rsidRPr="00081173">
        <w:t>slembesvär som kräver intensifierad fysioterapi</w:t>
      </w:r>
    </w:p>
    <w:p w14:paraId="0F8AAACF" w14:textId="366428F0" w:rsidR="3E450C56" w:rsidRPr="00CE5A56" w:rsidRDefault="00EA2EDC" w:rsidP="00CE5A56">
      <w:pPr>
        <w:pStyle w:val="Punktlista"/>
        <w:numPr>
          <w:ilvl w:val="0"/>
          <w:numId w:val="28"/>
        </w:numPr>
        <w:ind w:left="1418"/>
        <w:rPr>
          <w:b/>
          <w:bCs/>
        </w:rPr>
      </w:pPr>
      <w:r w:rsidRPr="00CE5A56">
        <w:rPr>
          <w:b/>
          <w:bCs/>
        </w:rPr>
        <w:t>PCD</w:t>
      </w:r>
    </w:p>
    <w:p w14:paraId="0B86DFA2" w14:textId="77777777" w:rsidR="00CE5A56" w:rsidRDefault="00EA2EDC" w:rsidP="00CE5A56">
      <w:pPr>
        <w:pStyle w:val="Punktlista"/>
      </w:pPr>
      <w:r w:rsidRPr="00EA2EDC">
        <w:t xml:space="preserve">Besöken till </w:t>
      </w:r>
      <w:proofErr w:type="spellStart"/>
      <w:r w:rsidRPr="00EA2EDC">
        <w:t>bronkiektasimottagningen</w:t>
      </w:r>
      <w:proofErr w:type="spellEnd"/>
      <w:r w:rsidRPr="00EA2EDC">
        <w:t xml:space="preserve"> samordnas med besöken till fysioterapeut i samband med nybesök och vid årskontrollerna samt vid behov. Fysioterapeuten hjälper till med uppstart av </w:t>
      </w:r>
      <w:proofErr w:type="spellStart"/>
      <w:r w:rsidRPr="00EA2EDC">
        <w:t>nebulisatorbehandling</w:t>
      </w:r>
      <w:proofErr w:type="spellEnd"/>
      <w:r w:rsidRPr="00EA2EDC">
        <w:t xml:space="preserve"> och behandling av inhalationsantibiotika. </w:t>
      </w:r>
    </w:p>
    <w:p w14:paraId="590864D8" w14:textId="6FE2728E" w:rsidR="00CE5A56" w:rsidRDefault="00CE5A56" w:rsidP="00CE5A56">
      <w:pPr>
        <w:pStyle w:val="Punktlista"/>
      </w:pPr>
      <w:r w:rsidRPr="00EA2EDC">
        <w:t>Om beslut tas om antibiotika i hempumpsbehandling informeras kontaktsjuksköterskan som ordnar det praktiska där det ingår att patienten får första dosen på mottagningen</w:t>
      </w:r>
    </w:p>
    <w:p w14:paraId="3EDE4D83" w14:textId="3950321B" w:rsidR="00EA2EDC" w:rsidRPr="00EA2EDC" w:rsidRDefault="00037DCC" w:rsidP="00BF7882">
      <w:pPr>
        <w:pStyle w:val="Rubrik2"/>
      </w:pPr>
      <w:bookmarkStart w:id="16" w:name="_Toc161410671"/>
      <w:bookmarkStart w:id="17" w:name="_Toc161410790"/>
      <w:bookmarkStart w:id="18" w:name="_Toc161411086"/>
      <w:r>
        <w:lastRenderedPageBreak/>
        <w:t>Avsteg från rutin</w:t>
      </w:r>
      <w:bookmarkEnd w:id="16"/>
      <w:bookmarkEnd w:id="17"/>
      <w:bookmarkEnd w:id="18"/>
      <w:r>
        <w:t xml:space="preserve"> </w:t>
      </w:r>
    </w:p>
    <w:p w14:paraId="51C960BA" w14:textId="679739BF" w:rsidR="00BF7882" w:rsidRDefault="00EA2EDC" w:rsidP="00BF7882">
      <w:r w:rsidRPr="00EA2EDC">
        <w:t>Medvetet avsteg från rutinen dokumenteras i Melior om rutinen är kopplad till patient. Övriga orsaker till avsteg från rutinen rapporteras i MedControlPRO, där aktuell linjechef ansvarar för utredning, åtgärd och uppföljning.</w:t>
      </w:r>
    </w:p>
    <w:p w14:paraId="1C14899F" w14:textId="77777777" w:rsidR="006E0372" w:rsidRDefault="00BF7882" w:rsidP="0005085A">
      <w:pPr>
        <w:pStyle w:val="MellanrubrikVGR"/>
      </w:pPr>
      <w:r>
        <w:t>Uppföljning</w:t>
      </w:r>
    </w:p>
    <w:p w14:paraId="0483E52A" w14:textId="3E20657F" w:rsidR="00722C5C" w:rsidRDefault="0005085A" w:rsidP="00722C5C">
      <w:r>
        <w:t>Uppföljning, u</w:t>
      </w:r>
      <w:r w:rsidR="00EA2EDC" w:rsidRPr="00EA2EDC">
        <w:t xml:space="preserve">tvärdering och revidering av rutindokumentet ska ske vid behov, dock senast två år efter godkännande. Ansvar för revidering har sektionschefen eller av denne utsedd person. </w:t>
      </w:r>
    </w:p>
    <w:p w14:paraId="27271EE2" w14:textId="7AC019B2" w:rsidR="00CA18BE" w:rsidRDefault="00CA18BE" w:rsidP="00CA18BE">
      <w:pPr>
        <w:pStyle w:val="Rubrik2"/>
      </w:pPr>
      <w:bookmarkStart w:id="19" w:name="_Toc161411087"/>
      <w:r>
        <w:t>Relaterad information</w:t>
      </w:r>
      <w:bookmarkEnd w:id="19"/>
    </w:p>
    <w:p w14:paraId="32FE6859" w14:textId="4270908D" w:rsidR="00CA18BE" w:rsidRDefault="00C157A6" w:rsidP="00722C5C">
      <w:r>
        <w:t>Rutiner CF.</w:t>
      </w:r>
    </w:p>
    <w:p w14:paraId="5A254FA2" w14:textId="7E77112A" w:rsidR="00722C5C" w:rsidRPr="00EA2EDC" w:rsidRDefault="00722C5C" w:rsidP="00722C5C">
      <w:pPr>
        <w:pStyle w:val="Rubrik2"/>
      </w:pPr>
      <w:bookmarkStart w:id="20" w:name="_Toc161410673"/>
      <w:bookmarkStart w:id="21" w:name="_Toc161410792"/>
      <w:bookmarkStart w:id="22" w:name="_Toc161411088"/>
      <w:r>
        <w:t>A</w:t>
      </w:r>
      <w:r w:rsidRPr="00EA2EDC">
        <w:t>rbetsgrupp</w:t>
      </w:r>
      <w:bookmarkEnd w:id="20"/>
      <w:bookmarkEnd w:id="21"/>
      <w:bookmarkEnd w:id="22"/>
    </w:p>
    <w:p w14:paraId="715066F0" w14:textId="461BB18D" w:rsidR="00EA2EDC" w:rsidRDefault="00722C5C" w:rsidP="006E0372">
      <w:r w:rsidRPr="00EA2EDC">
        <w:t xml:space="preserve">Rutinen framtagen av: Holger Becker, specialistläkare, och Helga </w:t>
      </w:r>
      <w:proofErr w:type="spellStart"/>
      <w:r w:rsidRPr="00EA2EDC">
        <w:t>Ásgeirsdóttir</w:t>
      </w:r>
      <w:proofErr w:type="spellEnd"/>
      <w:r w:rsidRPr="00EA2EDC">
        <w:t>, specialistläkare</w:t>
      </w:r>
    </w:p>
    <w:p w14:paraId="6ACD11E6" w14:textId="1068682F" w:rsidR="0005085A" w:rsidRPr="00EA2EDC" w:rsidRDefault="0005085A" w:rsidP="006E0372">
      <w:r>
        <w:t xml:space="preserve">Denna version reviderad av: </w:t>
      </w:r>
      <w:r w:rsidR="00C157A6">
        <w:t>Mats Hemlin, VÖL; Överläkare</w:t>
      </w:r>
    </w:p>
    <w:p w14:paraId="2E84B913" w14:textId="3605C77F" w:rsidR="00EA2EDC" w:rsidRDefault="00512F6E" w:rsidP="00613CD4">
      <w:pPr>
        <w:pStyle w:val="Rubrik2"/>
      </w:pPr>
      <w:bookmarkStart w:id="23" w:name="_Toc161411089"/>
      <w:r>
        <w:t>Källförteckning</w:t>
      </w:r>
      <w:bookmarkEnd w:id="23"/>
    </w:p>
    <w:p w14:paraId="34BCCCFE" w14:textId="77777777" w:rsidR="00EA2EDC" w:rsidRPr="00EA2EDC" w:rsidRDefault="00EA2EDC" w:rsidP="00590DEA">
      <w:pPr>
        <w:rPr>
          <w:lang w:val="en-US"/>
        </w:rPr>
      </w:pPr>
      <w:r w:rsidRPr="0005085A">
        <w:rPr>
          <w:snapToGrid w:val="0"/>
        </w:rPr>
        <w:t xml:space="preserve">Pasteur et al. </w:t>
      </w:r>
      <w:r w:rsidRPr="00CA18BE">
        <w:rPr>
          <w:i/>
          <w:iCs/>
          <w:snapToGrid w:val="0"/>
          <w:lang w:val="en-US"/>
        </w:rPr>
        <w:t xml:space="preserve">British Thoracic Society </w:t>
      </w:r>
      <w:proofErr w:type="spellStart"/>
      <w:r w:rsidRPr="00CA18BE">
        <w:rPr>
          <w:i/>
          <w:iCs/>
          <w:snapToGrid w:val="0"/>
          <w:lang w:val="en-US"/>
        </w:rPr>
        <w:t>guidline</w:t>
      </w:r>
      <w:proofErr w:type="spellEnd"/>
      <w:r w:rsidRPr="00CA18BE">
        <w:rPr>
          <w:i/>
          <w:iCs/>
          <w:snapToGrid w:val="0"/>
          <w:lang w:val="en-US"/>
        </w:rPr>
        <w:t xml:space="preserve"> för non-CF </w:t>
      </w:r>
      <w:proofErr w:type="spellStart"/>
      <w:proofErr w:type="gramStart"/>
      <w:r w:rsidRPr="00CA18BE">
        <w:rPr>
          <w:i/>
          <w:iCs/>
          <w:snapToGrid w:val="0"/>
          <w:lang w:val="en-US"/>
        </w:rPr>
        <w:t>bronkiectasis.</w:t>
      </w:r>
      <w:r w:rsidRPr="00EA2EDC">
        <w:rPr>
          <w:snapToGrid w:val="0"/>
          <w:lang w:val="en-US"/>
        </w:rPr>
        <w:t>Thorax</w:t>
      </w:r>
      <w:proofErr w:type="spellEnd"/>
      <w:proofErr w:type="gramEnd"/>
      <w:r w:rsidRPr="00EA2EDC">
        <w:rPr>
          <w:snapToGrid w:val="0"/>
          <w:lang w:val="en-US"/>
        </w:rPr>
        <w:t xml:space="preserve"> 2010; 65:i1-i65.</w:t>
      </w:r>
    </w:p>
    <w:p w14:paraId="4A1103DD" w14:textId="77777777" w:rsidR="00EA2EDC" w:rsidRPr="0005085A" w:rsidRDefault="00EA2EDC" w:rsidP="00590DEA">
      <w:pPr>
        <w:rPr>
          <w:snapToGrid w:val="0"/>
          <w:lang w:val="en-GB"/>
        </w:rPr>
      </w:pPr>
      <w:r w:rsidRPr="00EA2EDC">
        <w:rPr>
          <w:snapToGrid w:val="0"/>
          <w:lang w:val="en-US"/>
        </w:rPr>
        <w:t xml:space="preserve">Barker A F. </w:t>
      </w:r>
      <w:r w:rsidRPr="00CA18BE">
        <w:rPr>
          <w:i/>
          <w:iCs/>
          <w:snapToGrid w:val="0"/>
          <w:lang w:val="en-US"/>
        </w:rPr>
        <w:t>Clinical manifestation and diagnosis of bronchiectasis.</w:t>
      </w:r>
      <w:r w:rsidRPr="00EA2EDC">
        <w:rPr>
          <w:snapToGrid w:val="0"/>
          <w:lang w:val="en-US"/>
        </w:rPr>
        <w:t xml:space="preserve"> </w:t>
      </w:r>
      <w:r w:rsidRPr="0005085A">
        <w:rPr>
          <w:snapToGrid w:val="0"/>
          <w:lang w:val="en-GB"/>
        </w:rPr>
        <w:t>Up To Date 2017</w:t>
      </w:r>
    </w:p>
    <w:p w14:paraId="09CE1C17" w14:textId="77777777" w:rsidR="00EA2EDC" w:rsidRPr="0005085A" w:rsidRDefault="00EA2EDC" w:rsidP="00590DEA">
      <w:pPr>
        <w:rPr>
          <w:snapToGrid w:val="0"/>
          <w:lang w:val="en-GB"/>
        </w:rPr>
      </w:pPr>
      <w:r w:rsidRPr="00EA2EDC">
        <w:rPr>
          <w:snapToGrid w:val="0"/>
          <w:lang w:val="en-US"/>
        </w:rPr>
        <w:t xml:space="preserve">Barker A F. </w:t>
      </w:r>
      <w:r w:rsidRPr="00CA18BE">
        <w:rPr>
          <w:i/>
          <w:iCs/>
          <w:snapToGrid w:val="0"/>
          <w:lang w:val="en-US"/>
        </w:rPr>
        <w:t>Treatment of bronchiectasis.</w:t>
      </w:r>
      <w:r w:rsidRPr="00EA2EDC">
        <w:rPr>
          <w:snapToGrid w:val="0"/>
          <w:lang w:val="en-US"/>
        </w:rPr>
        <w:t xml:space="preserve"> </w:t>
      </w:r>
      <w:r w:rsidRPr="0005085A">
        <w:rPr>
          <w:snapToGrid w:val="0"/>
          <w:lang w:val="en-GB"/>
        </w:rPr>
        <w:t>Up To Date 2017</w:t>
      </w:r>
    </w:p>
    <w:p w14:paraId="431859EC" w14:textId="77777777" w:rsidR="00EA2EDC" w:rsidRPr="00EA2EDC" w:rsidRDefault="00EA2EDC" w:rsidP="00590DEA">
      <w:pPr>
        <w:rPr>
          <w:snapToGrid w:val="0"/>
        </w:rPr>
      </w:pPr>
      <w:r w:rsidRPr="00EA2EDC">
        <w:rPr>
          <w:snapToGrid w:val="0"/>
          <w:lang w:val="en-US"/>
        </w:rPr>
        <w:t xml:space="preserve">O´Donnell A E.  </w:t>
      </w:r>
      <w:r w:rsidRPr="00CA18BE">
        <w:rPr>
          <w:i/>
          <w:iCs/>
          <w:snapToGrid w:val="0"/>
          <w:lang w:val="en-US"/>
        </w:rPr>
        <w:t>Bronchiectasis.</w:t>
      </w:r>
      <w:r w:rsidRPr="00EA2EDC">
        <w:rPr>
          <w:snapToGrid w:val="0"/>
          <w:lang w:val="en-US"/>
        </w:rPr>
        <w:t xml:space="preserve"> </w:t>
      </w:r>
      <w:proofErr w:type="spellStart"/>
      <w:r w:rsidRPr="00EA2EDC">
        <w:rPr>
          <w:snapToGrid w:val="0"/>
        </w:rPr>
        <w:t>Chest</w:t>
      </w:r>
      <w:proofErr w:type="spellEnd"/>
      <w:r w:rsidRPr="00EA2EDC">
        <w:rPr>
          <w:snapToGrid w:val="0"/>
        </w:rPr>
        <w:t xml:space="preserve"> 2008; 134:</w:t>
      </w:r>
      <w:proofErr w:type="gramStart"/>
      <w:r w:rsidRPr="00EA2EDC">
        <w:rPr>
          <w:snapToGrid w:val="0"/>
        </w:rPr>
        <w:t>815-823</w:t>
      </w:r>
      <w:proofErr w:type="gramEnd"/>
    </w:p>
    <w:p w14:paraId="76B9F95B" w14:textId="52DF0AEC" w:rsidR="00536A5A" w:rsidRPr="00CA18BE" w:rsidRDefault="00EA2EDC" w:rsidP="00CA18BE">
      <w:pPr>
        <w:rPr>
          <w:snapToGrid w:val="0"/>
        </w:rPr>
      </w:pPr>
      <w:proofErr w:type="spellStart"/>
      <w:r w:rsidRPr="00EA2EDC">
        <w:rPr>
          <w:snapToGrid w:val="0"/>
        </w:rPr>
        <w:t>Polverino</w:t>
      </w:r>
      <w:proofErr w:type="spellEnd"/>
      <w:r w:rsidRPr="00EA2EDC">
        <w:rPr>
          <w:snapToGrid w:val="0"/>
        </w:rPr>
        <w:t xml:space="preserve"> et al. European Resp. J. 2017; 50: </w:t>
      </w:r>
      <w:proofErr w:type="gramStart"/>
      <w:r w:rsidRPr="00EA2EDC">
        <w:rPr>
          <w:snapToGrid w:val="0"/>
        </w:rPr>
        <w:t>1700629</w:t>
      </w:r>
      <w:bookmarkEnd w:id="0"/>
      <w:proofErr w:type="gramEnd"/>
    </w:p>
    <w:sectPr w:rsidR="00536A5A" w:rsidRPr="00CA18BE" w:rsidSect="00EA2ED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9EEB15" w14:textId="77777777" w:rsidR="00FD7DF8" w:rsidRDefault="00FD7DF8">
      <w:r>
        <w:separator/>
      </w:r>
    </w:p>
  </w:endnote>
  <w:endnote w:type="continuationSeparator" w:id="0">
    <w:p w14:paraId="5A516C5F" w14:textId="77777777" w:rsidR="00FD7DF8" w:rsidRDefault="00FD7DF8">
      <w:r>
        <w:continuationSeparator/>
      </w:r>
    </w:p>
  </w:endnote>
  <w:endnote w:type="continuationNotice" w:id="1">
    <w:p w14:paraId="13E1F83E" w14:textId="77777777" w:rsidR="00FD7DF8" w:rsidRDefault="00FD7DF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7E0E29" w14:textId="77777777" w:rsidR="00FD7DF8" w:rsidRDefault="00FD7DF8"/>
  </w:footnote>
  <w:footnote w:type="continuationSeparator" w:id="0">
    <w:p w14:paraId="18E9ACD6" w14:textId="77777777" w:rsidR="00FD7DF8" w:rsidRDefault="00FD7DF8">
      <w:r>
        <w:continuationSeparator/>
      </w:r>
    </w:p>
  </w:footnote>
  <w:footnote w:type="continuationNotice" w:id="1">
    <w:p w14:paraId="0A384E6C" w14:textId="77777777" w:rsidR="00FD7DF8" w:rsidRDefault="00FD7DF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F6338A"/>
    <w:multiLevelType w:val="hybridMultilevel"/>
    <w:tmpl w:val="C5BC6CEA"/>
    <w:lvl w:ilvl="0" w:tplc="FFFFFFFF">
      <w:start w:val="1"/>
      <w:numFmt w:val="decimal"/>
      <w:lvlText w:val="%1)"/>
      <w:lvlJc w:val="left"/>
      <w:pPr>
        <w:ind w:left="1664" w:hanging="360"/>
      </w:pPr>
      <w:rPr>
        <w:rFonts w:hint="default"/>
        <w:b w:val="0"/>
      </w:rPr>
    </w:lvl>
    <w:lvl w:ilvl="1" w:tplc="FFFFFFFF">
      <w:start w:val="1"/>
      <w:numFmt w:val="lowerLetter"/>
      <w:lvlText w:val="%2."/>
      <w:lvlJc w:val="left"/>
      <w:pPr>
        <w:ind w:left="2384" w:hanging="360"/>
      </w:pPr>
    </w:lvl>
    <w:lvl w:ilvl="2" w:tplc="FFFFFFFF" w:tentative="1">
      <w:start w:val="1"/>
      <w:numFmt w:val="lowerRoman"/>
      <w:lvlText w:val="%3."/>
      <w:lvlJc w:val="right"/>
      <w:pPr>
        <w:ind w:left="3104" w:hanging="180"/>
      </w:pPr>
    </w:lvl>
    <w:lvl w:ilvl="3" w:tplc="FFFFFFFF" w:tentative="1">
      <w:start w:val="1"/>
      <w:numFmt w:val="decimal"/>
      <w:lvlText w:val="%4."/>
      <w:lvlJc w:val="left"/>
      <w:pPr>
        <w:ind w:left="3824" w:hanging="360"/>
      </w:pPr>
    </w:lvl>
    <w:lvl w:ilvl="4" w:tplc="FFFFFFFF" w:tentative="1">
      <w:start w:val="1"/>
      <w:numFmt w:val="lowerLetter"/>
      <w:lvlText w:val="%5."/>
      <w:lvlJc w:val="left"/>
      <w:pPr>
        <w:ind w:left="4544" w:hanging="360"/>
      </w:pPr>
    </w:lvl>
    <w:lvl w:ilvl="5" w:tplc="FFFFFFFF" w:tentative="1">
      <w:start w:val="1"/>
      <w:numFmt w:val="lowerRoman"/>
      <w:lvlText w:val="%6."/>
      <w:lvlJc w:val="right"/>
      <w:pPr>
        <w:ind w:left="5264" w:hanging="180"/>
      </w:pPr>
    </w:lvl>
    <w:lvl w:ilvl="6" w:tplc="FFFFFFFF" w:tentative="1">
      <w:start w:val="1"/>
      <w:numFmt w:val="decimal"/>
      <w:lvlText w:val="%7."/>
      <w:lvlJc w:val="left"/>
      <w:pPr>
        <w:ind w:left="5984" w:hanging="360"/>
      </w:pPr>
    </w:lvl>
    <w:lvl w:ilvl="7" w:tplc="FFFFFFFF" w:tentative="1">
      <w:start w:val="1"/>
      <w:numFmt w:val="lowerLetter"/>
      <w:lvlText w:val="%8."/>
      <w:lvlJc w:val="left"/>
      <w:pPr>
        <w:ind w:left="6704" w:hanging="360"/>
      </w:pPr>
    </w:lvl>
    <w:lvl w:ilvl="8" w:tplc="FFFFFFFF" w:tentative="1">
      <w:start w:val="1"/>
      <w:numFmt w:val="lowerRoman"/>
      <w:lvlText w:val="%9."/>
      <w:lvlJc w:val="right"/>
      <w:pPr>
        <w:ind w:left="7424" w:hanging="180"/>
      </w:pPr>
    </w:lvl>
  </w:abstractNum>
  <w:abstractNum w:abstractNumId="3" w15:restartNumberingAfterBreak="0">
    <w:nsid w:val="05605B0C"/>
    <w:multiLevelType w:val="hybridMultilevel"/>
    <w:tmpl w:val="41408CE0"/>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Symbol"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Symbol"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Symbol"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16C0428"/>
    <w:multiLevelType w:val="hybridMultilevel"/>
    <w:tmpl w:val="7A604146"/>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36B1E20"/>
    <w:multiLevelType w:val="hybridMultilevel"/>
    <w:tmpl w:val="BD68C69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38D2E1F"/>
    <w:multiLevelType w:val="hybridMultilevel"/>
    <w:tmpl w:val="0BB6B0E0"/>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B190D35"/>
    <w:multiLevelType w:val="hybridMultilevel"/>
    <w:tmpl w:val="D1428EF0"/>
    <w:lvl w:ilvl="0" w:tplc="FFFFFFFF">
      <w:start w:val="1"/>
      <w:numFmt w:val="decimal"/>
      <w:lvlText w:val="%1)"/>
      <w:lvlJc w:val="left"/>
      <w:pPr>
        <w:ind w:left="1664" w:hanging="360"/>
      </w:pPr>
      <w:rPr>
        <w:rFonts w:hint="default"/>
      </w:rPr>
    </w:lvl>
    <w:lvl w:ilvl="1" w:tplc="FFFFFFFF" w:tentative="1">
      <w:start w:val="1"/>
      <w:numFmt w:val="lowerLetter"/>
      <w:lvlText w:val="%2."/>
      <w:lvlJc w:val="left"/>
      <w:pPr>
        <w:ind w:left="2384" w:hanging="360"/>
      </w:pPr>
    </w:lvl>
    <w:lvl w:ilvl="2" w:tplc="FFFFFFFF" w:tentative="1">
      <w:start w:val="1"/>
      <w:numFmt w:val="lowerRoman"/>
      <w:lvlText w:val="%3."/>
      <w:lvlJc w:val="right"/>
      <w:pPr>
        <w:ind w:left="3104" w:hanging="180"/>
      </w:pPr>
    </w:lvl>
    <w:lvl w:ilvl="3" w:tplc="FFFFFFFF" w:tentative="1">
      <w:start w:val="1"/>
      <w:numFmt w:val="decimal"/>
      <w:lvlText w:val="%4."/>
      <w:lvlJc w:val="left"/>
      <w:pPr>
        <w:ind w:left="3824" w:hanging="360"/>
      </w:pPr>
    </w:lvl>
    <w:lvl w:ilvl="4" w:tplc="FFFFFFFF" w:tentative="1">
      <w:start w:val="1"/>
      <w:numFmt w:val="lowerLetter"/>
      <w:lvlText w:val="%5."/>
      <w:lvlJc w:val="left"/>
      <w:pPr>
        <w:ind w:left="4544" w:hanging="360"/>
      </w:pPr>
    </w:lvl>
    <w:lvl w:ilvl="5" w:tplc="FFFFFFFF" w:tentative="1">
      <w:start w:val="1"/>
      <w:numFmt w:val="lowerRoman"/>
      <w:lvlText w:val="%6."/>
      <w:lvlJc w:val="right"/>
      <w:pPr>
        <w:ind w:left="5264" w:hanging="180"/>
      </w:pPr>
    </w:lvl>
    <w:lvl w:ilvl="6" w:tplc="FFFFFFFF" w:tentative="1">
      <w:start w:val="1"/>
      <w:numFmt w:val="decimal"/>
      <w:lvlText w:val="%7."/>
      <w:lvlJc w:val="left"/>
      <w:pPr>
        <w:ind w:left="5984" w:hanging="360"/>
      </w:pPr>
    </w:lvl>
    <w:lvl w:ilvl="7" w:tplc="FFFFFFFF" w:tentative="1">
      <w:start w:val="1"/>
      <w:numFmt w:val="lowerLetter"/>
      <w:lvlText w:val="%8."/>
      <w:lvlJc w:val="left"/>
      <w:pPr>
        <w:ind w:left="6704" w:hanging="360"/>
      </w:pPr>
    </w:lvl>
    <w:lvl w:ilvl="8" w:tplc="FFFFFFFF" w:tentative="1">
      <w:start w:val="1"/>
      <w:numFmt w:val="lowerRoman"/>
      <w:lvlText w:val="%9."/>
      <w:lvlJc w:val="right"/>
      <w:pPr>
        <w:ind w:left="7424" w:hanging="180"/>
      </w:p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9A879F2"/>
    <w:multiLevelType w:val="hybridMultilevel"/>
    <w:tmpl w:val="77E89262"/>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D62065E"/>
    <w:multiLevelType w:val="singleLevel"/>
    <w:tmpl w:val="041D000F"/>
    <w:lvl w:ilvl="0">
      <w:start w:val="1"/>
      <w:numFmt w:val="decimal"/>
      <w:lvlText w:val="%1."/>
      <w:lvlJc w:val="left"/>
      <w:pPr>
        <w:tabs>
          <w:tab w:val="num" w:pos="360"/>
        </w:tabs>
        <w:ind w:left="360" w:hanging="360"/>
      </w:p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D7473DA"/>
    <w:multiLevelType w:val="multilevel"/>
    <w:tmpl w:val="7E3C27A6"/>
    <w:lvl w:ilvl="0">
      <w:start w:val="1"/>
      <w:numFmt w:val="decimal"/>
      <w:lvlText w:val="%1."/>
      <w:lvlJc w:val="left"/>
      <w:pPr>
        <w:ind w:left="720" w:hanging="360"/>
      </w:pPr>
    </w:lvl>
    <w:lvl w:ilvl="1">
      <w:start w:val="1"/>
      <w:numFmt w:val="decimal"/>
      <w:lvlText w:val="%1)"/>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EAB4232"/>
    <w:multiLevelType w:val="hybridMultilevel"/>
    <w:tmpl w:val="BEF08C34"/>
    <w:lvl w:ilvl="0" w:tplc="FFFFFFFF">
      <w:start w:val="1"/>
      <w:numFmt w:val="bullet"/>
      <w:lvlText w:val=""/>
      <w:lvlJc w:val="left"/>
      <w:pPr>
        <w:ind w:left="3328" w:hanging="360"/>
      </w:pPr>
      <w:rPr>
        <w:rFonts w:ascii="Symbol" w:hAnsi="Symbol" w:hint="default"/>
      </w:rPr>
    </w:lvl>
    <w:lvl w:ilvl="1" w:tplc="FFFFFFFF" w:tentative="1">
      <w:start w:val="1"/>
      <w:numFmt w:val="bullet"/>
      <w:lvlText w:val="o"/>
      <w:lvlJc w:val="left"/>
      <w:pPr>
        <w:ind w:left="4048" w:hanging="360"/>
      </w:pPr>
      <w:rPr>
        <w:rFonts w:ascii="Courier New" w:hAnsi="Courier New" w:cs="Courier New" w:hint="default"/>
      </w:rPr>
    </w:lvl>
    <w:lvl w:ilvl="2" w:tplc="FFFFFFFF" w:tentative="1">
      <w:start w:val="1"/>
      <w:numFmt w:val="bullet"/>
      <w:lvlText w:val=""/>
      <w:lvlJc w:val="left"/>
      <w:pPr>
        <w:ind w:left="4768" w:hanging="360"/>
      </w:pPr>
      <w:rPr>
        <w:rFonts w:ascii="Wingdings" w:hAnsi="Wingdings" w:hint="default"/>
      </w:rPr>
    </w:lvl>
    <w:lvl w:ilvl="3" w:tplc="FFFFFFFF" w:tentative="1">
      <w:start w:val="1"/>
      <w:numFmt w:val="bullet"/>
      <w:lvlText w:val=""/>
      <w:lvlJc w:val="left"/>
      <w:pPr>
        <w:ind w:left="5488" w:hanging="360"/>
      </w:pPr>
      <w:rPr>
        <w:rFonts w:ascii="Symbol" w:hAnsi="Symbol" w:hint="default"/>
      </w:rPr>
    </w:lvl>
    <w:lvl w:ilvl="4" w:tplc="FFFFFFFF" w:tentative="1">
      <w:start w:val="1"/>
      <w:numFmt w:val="bullet"/>
      <w:lvlText w:val="o"/>
      <w:lvlJc w:val="left"/>
      <w:pPr>
        <w:ind w:left="6208" w:hanging="360"/>
      </w:pPr>
      <w:rPr>
        <w:rFonts w:ascii="Courier New" w:hAnsi="Courier New" w:cs="Courier New" w:hint="default"/>
      </w:rPr>
    </w:lvl>
    <w:lvl w:ilvl="5" w:tplc="FFFFFFFF" w:tentative="1">
      <w:start w:val="1"/>
      <w:numFmt w:val="bullet"/>
      <w:lvlText w:val=""/>
      <w:lvlJc w:val="left"/>
      <w:pPr>
        <w:ind w:left="6928" w:hanging="360"/>
      </w:pPr>
      <w:rPr>
        <w:rFonts w:ascii="Wingdings" w:hAnsi="Wingdings" w:hint="default"/>
      </w:rPr>
    </w:lvl>
    <w:lvl w:ilvl="6" w:tplc="FFFFFFFF" w:tentative="1">
      <w:start w:val="1"/>
      <w:numFmt w:val="bullet"/>
      <w:lvlText w:val=""/>
      <w:lvlJc w:val="left"/>
      <w:pPr>
        <w:ind w:left="7648" w:hanging="360"/>
      </w:pPr>
      <w:rPr>
        <w:rFonts w:ascii="Symbol" w:hAnsi="Symbol" w:hint="default"/>
      </w:rPr>
    </w:lvl>
    <w:lvl w:ilvl="7" w:tplc="FFFFFFFF" w:tentative="1">
      <w:start w:val="1"/>
      <w:numFmt w:val="bullet"/>
      <w:lvlText w:val="o"/>
      <w:lvlJc w:val="left"/>
      <w:pPr>
        <w:ind w:left="8368" w:hanging="360"/>
      </w:pPr>
      <w:rPr>
        <w:rFonts w:ascii="Courier New" w:hAnsi="Courier New" w:cs="Courier New" w:hint="default"/>
      </w:rPr>
    </w:lvl>
    <w:lvl w:ilvl="8" w:tplc="FFFFFFFF" w:tentative="1">
      <w:start w:val="1"/>
      <w:numFmt w:val="bullet"/>
      <w:lvlText w:val=""/>
      <w:lvlJc w:val="left"/>
      <w:pPr>
        <w:ind w:left="9088" w:hanging="360"/>
      </w:pPr>
      <w:rPr>
        <w:rFonts w:ascii="Wingdings" w:hAnsi="Wingdings" w:hint="default"/>
      </w:rPr>
    </w:lvl>
  </w:abstractNum>
  <w:num w:numId="1" w16cid:durableId="504855747">
    <w:abstractNumId w:val="26"/>
  </w:num>
  <w:num w:numId="2" w16cid:durableId="1790973617">
    <w:abstractNumId w:val="21"/>
  </w:num>
  <w:num w:numId="3" w16cid:durableId="1453741449">
    <w:abstractNumId w:val="0"/>
  </w:num>
  <w:num w:numId="4" w16cid:durableId="897209665">
    <w:abstractNumId w:val="11"/>
  </w:num>
  <w:num w:numId="5" w16cid:durableId="1785687615">
    <w:abstractNumId w:val="23"/>
  </w:num>
  <w:num w:numId="6" w16cid:durableId="2036226590">
    <w:abstractNumId w:val="4"/>
  </w:num>
  <w:num w:numId="7" w16cid:durableId="202602437">
    <w:abstractNumId w:val="17"/>
  </w:num>
  <w:num w:numId="8" w16cid:durableId="2133010911">
    <w:abstractNumId w:val="14"/>
  </w:num>
  <w:num w:numId="9" w16cid:durableId="972057413">
    <w:abstractNumId w:val="1"/>
  </w:num>
  <w:num w:numId="10" w16cid:durableId="1696074847">
    <w:abstractNumId w:val="1"/>
  </w:num>
  <w:num w:numId="11" w16cid:durableId="1316295771">
    <w:abstractNumId w:val="5"/>
  </w:num>
  <w:num w:numId="12" w16cid:durableId="1002077516">
    <w:abstractNumId w:val="7"/>
  </w:num>
  <w:num w:numId="13" w16cid:durableId="234440632">
    <w:abstractNumId w:val="20"/>
  </w:num>
  <w:num w:numId="14" w16cid:durableId="701395672">
    <w:abstractNumId w:val="15"/>
  </w:num>
  <w:num w:numId="15" w16cid:durableId="743383303">
    <w:abstractNumId w:val="12"/>
  </w:num>
  <w:num w:numId="16" w16cid:durableId="178737490">
    <w:abstractNumId w:val="19"/>
  </w:num>
  <w:num w:numId="17" w16cid:durableId="1047993110">
    <w:abstractNumId w:val="10"/>
  </w:num>
  <w:num w:numId="18" w16cid:durableId="41489042">
    <w:abstractNumId w:val="16"/>
  </w:num>
  <w:num w:numId="19" w16cid:durableId="256528319">
    <w:abstractNumId w:val="24"/>
  </w:num>
  <w:num w:numId="20" w16cid:durableId="978999556">
    <w:abstractNumId w:val="3"/>
  </w:num>
  <w:num w:numId="21" w16cid:durableId="704403213">
    <w:abstractNumId w:val="2"/>
  </w:num>
  <w:num w:numId="22" w16cid:durableId="1222403248">
    <w:abstractNumId w:val="22"/>
  </w:num>
  <w:num w:numId="23" w16cid:durableId="1911112480">
    <w:abstractNumId w:val="13"/>
  </w:num>
  <w:num w:numId="24" w16cid:durableId="1862161976">
    <w:abstractNumId w:val="8"/>
  </w:num>
  <w:num w:numId="25" w16cid:durableId="2022395764">
    <w:abstractNumId w:val="27"/>
  </w:num>
  <w:num w:numId="26" w16cid:durableId="1844054894">
    <w:abstractNumId w:val="25"/>
  </w:num>
  <w:num w:numId="27" w16cid:durableId="2107577849">
    <w:abstractNumId w:val="9"/>
  </w:num>
  <w:num w:numId="28" w16cid:durableId="309678972">
    <w:abstractNumId w:val="6"/>
  </w:num>
  <w:num w:numId="29" w16cid:durableId="211270495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881"/>
    <w:rsid w:val="000040D8"/>
    <w:rsid w:val="000051D5"/>
    <w:rsid w:val="00006D2A"/>
    <w:rsid w:val="00010D47"/>
    <w:rsid w:val="00016CF0"/>
    <w:rsid w:val="0002435C"/>
    <w:rsid w:val="00030DDD"/>
    <w:rsid w:val="000313BB"/>
    <w:rsid w:val="00033ED5"/>
    <w:rsid w:val="00037DCC"/>
    <w:rsid w:val="00040A24"/>
    <w:rsid w:val="00050500"/>
    <w:rsid w:val="0005085A"/>
    <w:rsid w:val="00051898"/>
    <w:rsid w:val="0005691C"/>
    <w:rsid w:val="00056ECB"/>
    <w:rsid w:val="00056ED5"/>
    <w:rsid w:val="000655CC"/>
    <w:rsid w:val="000700AE"/>
    <w:rsid w:val="00081173"/>
    <w:rsid w:val="00084024"/>
    <w:rsid w:val="0009062C"/>
    <w:rsid w:val="00095368"/>
    <w:rsid w:val="000954C4"/>
    <w:rsid w:val="000A4C35"/>
    <w:rsid w:val="000A611A"/>
    <w:rsid w:val="000B12D9"/>
    <w:rsid w:val="000B4536"/>
    <w:rsid w:val="000B6D9A"/>
    <w:rsid w:val="000B7715"/>
    <w:rsid w:val="000C5819"/>
    <w:rsid w:val="000E463B"/>
    <w:rsid w:val="000E5A7E"/>
    <w:rsid w:val="000F43A3"/>
    <w:rsid w:val="000F7681"/>
    <w:rsid w:val="001001AB"/>
    <w:rsid w:val="00102D4E"/>
    <w:rsid w:val="00103031"/>
    <w:rsid w:val="001044FE"/>
    <w:rsid w:val="001064F8"/>
    <w:rsid w:val="00111B9F"/>
    <w:rsid w:val="001139D4"/>
    <w:rsid w:val="00126BB8"/>
    <w:rsid w:val="00131B08"/>
    <w:rsid w:val="00132A59"/>
    <w:rsid w:val="00133337"/>
    <w:rsid w:val="00133A0F"/>
    <w:rsid w:val="0013580F"/>
    <w:rsid w:val="00137B6D"/>
    <w:rsid w:val="0014070B"/>
    <w:rsid w:val="001422C1"/>
    <w:rsid w:val="001522AE"/>
    <w:rsid w:val="0015758A"/>
    <w:rsid w:val="00157D5B"/>
    <w:rsid w:val="00161FE6"/>
    <w:rsid w:val="001647EA"/>
    <w:rsid w:val="00164C3D"/>
    <w:rsid w:val="00166D3A"/>
    <w:rsid w:val="00181FDC"/>
    <w:rsid w:val="001860B9"/>
    <w:rsid w:val="00186F2B"/>
    <w:rsid w:val="001874D6"/>
    <w:rsid w:val="0019251E"/>
    <w:rsid w:val="0019632A"/>
    <w:rsid w:val="00197A4C"/>
    <w:rsid w:val="001A4E7C"/>
    <w:rsid w:val="001B1BE0"/>
    <w:rsid w:val="001B762C"/>
    <w:rsid w:val="001C4D0A"/>
    <w:rsid w:val="001C5FEF"/>
    <w:rsid w:val="001F5300"/>
    <w:rsid w:val="00200B82"/>
    <w:rsid w:val="00210FB8"/>
    <w:rsid w:val="00211487"/>
    <w:rsid w:val="00211D91"/>
    <w:rsid w:val="00217DEC"/>
    <w:rsid w:val="00235B57"/>
    <w:rsid w:val="00247868"/>
    <w:rsid w:val="00247D50"/>
    <w:rsid w:val="00250F24"/>
    <w:rsid w:val="002523C5"/>
    <w:rsid w:val="0025380B"/>
    <w:rsid w:val="0025703A"/>
    <w:rsid w:val="00262F3D"/>
    <w:rsid w:val="00263281"/>
    <w:rsid w:val="002651D6"/>
    <w:rsid w:val="0026551F"/>
    <w:rsid w:val="00280A85"/>
    <w:rsid w:val="00284119"/>
    <w:rsid w:val="00290B5C"/>
    <w:rsid w:val="00294791"/>
    <w:rsid w:val="00294FAD"/>
    <w:rsid w:val="002B0B30"/>
    <w:rsid w:val="002B0C78"/>
    <w:rsid w:val="002C0C02"/>
    <w:rsid w:val="002C1277"/>
    <w:rsid w:val="002C60AD"/>
    <w:rsid w:val="002D0E0E"/>
    <w:rsid w:val="002D3EFE"/>
    <w:rsid w:val="002D6023"/>
    <w:rsid w:val="002E263F"/>
    <w:rsid w:val="002E6F81"/>
    <w:rsid w:val="002F0219"/>
    <w:rsid w:val="002F08BA"/>
    <w:rsid w:val="002F2CFF"/>
    <w:rsid w:val="002F568B"/>
    <w:rsid w:val="002F7818"/>
    <w:rsid w:val="00304AB0"/>
    <w:rsid w:val="003066D0"/>
    <w:rsid w:val="00311401"/>
    <w:rsid w:val="003203D7"/>
    <w:rsid w:val="00320F86"/>
    <w:rsid w:val="00324171"/>
    <w:rsid w:val="00326C24"/>
    <w:rsid w:val="00337F99"/>
    <w:rsid w:val="0034307B"/>
    <w:rsid w:val="00345EB1"/>
    <w:rsid w:val="00350ADB"/>
    <w:rsid w:val="00350CC4"/>
    <w:rsid w:val="00360E0D"/>
    <w:rsid w:val="003617C0"/>
    <w:rsid w:val="0036357D"/>
    <w:rsid w:val="00363B23"/>
    <w:rsid w:val="0036594C"/>
    <w:rsid w:val="00367D19"/>
    <w:rsid w:val="00371BED"/>
    <w:rsid w:val="00384019"/>
    <w:rsid w:val="003854F1"/>
    <w:rsid w:val="0039118E"/>
    <w:rsid w:val="00394657"/>
    <w:rsid w:val="00396289"/>
    <w:rsid w:val="00397F54"/>
    <w:rsid w:val="003A0D43"/>
    <w:rsid w:val="003B2A4B"/>
    <w:rsid w:val="003C5B92"/>
    <w:rsid w:val="003D099E"/>
    <w:rsid w:val="003D21A2"/>
    <w:rsid w:val="003D29D2"/>
    <w:rsid w:val="003D774A"/>
    <w:rsid w:val="003E0705"/>
    <w:rsid w:val="003E2FF7"/>
    <w:rsid w:val="003F1013"/>
    <w:rsid w:val="003F1ACF"/>
    <w:rsid w:val="003F48C3"/>
    <w:rsid w:val="00404948"/>
    <w:rsid w:val="00406BEA"/>
    <w:rsid w:val="00411923"/>
    <w:rsid w:val="00413A60"/>
    <w:rsid w:val="00414248"/>
    <w:rsid w:val="004230F7"/>
    <w:rsid w:val="0043167E"/>
    <w:rsid w:val="0043409A"/>
    <w:rsid w:val="00443C1E"/>
    <w:rsid w:val="0044493B"/>
    <w:rsid w:val="00446255"/>
    <w:rsid w:val="00451935"/>
    <w:rsid w:val="00460CE1"/>
    <w:rsid w:val="00460ED0"/>
    <w:rsid w:val="00465651"/>
    <w:rsid w:val="00467186"/>
    <w:rsid w:val="00470CBA"/>
    <w:rsid w:val="00470CE7"/>
    <w:rsid w:val="00470F4F"/>
    <w:rsid w:val="00472482"/>
    <w:rsid w:val="00480DC7"/>
    <w:rsid w:val="004876F6"/>
    <w:rsid w:val="0049176C"/>
    <w:rsid w:val="0049236A"/>
    <w:rsid w:val="00492718"/>
    <w:rsid w:val="004A355D"/>
    <w:rsid w:val="004A4970"/>
    <w:rsid w:val="004B2183"/>
    <w:rsid w:val="004B2A01"/>
    <w:rsid w:val="004B5DFA"/>
    <w:rsid w:val="004C1E4A"/>
    <w:rsid w:val="004C2219"/>
    <w:rsid w:val="004C2559"/>
    <w:rsid w:val="004D5857"/>
    <w:rsid w:val="004D7BA3"/>
    <w:rsid w:val="004F4518"/>
    <w:rsid w:val="004F4C62"/>
    <w:rsid w:val="00501433"/>
    <w:rsid w:val="0051118C"/>
    <w:rsid w:val="00511CC4"/>
    <w:rsid w:val="00512F6E"/>
    <w:rsid w:val="00522617"/>
    <w:rsid w:val="00531E60"/>
    <w:rsid w:val="00536A5A"/>
    <w:rsid w:val="00541D07"/>
    <w:rsid w:val="00544BAB"/>
    <w:rsid w:val="00545F31"/>
    <w:rsid w:val="0055233A"/>
    <w:rsid w:val="005578FA"/>
    <w:rsid w:val="00565129"/>
    <w:rsid w:val="00565CD0"/>
    <w:rsid w:val="00567820"/>
    <w:rsid w:val="005770AD"/>
    <w:rsid w:val="00581414"/>
    <w:rsid w:val="00582490"/>
    <w:rsid w:val="005826FA"/>
    <w:rsid w:val="00590DEA"/>
    <w:rsid w:val="00597E28"/>
    <w:rsid w:val="005A2E3B"/>
    <w:rsid w:val="005A4791"/>
    <w:rsid w:val="005A54ED"/>
    <w:rsid w:val="005A5D5B"/>
    <w:rsid w:val="005A6081"/>
    <w:rsid w:val="005A627D"/>
    <w:rsid w:val="005C0045"/>
    <w:rsid w:val="005C084E"/>
    <w:rsid w:val="005C4606"/>
    <w:rsid w:val="005D0B0C"/>
    <w:rsid w:val="005D3421"/>
    <w:rsid w:val="005E02B3"/>
    <w:rsid w:val="005E1E24"/>
    <w:rsid w:val="005F37C7"/>
    <w:rsid w:val="00604948"/>
    <w:rsid w:val="0060596B"/>
    <w:rsid w:val="00606D97"/>
    <w:rsid w:val="00613CD4"/>
    <w:rsid w:val="00614E64"/>
    <w:rsid w:val="00617710"/>
    <w:rsid w:val="00617EE6"/>
    <w:rsid w:val="0062184C"/>
    <w:rsid w:val="00623724"/>
    <w:rsid w:val="00627BEA"/>
    <w:rsid w:val="006319DB"/>
    <w:rsid w:val="0065595B"/>
    <w:rsid w:val="00660269"/>
    <w:rsid w:val="00665F89"/>
    <w:rsid w:val="00673C92"/>
    <w:rsid w:val="006753EC"/>
    <w:rsid w:val="006820B0"/>
    <w:rsid w:val="00694FBF"/>
    <w:rsid w:val="006A2789"/>
    <w:rsid w:val="006A4978"/>
    <w:rsid w:val="006A7261"/>
    <w:rsid w:val="006B0D29"/>
    <w:rsid w:val="006B1819"/>
    <w:rsid w:val="006B5DE7"/>
    <w:rsid w:val="006C5048"/>
    <w:rsid w:val="006C6A4B"/>
    <w:rsid w:val="006C779F"/>
    <w:rsid w:val="006D01F5"/>
    <w:rsid w:val="006D02BA"/>
    <w:rsid w:val="006D0CFB"/>
    <w:rsid w:val="006D30C0"/>
    <w:rsid w:val="006D7535"/>
    <w:rsid w:val="006E0372"/>
    <w:rsid w:val="006E450B"/>
    <w:rsid w:val="006F0D7E"/>
    <w:rsid w:val="00710B77"/>
    <w:rsid w:val="0072075B"/>
    <w:rsid w:val="007221C2"/>
    <w:rsid w:val="00722C5C"/>
    <w:rsid w:val="00725816"/>
    <w:rsid w:val="00730955"/>
    <w:rsid w:val="00733444"/>
    <w:rsid w:val="00733A9C"/>
    <w:rsid w:val="00736574"/>
    <w:rsid w:val="007367E0"/>
    <w:rsid w:val="00737215"/>
    <w:rsid w:val="00754905"/>
    <w:rsid w:val="00755FD0"/>
    <w:rsid w:val="00760038"/>
    <w:rsid w:val="00762EE0"/>
    <w:rsid w:val="00765C41"/>
    <w:rsid w:val="00771100"/>
    <w:rsid w:val="007759DD"/>
    <w:rsid w:val="007800A7"/>
    <w:rsid w:val="00782E5C"/>
    <w:rsid w:val="0078609F"/>
    <w:rsid w:val="007917BA"/>
    <w:rsid w:val="007A5C6F"/>
    <w:rsid w:val="007D0D1F"/>
    <w:rsid w:val="007D14CF"/>
    <w:rsid w:val="007D4241"/>
    <w:rsid w:val="007D4317"/>
    <w:rsid w:val="007D4EA3"/>
    <w:rsid w:val="007E5357"/>
    <w:rsid w:val="007E7759"/>
    <w:rsid w:val="007F150F"/>
    <w:rsid w:val="007F1CFF"/>
    <w:rsid w:val="007F5DD5"/>
    <w:rsid w:val="00800AFD"/>
    <w:rsid w:val="00821A1B"/>
    <w:rsid w:val="008262E9"/>
    <w:rsid w:val="00827E69"/>
    <w:rsid w:val="00835C4D"/>
    <w:rsid w:val="00843F48"/>
    <w:rsid w:val="00851423"/>
    <w:rsid w:val="00857848"/>
    <w:rsid w:val="008654B6"/>
    <w:rsid w:val="00866B5A"/>
    <w:rsid w:val="0087139C"/>
    <w:rsid w:val="00880E83"/>
    <w:rsid w:val="0088422C"/>
    <w:rsid w:val="00884CC2"/>
    <w:rsid w:val="0088776E"/>
    <w:rsid w:val="00892F28"/>
    <w:rsid w:val="008A0C5F"/>
    <w:rsid w:val="008A3DEA"/>
    <w:rsid w:val="008A4EB9"/>
    <w:rsid w:val="008A74C0"/>
    <w:rsid w:val="008B13B2"/>
    <w:rsid w:val="008B1694"/>
    <w:rsid w:val="008C0311"/>
    <w:rsid w:val="008C4B27"/>
    <w:rsid w:val="008C7F2A"/>
    <w:rsid w:val="008E36F8"/>
    <w:rsid w:val="008E46B2"/>
    <w:rsid w:val="008E682C"/>
    <w:rsid w:val="008E78A1"/>
    <w:rsid w:val="008F589F"/>
    <w:rsid w:val="009001BB"/>
    <w:rsid w:val="00906238"/>
    <w:rsid w:val="00907EF9"/>
    <w:rsid w:val="0091295C"/>
    <w:rsid w:val="00914D58"/>
    <w:rsid w:val="00921F47"/>
    <w:rsid w:val="009228AB"/>
    <w:rsid w:val="0093085B"/>
    <w:rsid w:val="00931C57"/>
    <w:rsid w:val="009347A5"/>
    <w:rsid w:val="00942257"/>
    <w:rsid w:val="00944E2D"/>
    <w:rsid w:val="009471BF"/>
    <w:rsid w:val="00950E4E"/>
    <w:rsid w:val="009529BD"/>
    <w:rsid w:val="009533B4"/>
    <w:rsid w:val="00971D93"/>
    <w:rsid w:val="009B1F6B"/>
    <w:rsid w:val="009C0D12"/>
    <w:rsid w:val="009C192E"/>
    <w:rsid w:val="009D6079"/>
    <w:rsid w:val="009D6819"/>
    <w:rsid w:val="009D6D1C"/>
    <w:rsid w:val="009E0CF9"/>
    <w:rsid w:val="009E531B"/>
    <w:rsid w:val="009E6C56"/>
    <w:rsid w:val="009E7DCF"/>
    <w:rsid w:val="009F2457"/>
    <w:rsid w:val="009F4A56"/>
    <w:rsid w:val="009F4E65"/>
    <w:rsid w:val="00A006A5"/>
    <w:rsid w:val="00A05942"/>
    <w:rsid w:val="00A07BEC"/>
    <w:rsid w:val="00A21942"/>
    <w:rsid w:val="00A22F57"/>
    <w:rsid w:val="00A264BE"/>
    <w:rsid w:val="00A272CA"/>
    <w:rsid w:val="00A33051"/>
    <w:rsid w:val="00A407AD"/>
    <w:rsid w:val="00A40923"/>
    <w:rsid w:val="00A41C05"/>
    <w:rsid w:val="00A42426"/>
    <w:rsid w:val="00A514B7"/>
    <w:rsid w:val="00A54A0B"/>
    <w:rsid w:val="00A65FD4"/>
    <w:rsid w:val="00A73539"/>
    <w:rsid w:val="00A81198"/>
    <w:rsid w:val="00A81E48"/>
    <w:rsid w:val="00A82035"/>
    <w:rsid w:val="00A90D77"/>
    <w:rsid w:val="00A92E07"/>
    <w:rsid w:val="00AA0B3A"/>
    <w:rsid w:val="00AA6EB4"/>
    <w:rsid w:val="00AA767D"/>
    <w:rsid w:val="00AB0CC9"/>
    <w:rsid w:val="00AB7A1C"/>
    <w:rsid w:val="00AC3ECE"/>
    <w:rsid w:val="00AC3FF6"/>
    <w:rsid w:val="00AC6BA7"/>
    <w:rsid w:val="00AD188D"/>
    <w:rsid w:val="00AD73EC"/>
    <w:rsid w:val="00AE5BC7"/>
    <w:rsid w:val="00AF011B"/>
    <w:rsid w:val="00AF179C"/>
    <w:rsid w:val="00AF5AAF"/>
    <w:rsid w:val="00B046D8"/>
    <w:rsid w:val="00B13F4C"/>
    <w:rsid w:val="00B13FC0"/>
    <w:rsid w:val="00B16219"/>
    <w:rsid w:val="00B16C59"/>
    <w:rsid w:val="00B3044E"/>
    <w:rsid w:val="00B33FDD"/>
    <w:rsid w:val="00B359CC"/>
    <w:rsid w:val="00B36107"/>
    <w:rsid w:val="00B41789"/>
    <w:rsid w:val="00B46C03"/>
    <w:rsid w:val="00B60C6C"/>
    <w:rsid w:val="00B619A9"/>
    <w:rsid w:val="00B65356"/>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2FF8"/>
    <w:rsid w:val="00BE5597"/>
    <w:rsid w:val="00BE7978"/>
    <w:rsid w:val="00BF7882"/>
    <w:rsid w:val="00C06BC5"/>
    <w:rsid w:val="00C07DDB"/>
    <w:rsid w:val="00C13410"/>
    <w:rsid w:val="00C13E2A"/>
    <w:rsid w:val="00C157A6"/>
    <w:rsid w:val="00C20DCA"/>
    <w:rsid w:val="00C30B2D"/>
    <w:rsid w:val="00C4115D"/>
    <w:rsid w:val="00C43BDD"/>
    <w:rsid w:val="00C47778"/>
    <w:rsid w:val="00C5011E"/>
    <w:rsid w:val="00C50EE5"/>
    <w:rsid w:val="00C5240A"/>
    <w:rsid w:val="00C5398F"/>
    <w:rsid w:val="00C556F5"/>
    <w:rsid w:val="00C57BC0"/>
    <w:rsid w:val="00C67835"/>
    <w:rsid w:val="00C70E19"/>
    <w:rsid w:val="00C72574"/>
    <w:rsid w:val="00C7430C"/>
    <w:rsid w:val="00C74CAB"/>
    <w:rsid w:val="00C84AD6"/>
    <w:rsid w:val="00C85DA1"/>
    <w:rsid w:val="00C9071C"/>
    <w:rsid w:val="00C908FF"/>
    <w:rsid w:val="00C97BD3"/>
    <w:rsid w:val="00CA18BE"/>
    <w:rsid w:val="00CA39EF"/>
    <w:rsid w:val="00CA521F"/>
    <w:rsid w:val="00CB0493"/>
    <w:rsid w:val="00CB17FF"/>
    <w:rsid w:val="00CB1ED7"/>
    <w:rsid w:val="00CC167C"/>
    <w:rsid w:val="00CC52D9"/>
    <w:rsid w:val="00CD6647"/>
    <w:rsid w:val="00CE2ED3"/>
    <w:rsid w:val="00CE4B73"/>
    <w:rsid w:val="00CE5A56"/>
    <w:rsid w:val="00CE5FC4"/>
    <w:rsid w:val="00CF1D10"/>
    <w:rsid w:val="00CF70BB"/>
    <w:rsid w:val="00D023A4"/>
    <w:rsid w:val="00D06F49"/>
    <w:rsid w:val="00D074DB"/>
    <w:rsid w:val="00D139CF"/>
    <w:rsid w:val="00D37E7F"/>
    <w:rsid w:val="00D47AD7"/>
    <w:rsid w:val="00D51529"/>
    <w:rsid w:val="00D85218"/>
    <w:rsid w:val="00D915B1"/>
    <w:rsid w:val="00D938D2"/>
    <w:rsid w:val="00DA299D"/>
    <w:rsid w:val="00DA5549"/>
    <w:rsid w:val="00DA65C4"/>
    <w:rsid w:val="00DA7DD8"/>
    <w:rsid w:val="00DD1982"/>
    <w:rsid w:val="00DD2BE0"/>
    <w:rsid w:val="00DE4447"/>
    <w:rsid w:val="00DE5DA2"/>
    <w:rsid w:val="00DF0033"/>
    <w:rsid w:val="00E01643"/>
    <w:rsid w:val="00E026BF"/>
    <w:rsid w:val="00E07B1B"/>
    <w:rsid w:val="00E11853"/>
    <w:rsid w:val="00E15C02"/>
    <w:rsid w:val="00E23876"/>
    <w:rsid w:val="00E40932"/>
    <w:rsid w:val="00E50C67"/>
    <w:rsid w:val="00E52A86"/>
    <w:rsid w:val="00E54B47"/>
    <w:rsid w:val="00E553BF"/>
    <w:rsid w:val="00E55D93"/>
    <w:rsid w:val="00E61294"/>
    <w:rsid w:val="00E7237C"/>
    <w:rsid w:val="00E77C46"/>
    <w:rsid w:val="00E86CE8"/>
    <w:rsid w:val="00E90E82"/>
    <w:rsid w:val="00EA00CB"/>
    <w:rsid w:val="00EA1BAA"/>
    <w:rsid w:val="00EA2EDC"/>
    <w:rsid w:val="00EA3FCD"/>
    <w:rsid w:val="00EA42A0"/>
    <w:rsid w:val="00EA7A50"/>
    <w:rsid w:val="00EB6714"/>
    <w:rsid w:val="00EC0A68"/>
    <w:rsid w:val="00EC5006"/>
    <w:rsid w:val="00ED0A76"/>
    <w:rsid w:val="00ED49C3"/>
    <w:rsid w:val="00ED6CE8"/>
    <w:rsid w:val="00ED7AA6"/>
    <w:rsid w:val="00EE2A56"/>
    <w:rsid w:val="00EE3818"/>
    <w:rsid w:val="00F1292F"/>
    <w:rsid w:val="00F20CC9"/>
    <w:rsid w:val="00F22264"/>
    <w:rsid w:val="00F2564D"/>
    <w:rsid w:val="00F35B05"/>
    <w:rsid w:val="00F413D9"/>
    <w:rsid w:val="00F442D3"/>
    <w:rsid w:val="00F50C1F"/>
    <w:rsid w:val="00F5135F"/>
    <w:rsid w:val="00F51F78"/>
    <w:rsid w:val="00F607F7"/>
    <w:rsid w:val="00F86F47"/>
    <w:rsid w:val="00F90B64"/>
    <w:rsid w:val="00FB2F0F"/>
    <w:rsid w:val="00FB5086"/>
    <w:rsid w:val="00FB5411"/>
    <w:rsid w:val="00FB6392"/>
    <w:rsid w:val="00FD3C70"/>
    <w:rsid w:val="00FD6820"/>
    <w:rsid w:val="00FD7DF8"/>
    <w:rsid w:val="00FE12D8"/>
    <w:rsid w:val="00FE1572"/>
    <w:rsid w:val="00FE66D4"/>
    <w:rsid w:val="00FF0A84"/>
    <w:rsid w:val="00FF0B01"/>
    <w:rsid w:val="00FF1321"/>
    <w:rsid w:val="00FF737C"/>
    <w:rsid w:val="00FF7C02"/>
    <w:rsid w:val="024801E3"/>
    <w:rsid w:val="15F158BA"/>
    <w:rsid w:val="3E450C56"/>
    <w:rsid w:val="55566258"/>
    <w:rsid w:val="62CC8910"/>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93969673-86BA-400D-B95D-447B5EF6B3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4C2219"/>
    <w:pPr>
      <w:tabs>
        <w:tab w:val="right" w:leader="dot" w:pos="8919"/>
      </w:tabs>
      <w:spacing w:before="240"/>
      <w:ind w:left="993"/>
    </w:pPr>
    <w:rPr>
      <w:rFonts w:eastAsia="MS Gothic"/>
      <w:noProof/>
    </w:r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4C2219"/>
    <w:pPr>
      <w:tabs>
        <w:tab w:val="right" w:leader="dot" w:pos="8919"/>
      </w:tabs>
      <w:spacing w:before="120" w:after="0"/>
      <w:ind w:left="993"/>
    </w:pPr>
    <w:rPr>
      <w:rFonts w:eastAsia="MS Gothic"/>
      <w:noProof/>
    </w:rPr>
  </w:style>
  <w:style w:type="paragraph" w:styleId="Innehll3">
    <w:name w:val="toc 3"/>
    <w:basedOn w:val="Normal"/>
    <w:next w:val="Normal"/>
    <w:autoRedefine/>
    <w:uiPriority w:val="39"/>
    <w:unhideWhenUsed/>
    <w:rsid w:val="00782E5C"/>
    <w:pPr>
      <w:tabs>
        <w:tab w:val="right" w:leader="dot" w:pos="8919"/>
      </w:tabs>
      <w:spacing w:after="0"/>
      <w:ind w:left="1276"/>
    </w:pPr>
    <w:rPr>
      <w:rFonts w:asciiTheme="minorHAnsi" w:hAnsiTheme="minorHAnsi"/>
      <w:sz w:val="20"/>
      <w:szCs w:val="20"/>
    </w:rPr>
  </w:style>
  <w:style w:type="paragraph" w:styleId="Innehll4">
    <w:name w:val="toc 4"/>
    <w:basedOn w:val="Normal"/>
    <w:next w:val="Normal"/>
    <w:autoRedefine/>
    <w:uiPriority w:val="39"/>
    <w:unhideWhenUsed/>
    <w:rsid w:val="00E61294"/>
    <w:pPr>
      <w:spacing w:after="0"/>
      <w:ind w:left="720"/>
    </w:pPr>
    <w:rPr>
      <w:rFonts w:asciiTheme="minorHAnsi" w:hAnsiTheme="minorHAnsi"/>
      <w:sz w:val="20"/>
      <w:szCs w:val="20"/>
    </w:rPr>
  </w:style>
  <w:style w:type="paragraph" w:styleId="Innehll5">
    <w:name w:val="toc 5"/>
    <w:basedOn w:val="Normal"/>
    <w:next w:val="Normal"/>
    <w:autoRedefine/>
    <w:uiPriority w:val="39"/>
    <w:unhideWhenUsed/>
    <w:rsid w:val="00E61294"/>
    <w:pPr>
      <w:spacing w:after="0"/>
      <w:ind w:left="960"/>
    </w:pPr>
    <w:rPr>
      <w:rFonts w:asciiTheme="minorHAnsi" w:hAnsiTheme="minorHAnsi"/>
      <w:sz w:val="20"/>
      <w:szCs w:val="20"/>
    </w:rPr>
  </w:style>
  <w:style w:type="paragraph" w:styleId="Innehll6">
    <w:name w:val="toc 6"/>
    <w:basedOn w:val="Normal"/>
    <w:next w:val="Normal"/>
    <w:autoRedefine/>
    <w:uiPriority w:val="39"/>
    <w:unhideWhenUsed/>
    <w:rsid w:val="00E61294"/>
    <w:pPr>
      <w:spacing w:after="0"/>
      <w:ind w:left="1200"/>
    </w:pPr>
    <w:rPr>
      <w:rFonts w:asciiTheme="minorHAnsi" w:hAnsiTheme="minorHAnsi"/>
      <w:sz w:val="20"/>
      <w:szCs w:val="20"/>
    </w:rPr>
  </w:style>
  <w:style w:type="paragraph" w:styleId="Innehll7">
    <w:name w:val="toc 7"/>
    <w:basedOn w:val="Normal"/>
    <w:next w:val="Normal"/>
    <w:autoRedefine/>
    <w:uiPriority w:val="39"/>
    <w:unhideWhenUsed/>
    <w:rsid w:val="00E61294"/>
    <w:pPr>
      <w:spacing w:after="0"/>
      <w:ind w:left="1440"/>
    </w:pPr>
    <w:rPr>
      <w:rFonts w:asciiTheme="minorHAnsi" w:hAnsiTheme="minorHAnsi"/>
      <w:sz w:val="20"/>
      <w:szCs w:val="20"/>
    </w:rPr>
  </w:style>
  <w:style w:type="paragraph" w:styleId="Innehll8">
    <w:name w:val="toc 8"/>
    <w:basedOn w:val="Normal"/>
    <w:next w:val="Normal"/>
    <w:autoRedefine/>
    <w:uiPriority w:val="39"/>
    <w:unhideWhenUsed/>
    <w:rsid w:val="00E61294"/>
    <w:pPr>
      <w:spacing w:after="0"/>
      <w:ind w:left="1680"/>
    </w:pPr>
    <w:rPr>
      <w:rFonts w:asciiTheme="minorHAnsi" w:hAnsiTheme="minorHAnsi"/>
      <w:sz w:val="20"/>
      <w:szCs w:val="20"/>
    </w:rPr>
  </w:style>
  <w:style w:type="paragraph" w:styleId="Innehll9">
    <w:name w:val="toc 9"/>
    <w:basedOn w:val="Normal"/>
    <w:next w:val="Normal"/>
    <w:autoRedefine/>
    <w:uiPriority w:val="39"/>
    <w:unhideWhenUsed/>
    <w:rsid w:val="00E61294"/>
    <w:pPr>
      <w:spacing w:after="0"/>
      <w:ind w:left="1920"/>
    </w:pPr>
    <w:rPr>
      <w:rFonts w:asciiTheme="minorHAnsi" w:hAnsiTheme="minorHAnsi"/>
      <w:sz w:val="20"/>
      <w:szCs w:val="20"/>
    </w:r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Kommentarer">
    <w:name w:val="annotation text"/>
    <w:basedOn w:val="Normal"/>
    <w:link w:val="KommentarerChar"/>
    <w:uiPriority w:val="99"/>
    <w:semiHidden/>
    <w:unhideWhenUsed/>
    <w:rsid w:val="00AC6BA7"/>
    <w:pPr>
      <w:spacing w:line="240" w:lineRule="auto"/>
    </w:pPr>
    <w:rPr>
      <w:sz w:val="20"/>
      <w:szCs w:val="20"/>
    </w:rPr>
  </w:style>
  <w:style w:type="character" w:customStyle="1" w:styleId="KommentarerChar">
    <w:name w:val="Kommentarer Char"/>
    <w:basedOn w:val="Standardstycketeckensnitt"/>
    <w:link w:val="Kommentarer"/>
    <w:uiPriority w:val="99"/>
    <w:semiHidden/>
    <w:rsid w:val="00AC6BA7"/>
  </w:style>
  <w:style w:type="character" w:styleId="Kommentarsreferens">
    <w:name w:val="annotation reference"/>
    <w:basedOn w:val="Standardstycketeckensnitt"/>
    <w:uiPriority w:val="99"/>
    <w:semiHidden/>
    <w:unhideWhenUsed/>
    <w:rsid w:val="00AC6BA7"/>
    <w:rPr>
      <w:sz w:val="16"/>
      <w:szCs w:val="16"/>
    </w:rPr>
  </w:style>
  <w:style w:type="paragraph" w:styleId="Innehllsfrteckningsrubrik">
    <w:name w:val="TOC Heading"/>
    <w:basedOn w:val="Rubrik1"/>
    <w:next w:val="Normal"/>
    <w:uiPriority w:val="39"/>
    <w:unhideWhenUsed/>
    <w:qFormat/>
    <w:rsid w:val="00522617"/>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159</TotalTime>
  <Pages>8</Pages>
  <Words>2143</Words>
  <Characters>11358</Characters>
  <Application>Microsoft Office Word</Application>
  <DocSecurity>0</DocSecurity>
  <Lines>94</Lines>
  <Paragraphs>26</Paragraphs>
  <ScaleCrop>false</ScaleCrop>
  <HeadingPairs>
    <vt:vector size="2" baseType="variant">
      <vt:variant>
        <vt:lpstr>Rubrik</vt:lpstr>
      </vt:variant>
      <vt:variant>
        <vt:i4>1</vt:i4>
      </vt:variant>
    </vt:vector>
  </HeadingPairs>
  <TitlesOfParts>
    <vt:vector size="1" baseType="lpstr">
      <vt:lpstr>Bronkiektasier och PCD - utredning och behandling</vt:lpstr>
    </vt:vector>
  </TitlesOfParts>
  <Manager/>
  <Company/>
  <LinksUpToDate>false</LinksUpToDate>
  <CharactersWithSpaces>13475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Lungmedicin och allergologi - Bronkiektasier och PCD - utredning och behandling</dc:title>
  <dc:subject/>
  <dc:creator>patrik.jens.johansson@vgregion.se</dc:creator>
  <keywords/>
  <lastModifiedBy>Suzannah Heland</lastModifiedBy>
  <revision>121</revision>
  <lastPrinted>2016-03-31T19:56:00.0000000Z</lastPrinted>
  <dcterms:created xsi:type="dcterms:W3CDTF">2022-04-26T16:55:00.0000000Z</dcterms:created>
  <dcterms:modified xsi:type="dcterms:W3CDTF">2024-03-15T15:06:00.0000000Z</dcterms:modified>
</coreProperties>
</file>