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D2FFD" w:rsidP="00CD2FFD" w:rsidRDefault="00CD2FFD" w14:paraId="4AAFDF2A" w14:textId="77777777">
      <w:pPr>
        <w:pStyle w:val="Rubrik2"/>
        <w:sectPr w:rsidR="00CD2FFD" w:rsidSect="005707A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CD2FFD" w:rsidP="00CD2FFD" w:rsidRDefault="00CD2FFD" w14:paraId="5416D34C" w14:textId="3B5A6D92">
      <w:pPr>
        <w:pStyle w:val="Rubrik1"/>
      </w:pPr>
      <w:bookmarkStart w:name="_Toc133314682" w:id="1"/>
      <w:bookmarkStart w:name="_Toc191289949" w:id="2"/>
      <w:proofErr w:type="spellStart"/>
      <w:r>
        <w:t>Oocytdonation</w:t>
      </w:r>
      <w:proofErr w:type="spellEnd"/>
      <w:r>
        <w:t xml:space="preserve"> (OD), uppföljning inom mödra</w:t>
      </w:r>
      <w:r w:rsidR="2F246899">
        <w:t>hälso</w:t>
      </w:r>
      <w:r>
        <w:t>vård och obstetrik</w:t>
      </w:r>
      <w:bookmarkEnd w:id="1"/>
      <w:bookmarkEnd w:id="2"/>
    </w:p>
    <w:p w:rsidRPr="005707AC" w:rsidR="00CD2FFD" w:rsidP="00CD2FFD" w:rsidRDefault="00CD2FFD" w14:paraId="581130F0" w14:textId="7C1F33E5">
      <w:pPr>
        <w:pStyle w:val="Rubrik2"/>
      </w:pPr>
      <w:bookmarkStart w:name="_Toc133314683" w:id="3"/>
      <w:bookmarkStart w:name="_Toc191289950" w:id="4"/>
      <w:r w:rsidRPr="005707AC">
        <w:t>Revideringar i denna version</w:t>
      </w:r>
      <w:bookmarkEnd w:id="3"/>
      <w:bookmarkEnd w:id="4"/>
    </w:p>
    <w:p w:rsidR="00CD2FFD" w:rsidP="0D766BC5" w:rsidRDefault="002534F6" w14:paraId="339E8404" w14:textId="18FAE4A8">
      <w:r w:rsidRPr="000C2E70">
        <w:rPr>
          <w:b/>
          <w:bCs/>
        </w:rPr>
        <w:t>2025-02-24</w:t>
      </w:r>
      <w:r>
        <w:t xml:space="preserve"> </w:t>
      </w:r>
      <w:r w:rsidR="00CD2FFD">
        <w:t xml:space="preserve">Ersätter version </w:t>
      </w:r>
      <w:r w:rsidRPr="19CFD214" w:rsidR="00CD2FFD">
        <w:t>202</w:t>
      </w:r>
      <w:r w:rsidRPr="19CFD214" w:rsidR="17F2093D">
        <w:t>3</w:t>
      </w:r>
      <w:r w:rsidRPr="19CFD214" w:rsidR="00CD2FFD">
        <w:t>-0</w:t>
      </w:r>
      <w:r w:rsidRPr="19CFD214" w:rsidR="1429AC52">
        <w:t>5</w:t>
      </w:r>
      <w:r w:rsidRPr="19CFD214" w:rsidR="00CD2FFD">
        <w:t>-</w:t>
      </w:r>
      <w:r w:rsidRPr="19CFD214" w:rsidR="1EC865E1">
        <w:t>14</w:t>
      </w:r>
      <w:r w:rsidR="00940310">
        <w:br/>
      </w:r>
      <w:r w:rsidRPr="0D766BC5" w:rsidR="00CD2FFD">
        <w:t>Inga ändringar i medicinsk handläggning</w:t>
      </w:r>
      <w:r w:rsidRPr="0D766BC5" w:rsidR="00C83D26">
        <w:t>.</w:t>
      </w:r>
    </w:p>
    <w:p w:rsidRPr="00854447" w:rsidR="00940310" w:rsidP="0D766BC5" w:rsidRDefault="00940310" w14:paraId="0B70A585" w14:textId="128D84A5">
      <w:pPr>
        <w:rPr>
          <w:i/>
          <w:iCs/>
        </w:rPr>
      </w:pPr>
      <w:r w:rsidRPr="000C2E70">
        <w:rPr>
          <w:b/>
          <w:bCs/>
        </w:rPr>
        <w:t>2025-03-04</w:t>
      </w:r>
      <w:r>
        <w:t xml:space="preserve"> </w:t>
      </w:r>
      <w:r w:rsidR="00283A35">
        <w:t xml:space="preserve">justering av statistik under </w:t>
      </w:r>
      <w:r w:rsidR="00854447">
        <w:t xml:space="preserve">rubrik </w:t>
      </w:r>
      <w:r w:rsidR="00854447">
        <w:rPr>
          <w:i/>
          <w:iCs/>
        </w:rPr>
        <w:t>Bakgrund.</w:t>
      </w:r>
    </w:p>
    <w:p w:rsidRPr="00854447" w:rsidR="00392D64" w:rsidP="47B0768D" w:rsidRDefault="00392D64" w14:paraId="7D4EAFAF" w14:textId="4A2C1350">
      <w:pPr>
        <w:rPr>
          <w:i w:val="1"/>
          <w:iCs w:val="1"/>
        </w:rPr>
      </w:pPr>
      <w:r w:rsidRPr="47B0768D" w:rsidR="00392D64">
        <w:rPr>
          <w:b w:val="1"/>
          <w:bCs w:val="1"/>
        </w:rPr>
        <w:t xml:space="preserve">2025-04-08 </w:t>
      </w:r>
      <w:r w:rsidR="00854447">
        <w:rPr/>
        <w:t>hänvisning</w:t>
      </w:r>
      <w:r w:rsidR="557CA5BB">
        <w:rPr/>
        <w:t>slänk</w:t>
      </w:r>
      <w:r w:rsidR="00854447">
        <w:rPr/>
        <w:t xml:space="preserve"> tillagd under rubrik </w:t>
      </w:r>
      <w:r w:rsidR="00854447">
        <w:rPr/>
        <w:t>S</w:t>
      </w:r>
      <w:r w:rsidRPr="47B0768D" w:rsidR="00854447">
        <w:rPr>
          <w:i w:val="1"/>
          <w:iCs w:val="1"/>
        </w:rPr>
        <w:t>yfte.</w:t>
      </w:r>
    </w:p>
    <w:sdt>
      <w:sdtPr>
        <w:id w:val="1286619542"/>
        <w:docPartObj>
          <w:docPartGallery w:val="Table of Contents"/>
          <w:docPartUnique/>
        </w:docPartObj>
      </w:sdtPr>
      <w:sdtEndPr>
        <w:rPr>
          <w:b/>
          <w:bCs/>
        </w:rPr>
      </w:sdtEndPr>
      <w:sdtContent>
        <w:p w:rsidRPr="002528E4" w:rsidR="002528E4" w:rsidP="002528E4" w:rsidRDefault="002528E4" w14:paraId="233AD477" w14:textId="174AA993">
          <w:pPr>
            <w:pStyle w:val="Innehll1"/>
            <w:rPr>
              <w:rStyle w:val="Rubrik3Char"/>
            </w:rPr>
          </w:pPr>
          <w:r w:rsidRPr="002528E4">
            <w:rPr>
              <w:rStyle w:val="Rubrik3Char"/>
            </w:rPr>
            <w:t>Innehåll</w:t>
          </w:r>
        </w:p>
        <w:p w:rsidR="002528E4" w:rsidP="002528E4" w:rsidRDefault="002528E4" w14:paraId="6F43D1A8" w14:textId="7DFC0467">
          <w:pPr>
            <w:pStyle w:val="Innehll1"/>
            <w:rPr>
              <w:rFonts w:asciiTheme="minorHAnsi" w:hAnsiTheme="minorHAnsi" w:eastAsiaTheme="minorEastAsia" w:cstheme="minorBidi"/>
              <w:noProof/>
              <w:kern w:val="2"/>
              <w14:ligatures w14:val="standardContextual"/>
            </w:rPr>
          </w:pPr>
          <w:r>
            <w:fldChar w:fldCharType="begin"/>
          </w:r>
          <w:r>
            <w:instrText xml:space="preserve"> TOC \o "1-3" \h \z \u </w:instrText>
          </w:r>
          <w:r>
            <w:fldChar w:fldCharType="separate"/>
          </w:r>
          <w:hyperlink w:history="1" w:anchor="_Toc191289949">
            <w:r w:rsidRPr="00D5641D">
              <w:rPr>
                <w:rStyle w:val="Hyperlnk"/>
                <w:rFonts w:eastAsia="MS Gothic"/>
                <w:noProof/>
              </w:rPr>
              <w:t>Oocytdonation (OD), uppföljning inom mödrahälsovård och obstetrik</w:t>
            </w:r>
            <w:r>
              <w:rPr>
                <w:noProof/>
                <w:webHidden/>
              </w:rPr>
              <w:tab/>
            </w:r>
            <w:r>
              <w:rPr>
                <w:noProof/>
                <w:webHidden/>
              </w:rPr>
              <w:fldChar w:fldCharType="begin"/>
            </w:r>
            <w:r>
              <w:rPr>
                <w:noProof/>
                <w:webHidden/>
              </w:rPr>
              <w:instrText xml:space="preserve"> PAGEREF _Toc191289949 \h </w:instrText>
            </w:r>
            <w:r>
              <w:rPr>
                <w:noProof/>
                <w:webHidden/>
              </w:rPr>
            </w:r>
            <w:r>
              <w:rPr>
                <w:noProof/>
                <w:webHidden/>
              </w:rPr>
              <w:fldChar w:fldCharType="separate"/>
            </w:r>
            <w:r w:rsidR="00854447">
              <w:rPr>
                <w:noProof/>
                <w:webHidden/>
              </w:rPr>
              <w:t>1</w:t>
            </w:r>
            <w:r>
              <w:rPr>
                <w:noProof/>
                <w:webHidden/>
              </w:rPr>
              <w:fldChar w:fldCharType="end"/>
            </w:r>
          </w:hyperlink>
        </w:p>
        <w:p w:rsidR="002528E4" w:rsidP="002528E4" w:rsidRDefault="00854447" w14:paraId="17CF137E" w14:textId="58C03F91">
          <w:pPr>
            <w:pStyle w:val="Innehll1"/>
            <w:rPr>
              <w:rFonts w:asciiTheme="minorHAnsi" w:hAnsiTheme="minorHAnsi" w:eastAsiaTheme="minorEastAsia" w:cstheme="minorBidi"/>
              <w:noProof/>
              <w:kern w:val="2"/>
              <w14:ligatures w14:val="standardContextual"/>
            </w:rPr>
          </w:pPr>
          <w:hyperlink w:history="1" w:anchor="_Toc191289950">
            <w:r w:rsidRPr="00D5641D" w:rsidR="002528E4">
              <w:rPr>
                <w:rStyle w:val="Hyperlnk"/>
                <w:rFonts w:eastAsia="MS Gothic"/>
                <w:noProof/>
              </w:rPr>
              <w:t>Revideringar i denna version</w:t>
            </w:r>
            <w:r w:rsidR="002528E4">
              <w:rPr>
                <w:noProof/>
                <w:webHidden/>
              </w:rPr>
              <w:tab/>
            </w:r>
            <w:r w:rsidR="002528E4">
              <w:rPr>
                <w:noProof/>
                <w:webHidden/>
              </w:rPr>
              <w:fldChar w:fldCharType="begin"/>
            </w:r>
            <w:r w:rsidR="002528E4">
              <w:rPr>
                <w:noProof/>
                <w:webHidden/>
              </w:rPr>
              <w:instrText xml:space="preserve"> PAGEREF _Toc191289950 \h </w:instrText>
            </w:r>
            <w:r w:rsidR="002528E4">
              <w:rPr>
                <w:noProof/>
                <w:webHidden/>
              </w:rPr>
            </w:r>
            <w:r w:rsidR="002528E4">
              <w:rPr>
                <w:noProof/>
                <w:webHidden/>
              </w:rPr>
              <w:fldChar w:fldCharType="separate"/>
            </w:r>
            <w:r>
              <w:rPr>
                <w:noProof/>
                <w:webHidden/>
              </w:rPr>
              <w:t>1</w:t>
            </w:r>
            <w:r w:rsidR="002528E4">
              <w:rPr>
                <w:noProof/>
                <w:webHidden/>
              </w:rPr>
              <w:fldChar w:fldCharType="end"/>
            </w:r>
          </w:hyperlink>
        </w:p>
        <w:p w:rsidR="002528E4" w:rsidP="002528E4" w:rsidRDefault="00854447" w14:paraId="7E2B8D2E" w14:textId="19BC8FFC">
          <w:pPr>
            <w:pStyle w:val="Innehll1"/>
            <w:rPr>
              <w:rFonts w:asciiTheme="minorHAnsi" w:hAnsiTheme="minorHAnsi" w:eastAsiaTheme="minorEastAsia" w:cstheme="minorBidi"/>
              <w:noProof/>
              <w:kern w:val="2"/>
              <w14:ligatures w14:val="standardContextual"/>
            </w:rPr>
          </w:pPr>
          <w:hyperlink w:history="1" w:anchor="_Toc191289951">
            <w:r w:rsidRPr="00D5641D" w:rsidR="002528E4">
              <w:rPr>
                <w:rStyle w:val="Hyperlnk"/>
                <w:rFonts w:eastAsia="MS Gothic"/>
                <w:noProof/>
              </w:rPr>
              <w:t>Syfte</w:t>
            </w:r>
            <w:r w:rsidR="002528E4">
              <w:rPr>
                <w:noProof/>
                <w:webHidden/>
              </w:rPr>
              <w:tab/>
            </w:r>
            <w:r w:rsidR="002528E4">
              <w:rPr>
                <w:noProof/>
                <w:webHidden/>
              </w:rPr>
              <w:fldChar w:fldCharType="begin"/>
            </w:r>
            <w:r w:rsidR="002528E4">
              <w:rPr>
                <w:noProof/>
                <w:webHidden/>
              </w:rPr>
              <w:instrText xml:space="preserve"> PAGEREF _Toc191289951 \h </w:instrText>
            </w:r>
            <w:r w:rsidR="002528E4">
              <w:rPr>
                <w:noProof/>
                <w:webHidden/>
              </w:rPr>
            </w:r>
            <w:r w:rsidR="002528E4">
              <w:rPr>
                <w:noProof/>
                <w:webHidden/>
              </w:rPr>
              <w:fldChar w:fldCharType="separate"/>
            </w:r>
            <w:r>
              <w:rPr>
                <w:noProof/>
                <w:webHidden/>
              </w:rPr>
              <w:t>1</w:t>
            </w:r>
            <w:r w:rsidR="002528E4">
              <w:rPr>
                <w:noProof/>
                <w:webHidden/>
              </w:rPr>
              <w:fldChar w:fldCharType="end"/>
            </w:r>
          </w:hyperlink>
        </w:p>
        <w:p w:rsidR="002528E4" w:rsidP="002528E4" w:rsidRDefault="00854447" w14:paraId="67D417B1" w14:textId="7A25E67D">
          <w:pPr>
            <w:pStyle w:val="Innehll1"/>
            <w:rPr>
              <w:rFonts w:asciiTheme="minorHAnsi" w:hAnsiTheme="minorHAnsi" w:eastAsiaTheme="minorEastAsia" w:cstheme="minorBidi"/>
              <w:noProof/>
              <w:kern w:val="2"/>
              <w14:ligatures w14:val="standardContextual"/>
            </w:rPr>
          </w:pPr>
          <w:hyperlink w:history="1" w:anchor="_Toc191289952">
            <w:r w:rsidRPr="00D5641D" w:rsidR="002528E4">
              <w:rPr>
                <w:rStyle w:val="Hyperlnk"/>
                <w:rFonts w:eastAsia="MS Gothic"/>
                <w:noProof/>
              </w:rPr>
              <w:t>Utförande</w:t>
            </w:r>
            <w:r w:rsidR="002528E4">
              <w:rPr>
                <w:noProof/>
                <w:webHidden/>
              </w:rPr>
              <w:tab/>
            </w:r>
            <w:r w:rsidR="002528E4">
              <w:rPr>
                <w:noProof/>
                <w:webHidden/>
              </w:rPr>
              <w:fldChar w:fldCharType="begin"/>
            </w:r>
            <w:r w:rsidR="002528E4">
              <w:rPr>
                <w:noProof/>
                <w:webHidden/>
              </w:rPr>
              <w:instrText xml:space="preserve"> PAGEREF _Toc191289952 \h </w:instrText>
            </w:r>
            <w:r w:rsidR="002528E4">
              <w:rPr>
                <w:noProof/>
                <w:webHidden/>
              </w:rPr>
            </w:r>
            <w:r w:rsidR="002528E4">
              <w:rPr>
                <w:noProof/>
                <w:webHidden/>
              </w:rPr>
              <w:fldChar w:fldCharType="separate"/>
            </w:r>
            <w:r>
              <w:rPr>
                <w:noProof/>
                <w:webHidden/>
              </w:rPr>
              <w:t>2</w:t>
            </w:r>
            <w:r w:rsidR="002528E4">
              <w:rPr>
                <w:noProof/>
                <w:webHidden/>
              </w:rPr>
              <w:fldChar w:fldCharType="end"/>
            </w:r>
          </w:hyperlink>
        </w:p>
        <w:p w:rsidR="002528E4" w:rsidP="002528E4" w:rsidRDefault="00854447" w14:paraId="4E9DD66A" w14:textId="1A2D62CB">
          <w:pPr>
            <w:pStyle w:val="Innehll1"/>
            <w:rPr>
              <w:rFonts w:asciiTheme="minorHAnsi" w:hAnsiTheme="minorHAnsi" w:eastAsiaTheme="minorEastAsia" w:cstheme="minorBidi"/>
              <w:noProof/>
              <w:kern w:val="2"/>
              <w14:ligatures w14:val="standardContextual"/>
            </w:rPr>
          </w:pPr>
          <w:hyperlink w:history="1" w:anchor="_Toc191289953">
            <w:r w:rsidRPr="00D5641D" w:rsidR="002528E4">
              <w:rPr>
                <w:rStyle w:val="Hyperlnk"/>
                <w:rFonts w:eastAsia="MS Gothic"/>
                <w:noProof/>
              </w:rPr>
              <w:t>Bakgrund/syfte</w:t>
            </w:r>
            <w:r w:rsidR="002528E4">
              <w:rPr>
                <w:noProof/>
                <w:webHidden/>
              </w:rPr>
              <w:tab/>
            </w:r>
            <w:r w:rsidR="002528E4">
              <w:rPr>
                <w:noProof/>
                <w:webHidden/>
              </w:rPr>
              <w:fldChar w:fldCharType="begin"/>
            </w:r>
            <w:r w:rsidR="002528E4">
              <w:rPr>
                <w:noProof/>
                <w:webHidden/>
              </w:rPr>
              <w:instrText xml:space="preserve"> PAGEREF _Toc191289953 \h </w:instrText>
            </w:r>
            <w:r w:rsidR="002528E4">
              <w:rPr>
                <w:noProof/>
                <w:webHidden/>
              </w:rPr>
            </w:r>
            <w:r w:rsidR="002528E4">
              <w:rPr>
                <w:noProof/>
                <w:webHidden/>
              </w:rPr>
              <w:fldChar w:fldCharType="separate"/>
            </w:r>
            <w:r>
              <w:rPr>
                <w:noProof/>
                <w:webHidden/>
              </w:rPr>
              <w:t>4</w:t>
            </w:r>
            <w:r w:rsidR="002528E4">
              <w:rPr>
                <w:noProof/>
                <w:webHidden/>
              </w:rPr>
              <w:fldChar w:fldCharType="end"/>
            </w:r>
          </w:hyperlink>
        </w:p>
        <w:p w:rsidR="002528E4" w:rsidP="002528E4" w:rsidRDefault="00854447" w14:paraId="183776AE" w14:textId="5AD54097">
          <w:pPr>
            <w:pStyle w:val="Innehll1"/>
            <w:rPr>
              <w:rFonts w:asciiTheme="minorHAnsi" w:hAnsiTheme="minorHAnsi" w:eastAsiaTheme="minorEastAsia" w:cstheme="minorBidi"/>
              <w:noProof/>
              <w:kern w:val="2"/>
              <w14:ligatures w14:val="standardContextual"/>
            </w:rPr>
          </w:pPr>
          <w:hyperlink w:history="1" w:anchor="_Toc191289954">
            <w:r w:rsidRPr="00D5641D" w:rsidR="002528E4">
              <w:rPr>
                <w:rStyle w:val="Hyperlnk"/>
                <w:rFonts w:eastAsia="MS Gothic"/>
                <w:noProof/>
              </w:rPr>
              <w:t>Ansvar</w:t>
            </w:r>
            <w:r w:rsidR="002528E4">
              <w:rPr>
                <w:noProof/>
                <w:webHidden/>
              </w:rPr>
              <w:tab/>
            </w:r>
            <w:r w:rsidR="002528E4">
              <w:rPr>
                <w:noProof/>
                <w:webHidden/>
              </w:rPr>
              <w:fldChar w:fldCharType="begin"/>
            </w:r>
            <w:r w:rsidR="002528E4">
              <w:rPr>
                <w:noProof/>
                <w:webHidden/>
              </w:rPr>
              <w:instrText xml:space="preserve"> PAGEREF _Toc191289954 \h </w:instrText>
            </w:r>
            <w:r w:rsidR="002528E4">
              <w:rPr>
                <w:noProof/>
                <w:webHidden/>
              </w:rPr>
            </w:r>
            <w:r w:rsidR="002528E4">
              <w:rPr>
                <w:noProof/>
                <w:webHidden/>
              </w:rPr>
              <w:fldChar w:fldCharType="separate"/>
            </w:r>
            <w:r>
              <w:rPr>
                <w:noProof/>
                <w:webHidden/>
              </w:rPr>
              <w:t>7</w:t>
            </w:r>
            <w:r w:rsidR="002528E4">
              <w:rPr>
                <w:noProof/>
                <w:webHidden/>
              </w:rPr>
              <w:fldChar w:fldCharType="end"/>
            </w:r>
          </w:hyperlink>
        </w:p>
        <w:p w:rsidR="002528E4" w:rsidP="002528E4" w:rsidRDefault="00854447" w14:paraId="22D0A058" w14:textId="02A8B92C">
          <w:pPr>
            <w:pStyle w:val="Innehll1"/>
            <w:rPr>
              <w:rFonts w:asciiTheme="minorHAnsi" w:hAnsiTheme="minorHAnsi" w:eastAsiaTheme="minorEastAsia" w:cstheme="minorBidi"/>
              <w:noProof/>
              <w:kern w:val="2"/>
              <w14:ligatures w14:val="standardContextual"/>
            </w:rPr>
          </w:pPr>
          <w:hyperlink w:history="1" w:anchor="_Toc191289955">
            <w:r w:rsidRPr="00D5641D" w:rsidR="002528E4">
              <w:rPr>
                <w:rStyle w:val="Hyperlnk"/>
                <w:rFonts w:eastAsia="MS Gothic"/>
                <w:noProof/>
              </w:rPr>
              <w:t>Uppföljning, utvärdering och revision</w:t>
            </w:r>
            <w:r w:rsidR="002528E4">
              <w:rPr>
                <w:noProof/>
                <w:webHidden/>
              </w:rPr>
              <w:tab/>
            </w:r>
            <w:r w:rsidR="002528E4">
              <w:rPr>
                <w:noProof/>
                <w:webHidden/>
              </w:rPr>
              <w:fldChar w:fldCharType="begin"/>
            </w:r>
            <w:r w:rsidR="002528E4">
              <w:rPr>
                <w:noProof/>
                <w:webHidden/>
              </w:rPr>
              <w:instrText xml:space="preserve"> PAGEREF _Toc191289955 \h </w:instrText>
            </w:r>
            <w:r w:rsidR="002528E4">
              <w:rPr>
                <w:noProof/>
                <w:webHidden/>
              </w:rPr>
            </w:r>
            <w:r w:rsidR="002528E4">
              <w:rPr>
                <w:noProof/>
                <w:webHidden/>
              </w:rPr>
              <w:fldChar w:fldCharType="separate"/>
            </w:r>
            <w:r>
              <w:rPr>
                <w:noProof/>
                <w:webHidden/>
              </w:rPr>
              <w:t>7</w:t>
            </w:r>
            <w:r w:rsidR="002528E4">
              <w:rPr>
                <w:noProof/>
                <w:webHidden/>
              </w:rPr>
              <w:fldChar w:fldCharType="end"/>
            </w:r>
          </w:hyperlink>
        </w:p>
        <w:p w:rsidR="002528E4" w:rsidP="002528E4" w:rsidRDefault="00854447" w14:paraId="38A40D1C" w14:textId="43E28C61">
          <w:pPr>
            <w:pStyle w:val="Innehll1"/>
            <w:rPr>
              <w:rFonts w:asciiTheme="minorHAnsi" w:hAnsiTheme="minorHAnsi" w:eastAsiaTheme="minorEastAsia" w:cstheme="minorBidi"/>
              <w:noProof/>
              <w:kern w:val="2"/>
              <w14:ligatures w14:val="standardContextual"/>
            </w:rPr>
          </w:pPr>
          <w:hyperlink w:history="1" w:anchor="_Toc191289956">
            <w:r w:rsidRPr="00D5641D" w:rsidR="002528E4">
              <w:rPr>
                <w:rStyle w:val="Hyperlnk"/>
                <w:rFonts w:eastAsia="MS Gothic"/>
                <w:noProof/>
                <w:lang w:val="en-US"/>
              </w:rPr>
              <w:t>Referenser</w:t>
            </w:r>
            <w:r w:rsidR="002528E4">
              <w:rPr>
                <w:noProof/>
                <w:webHidden/>
              </w:rPr>
              <w:tab/>
            </w:r>
            <w:r w:rsidR="002528E4">
              <w:rPr>
                <w:noProof/>
                <w:webHidden/>
              </w:rPr>
              <w:fldChar w:fldCharType="begin"/>
            </w:r>
            <w:r w:rsidR="002528E4">
              <w:rPr>
                <w:noProof/>
                <w:webHidden/>
              </w:rPr>
              <w:instrText xml:space="preserve"> PAGEREF _Toc191289956 \h </w:instrText>
            </w:r>
            <w:r w:rsidR="002528E4">
              <w:rPr>
                <w:noProof/>
                <w:webHidden/>
              </w:rPr>
            </w:r>
            <w:r w:rsidR="002528E4">
              <w:rPr>
                <w:noProof/>
                <w:webHidden/>
              </w:rPr>
              <w:fldChar w:fldCharType="separate"/>
            </w:r>
            <w:r>
              <w:rPr>
                <w:noProof/>
                <w:webHidden/>
              </w:rPr>
              <w:t>8</w:t>
            </w:r>
            <w:r w:rsidR="002528E4">
              <w:rPr>
                <w:noProof/>
                <w:webHidden/>
              </w:rPr>
              <w:fldChar w:fldCharType="end"/>
            </w:r>
          </w:hyperlink>
        </w:p>
        <w:p w:rsidR="002528E4" w:rsidP="002528E4" w:rsidRDefault="00854447" w14:paraId="0897CD68" w14:textId="4FF2D559">
          <w:pPr>
            <w:pStyle w:val="Innehll1"/>
            <w:rPr>
              <w:rFonts w:asciiTheme="minorHAnsi" w:hAnsiTheme="minorHAnsi" w:eastAsiaTheme="minorEastAsia" w:cstheme="minorBidi"/>
              <w:noProof/>
              <w:kern w:val="2"/>
              <w14:ligatures w14:val="standardContextual"/>
            </w:rPr>
          </w:pPr>
          <w:hyperlink w:history="1" w:anchor="_Toc191289957">
            <w:r w:rsidRPr="00D5641D" w:rsidR="002528E4">
              <w:rPr>
                <w:rStyle w:val="Hyperlnk"/>
                <w:rFonts w:eastAsia="MS Gothic"/>
                <w:noProof/>
              </w:rPr>
              <w:t>Medicinsk rådgivare</w:t>
            </w:r>
            <w:r w:rsidR="002528E4">
              <w:rPr>
                <w:noProof/>
                <w:webHidden/>
              </w:rPr>
              <w:tab/>
            </w:r>
            <w:r w:rsidR="002528E4">
              <w:rPr>
                <w:noProof/>
                <w:webHidden/>
              </w:rPr>
              <w:fldChar w:fldCharType="begin"/>
            </w:r>
            <w:r w:rsidR="002528E4">
              <w:rPr>
                <w:noProof/>
                <w:webHidden/>
              </w:rPr>
              <w:instrText xml:space="preserve"> PAGEREF _Toc191289957 \h </w:instrText>
            </w:r>
            <w:r w:rsidR="002528E4">
              <w:rPr>
                <w:noProof/>
                <w:webHidden/>
              </w:rPr>
            </w:r>
            <w:r w:rsidR="002528E4">
              <w:rPr>
                <w:noProof/>
                <w:webHidden/>
              </w:rPr>
              <w:fldChar w:fldCharType="separate"/>
            </w:r>
            <w:r>
              <w:rPr>
                <w:noProof/>
                <w:webHidden/>
              </w:rPr>
              <w:t>10</w:t>
            </w:r>
            <w:r w:rsidR="002528E4">
              <w:rPr>
                <w:noProof/>
                <w:webHidden/>
              </w:rPr>
              <w:fldChar w:fldCharType="end"/>
            </w:r>
          </w:hyperlink>
        </w:p>
        <w:p w:rsidR="002528E4" w:rsidP="002528E4" w:rsidRDefault="00854447" w14:paraId="42AFC747" w14:textId="4608C1BD">
          <w:pPr>
            <w:pStyle w:val="Innehll1"/>
            <w:rPr>
              <w:rFonts w:asciiTheme="minorHAnsi" w:hAnsiTheme="minorHAnsi" w:eastAsiaTheme="minorEastAsia" w:cstheme="minorBidi"/>
              <w:noProof/>
              <w:kern w:val="2"/>
              <w14:ligatures w14:val="standardContextual"/>
            </w:rPr>
          </w:pPr>
          <w:hyperlink w:history="1" w:anchor="_Toc191289958">
            <w:r w:rsidRPr="00D5641D" w:rsidR="002528E4">
              <w:rPr>
                <w:rStyle w:val="Hyperlnk"/>
                <w:rFonts w:eastAsia="MS Gothic"/>
                <w:noProof/>
              </w:rPr>
              <w:t>Granskare/arbetsgrupp</w:t>
            </w:r>
            <w:r w:rsidR="002528E4">
              <w:rPr>
                <w:noProof/>
                <w:webHidden/>
              </w:rPr>
              <w:tab/>
            </w:r>
            <w:r w:rsidR="002528E4">
              <w:rPr>
                <w:noProof/>
                <w:webHidden/>
              </w:rPr>
              <w:fldChar w:fldCharType="begin"/>
            </w:r>
            <w:r w:rsidR="002528E4">
              <w:rPr>
                <w:noProof/>
                <w:webHidden/>
              </w:rPr>
              <w:instrText xml:space="preserve"> PAGEREF _Toc191289958 \h </w:instrText>
            </w:r>
            <w:r w:rsidR="002528E4">
              <w:rPr>
                <w:noProof/>
                <w:webHidden/>
              </w:rPr>
            </w:r>
            <w:r w:rsidR="002528E4">
              <w:rPr>
                <w:noProof/>
                <w:webHidden/>
              </w:rPr>
              <w:fldChar w:fldCharType="separate"/>
            </w:r>
            <w:r>
              <w:rPr>
                <w:noProof/>
                <w:webHidden/>
              </w:rPr>
              <w:t>10</w:t>
            </w:r>
            <w:r w:rsidR="002528E4">
              <w:rPr>
                <w:noProof/>
                <w:webHidden/>
              </w:rPr>
              <w:fldChar w:fldCharType="end"/>
            </w:r>
          </w:hyperlink>
        </w:p>
        <w:p w:rsidR="002528E4" w:rsidP="002528E4" w:rsidRDefault="002528E4" w14:paraId="22F5A549" w14:textId="1D711BF8">
          <w:pPr>
            <w:pStyle w:val="Innehll1"/>
          </w:pPr>
          <w:r>
            <w:rPr>
              <w:b/>
              <w:bCs/>
            </w:rPr>
            <w:fldChar w:fldCharType="end"/>
          </w:r>
        </w:p>
      </w:sdtContent>
    </w:sdt>
    <w:p w:rsidRPr="005707AC" w:rsidR="00CD2FFD" w:rsidP="00CD2FFD" w:rsidRDefault="00CD2FFD" w14:paraId="633B5FA6" w14:textId="77777777">
      <w:pPr>
        <w:pStyle w:val="Rubrik2"/>
      </w:pPr>
      <w:bookmarkStart w:name="_Toc133314684" w:id="5"/>
      <w:bookmarkStart w:name="_Toc191289951" w:id="6"/>
      <w:r w:rsidRPr="005707AC">
        <w:t>Syfte</w:t>
      </w:r>
      <w:bookmarkEnd w:id="5"/>
      <w:bookmarkEnd w:id="6"/>
    </w:p>
    <w:p w:rsidR="00CD2FFD" w:rsidP="00693BB1" w:rsidRDefault="00CD2FFD" w14:paraId="32A1D4EA" w14:textId="4D6AFAA7">
      <w:r w:rsidRPr="005707AC">
        <w:t xml:space="preserve">Säkerställa rutin kring handläggning av kvinnor gravida efter </w:t>
      </w:r>
      <w:proofErr w:type="spellStart"/>
      <w:r w:rsidRPr="005707AC">
        <w:t>oocydonation</w:t>
      </w:r>
      <w:proofErr w:type="spellEnd"/>
      <w:r w:rsidRPr="005707AC">
        <w:t xml:space="preserve"> (OD).</w:t>
      </w:r>
    </w:p>
    <w:p w:rsidRPr="00693BB1" w:rsidR="00DE7CAD" w:rsidP="00693BB1" w:rsidRDefault="00DE7CAD" w14:paraId="00D032EB" w14:textId="6F566B89">
      <w:r w:rsidRPr="00DE7CAD">
        <w:t xml:space="preserve">För patienter med äggdonation och Turners syndrom, </w:t>
      </w:r>
      <w:proofErr w:type="spellStart"/>
      <w:r w:rsidRPr="00DE7CAD">
        <w:t>vg</w:t>
      </w:r>
      <w:proofErr w:type="spellEnd"/>
      <w:r w:rsidRPr="00DE7CAD">
        <w:t xml:space="preserve"> se</w:t>
      </w:r>
      <w:r w:rsidR="00392D64">
        <w:t xml:space="preserve"> rutin</w:t>
      </w:r>
      <w:r>
        <w:t xml:space="preserve"> </w:t>
      </w:r>
      <w:hyperlink w:history="1" r:id="rId17">
        <w:r w:rsidRPr="007D1600" w:rsidR="007D1600">
          <w:rPr>
            <w:rStyle w:val="Hyperlnk"/>
          </w:rPr>
          <w:t>Äggdonation och Turners s</w:t>
        </w:r>
        <w:r w:rsidRPr="007D1600" w:rsidR="007D1600">
          <w:rPr>
            <w:rStyle w:val="Hyperlnk"/>
          </w:rPr>
          <w:t>y</w:t>
        </w:r>
        <w:r w:rsidRPr="007D1600" w:rsidR="007D1600">
          <w:rPr>
            <w:rStyle w:val="Hyperlnk"/>
          </w:rPr>
          <w:t>ndrom</w:t>
        </w:r>
      </w:hyperlink>
      <w:r w:rsidR="00392D64">
        <w:t>.</w:t>
      </w:r>
    </w:p>
    <w:p w:rsidRPr="005707AC" w:rsidR="00CD2FFD" w:rsidP="00704E0A" w:rsidRDefault="002534F6" w14:paraId="0571E376" w14:textId="361C9E91">
      <w:pPr>
        <w:pStyle w:val="Rubrik2"/>
      </w:pPr>
      <w:bookmarkStart w:name="_Toc191289952" w:id="7"/>
      <w:r>
        <w:t>Utförande</w:t>
      </w:r>
      <w:bookmarkEnd w:id="7"/>
    </w:p>
    <w:p w:rsidRPr="00693BB1" w:rsidR="00CD2FFD" w:rsidP="00693BB1" w:rsidRDefault="00CD2FFD" w14:paraId="30B76AE0" w14:textId="2169B842">
      <w:pPr>
        <w:rPr>
          <w:rFonts w:eastAsia="MS Mincho"/>
        </w:rPr>
      </w:pPr>
      <w:r w:rsidRPr="005707AC">
        <w:rPr>
          <w:rFonts w:eastAsia="MS Mincho"/>
        </w:rPr>
        <w:t xml:space="preserve">Hos patienter som blivit gravida efter OD föreligger ökad risk för graviditetskomplikationer jämfört med andra graviditeter efter assisterad befruktning med egna </w:t>
      </w:r>
      <w:proofErr w:type="spellStart"/>
      <w:r w:rsidRPr="005707AC">
        <w:rPr>
          <w:rFonts w:eastAsia="MS Mincho"/>
        </w:rPr>
        <w:t>oocyter</w:t>
      </w:r>
      <w:proofErr w:type="spellEnd"/>
      <w:r w:rsidRPr="005707AC">
        <w:rPr>
          <w:rFonts w:eastAsia="MS Mincho"/>
        </w:rPr>
        <w:t xml:space="preserve">. De flesta studier omfattar få patienter och saknar kontrollgrupper. Följande komplikationer finns beskrivna (se även bakgrund/syfte nedan): </w:t>
      </w:r>
    </w:p>
    <w:p w:rsidRPr="00704E0A" w:rsidR="00CD2FFD" w:rsidP="00704E0A" w:rsidRDefault="00CD2FFD" w14:paraId="078BCF19" w14:textId="2C18825B">
      <w:pPr>
        <w:pStyle w:val="Liststycke"/>
        <w:numPr>
          <w:ilvl w:val="0"/>
          <w:numId w:val="26"/>
        </w:numPr>
        <w:rPr>
          <w:rFonts w:eastAsia="MS Mincho"/>
        </w:rPr>
      </w:pPr>
      <w:r w:rsidRPr="00704E0A">
        <w:rPr>
          <w:rFonts w:eastAsia="MS Mincho"/>
        </w:rPr>
        <w:t xml:space="preserve">Blödningar i första </w:t>
      </w:r>
      <w:proofErr w:type="spellStart"/>
      <w:r w:rsidRPr="00704E0A">
        <w:rPr>
          <w:rFonts w:eastAsia="MS Mincho"/>
        </w:rPr>
        <w:t>trimestern</w:t>
      </w:r>
      <w:proofErr w:type="spellEnd"/>
      <w:r w:rsidRPr="00704E0A">
        <w:rPr>
          <w:rFonts w:eastAsia="MS Mincho"/>
        </w:rPr>
        <w:t xml:space="preserve">. </w:t>
      </w:r>
    </w:p>
    <w:p w:rsidRPr="00704E0A" w:rsidR="00CD2FFD" w:rsidP="00704E0A" w:rsidRDefault="00CD2FFD" w14:paraId="19949CA5" w14:textId="1780B524">
      <w:pPr>
        <w:pStyle w:val="Liststycke"/>
        <w:numPr>
          <w:ilvl w:val="0"/>
          <w:numId w:val="26"/>
        </w:numPr>
        <w:rPr>
          <w:rFonts w:eastAsia="MS Mincho"/>
        </w:rPr>
      </w:pPr>
      <w:r w:rsidRPr="00704E0A">
        <w:rPr>
          <w:rFonts w:eastAsia="MS Mincho"/>
        </w:rPr>
        <w:t>Graviditetshypertoni och preeklampsi (PE).</w:t>
      </w:r>
    </w:p>
    <w:p w:rsidRPr="00704E0A" w:rsidR="00CD2FFD" w:rsidP="00704E0A" w:rsidRDefault="00CD2FFD" w14:paraId="754A2002" w14:textId="6C18BBF4">
      <w:pPr>
        <w:pStyle w:val="Liststycke"/>
        <w:numPr>
          <w:ilvl w:val="0"/>
          <w:numId w:val="26"/>
        </w:numPr>
        <w:rPr>
          <w:rFonts w:eastAsia="MS Mincho"/>
        </w:rPr>
      </w:pPr>
      <w:r w:rsidRPr="00704E0A">
        <w:rPr>
          <w:rFonts w:eastAsia="MS Mincho"/>
        </w:rPr>
        <w:t xml:space="preserve">Placenta </w:t>
      </w:r>
      <w:proofErr w:type="spellStart"/>
      <w:r w:rsidRPr="00704E0A">
        <w:rPr>
          <w:rFonts w:eastAsia="MS Mincho"/>
        </w:rPr>
        <w:t>previa</w:t>
      </w:r>
      <w:proofErr w:type="spellEnd"/>
      <w:r w:rsidRPr="00704E0A">
        <w:rPr>
          <w:rFonts w:eastAsia="MS Mincho"/>
        </w:rPr>
        <w:t xml:space="preserve"> och </w:t>
      </w:r>
      <w:proofErr w:type="spellStart"/>
      <w:r w:rsidRPr="00704E0A">
        <w:rPr>
          <w:rFonts w:eastAsia="MS Mincho"/>
        </w:rPr>
        <w:t>ablatio</w:t>
      </w:r>
      <w:proofErr w:type="spellEnd"/>
      <w:r w:rsidRPr="00704E0A">
        <w:rPr>
          <w:rFonts w:eastAsia="MS Mincho"/>
        </w:rPr>
        <w:t>.</w:t>
      </w:r>
    </w:p>
    <w:p w:rsidRPr="00704E0A" w:rsidR="00CD2FFD" w:rsidP="00704E0A" w:rsidRDefault="00CD2FFD" w14:paraId="37BAE42A" w14:textId="0F4A5927">
      <w:pPr>
        <w:pStyle w:val="Liststycke"/>
        <w:numPr>
          <w:ilvl w:val="0"/>
          <w:numId w:val="26"/>
        </w:numPr>
        <w:rPr>
          <w:rFonts w:eastAsia="MS Mincho"/>
        </w:rPr>
      </w:pPr>
      <w:r w:rsidRPr="00704E0A">
        <w:rPr>
          <w:rFonts w:eastAsia="MS Mincho"/>
        </w:rPr>
        <w:t xml:space="preserve">Ökad frekvens </w:t>
      </w:r>
      <w:proofErr w:type="spellStart"/>
      <w:r w:rsidRPr="00704E0A">
        <w:rPr>
          <w:rFonts w:eastAsia="MS Mincho"/>
        </w:rPr>
        <w:t>sectio</w:t>
      </w:r>
      <w:proofErr w:type="spellEnd"/>
      <w:r w:rsidRPr="00704E0A">
        <w:rPr>
          <w:rFonts w:eastAsia="MS Mincho"/>
        </w:rPr>
        <w:t xml:space="preserve">. </w:t>
      </w:r>
    </w:p>
    <w:p w:rsidRPr="00704E0A" w:rsidR="00CD2FFD" w:rsidP="00704E0A" w:rsidRDefault="00CD2FFD" w14:paraId="17CFE76B" w14:textId="38CB74DD">
      <w:pPr>
        <w:pStyle w:val="Liststycke"/>
        <w:numPr>
          <w:ilvl w:val="0"/>
          <w:numId w:val="26"/>
        </w:numPr>
        <w:rPr>
          <w:rFonts w:eastAsia="MS Mincho"/>
        </w:rPr>
      </w:pPr>
      <w:r w:rsidRPr="00704E0A">
        <w:rPr>
          <w:rFonts w:eastAsia="MS Mincho"/>
        </w:rPr>
        <w:t>Postpartumblödning (PPH).</w:t>
      </w:r>
    </w:p>
    <w:p w:rsidRPr="00704E0A" w:rsidR="00CD2FFD" w:rsidP="00704E0A" w:rsidRDefault="00CD2FFD" w14:paraId="1DEDA447" w14:textId="20AD507C">
      <w:pPr>
        <w:pStyle w:val="Liststycke"/>
        <w:numPr>
          <w:ilvl w:val="0"/>
          <w:numId w:val="26"/>
        </w:numPr>
        <w:rPr>
          <w:rFonts w:eastAsia="MS Mincho"/>
        </w:rPr>
      </w:pPr>
      <w:r w:rsidRPr="00704E0A">
        <w:rPr>
          <w:rFonts w:eastAsia="MS Mincho"/>
        </w:rPr>
        <w:t>Förtidsbörd (PTB).</w:t>
      </w:r>
    </w:p>
    <w:p w:rsidRPr="002534F6" w:rsidR="00693BB1" w:rsidP="002534F6" w:rsidRDefault="00CD2FFD" w14:paraId="3BCA2E24" w14:textId="1B168722">
      <w:pPr>
        <w:pStyle w:val="Liststycke"/>
        <w:numPr>
          <w:ilvl w:val="0"/>
          <w:numId w:val="26"/>
        </w:numPr>
        <w:rPr>
          <w:rFonts w:eastAsia="MS Mincho"/>
        </w:rPr>
      </w:pPr>
      <w:r w:rsidRPr="00704E0A">
        <w:rPr>
          <w:rFonts w:eastAsia="MS Mincho"/>
        </w:rPr>
        <w:t>Låg födelsevikt och liten för tiden (SGA).</w:t>
      </w:r>
    </w:p>
    <w:p w:rsidRPr="005707AC" w:rsidR="00CD2FFD" w:rsidP="00704E0A" w:rsidRDefault="00CD2FFD" w14:paraId="29B13007" w14:textId="77777777">
      <w:pPr>
        <w:pStyle w:val="MellanrubrikVGR"/>
        <w:rPr>
          <w:rFonts w:eastAsia="MS Mincho"/>
          <w:bCs/>
          <w:u w:val="single"/>
        </w:rPr>
      </w:pPr>
      <w:r w:rsidRPr="005707AC">
        <w:rPr>
          <w:rFonts w:eastAsia="MS Mincho"/>
          <w:bCs/>
          <w:u w:val="single"/>
        </w:rPr>
        <w:t>Handläggning barnmorskemottagning (BMM)/</w:t>
      </w:r>
      <w:proofErr w:type="spellStart"/>
      <w:r w:rsidRPr="005707AC">
        <w:rPr>
          <w:rFonts w:eastAsia="MS Mincho"/>
          <w:bCs/>
          <w:u w:val="single"/>
        </w:rPr>
        <w:t>Spec</w:t>
      </w:r>
      <w:proofErr w:type="spellEnd"/>
      <w:r w:rsidRPr="005707AC">
        <w:rPr>
          <w:rFonts w:eastAsia="MS Mincho"/>
          <w:bCs/>
          <w:u w:val="single"/>
        </w:rPr>
        <w:t>-MVC</w:t>
      </w:r>
    </w:p>
    <w:p w:rsidRPr="00704E0A" w:rsidR="00CD2FFD" w:rsidP="00704E0A" w:rsidRDefault="00CD2FFD" w14:paraId="5862873C" w14:textId="77777777">
      <w:pPr>
        <w:pStyle w:val="Liststycke"/>
        <w:numPr>
          <w:ilvl w:val="0"/>
          <w:numId w:val="27"/>
        </w:numPr>
        <w:rPr>
          <w:rFonts w:eastAsia="MS Mincho"/>
        </w:rPr>
      </w:pPr>
      <w:r w:rsidRPr="00704E0A">
        <w:rPr>
          <w:rFonts w:eastAsia="MS Mincho"/>
        </w:rPr>
        <w:t xml:space="preserve">Många OD-patienter som genomgått behandling på Reproduktionsmedicin Sahlgrenska har inte egna </w:t>
      </w:r>
      <w:proofErr w:type="spellStart"/>
      <w:r w:rsidRPr="00704E0A">
        <w:rPr>
          <w:rFonts w:eastAsia="MS Mincho"/>
        </w:rPr>
        <w:t>ovulatoriska</w:t>
      </w:r>
      <w:proofErr w:type="spellEnd"/>
      <w:r w:rsidRPr="00704E0A">
        <w:rPr>
          <w:rFonts w:eastAsia="MS Mincho"/>
        </w:rPr>
        <w:t xml:space="preserve"> cykler och behöver därför genomgå östrogenstimulerad cykel för att kunna få embryotransfer (ET). </w:t>
      </w:r>
    </w:p>
    <w:p w:rsidRPr="002534F6" w:rsidR="00CD2FFD" w:rsidP="002534F6" w:rsidRDefault="00CD2FFD" w14:paraId="53C44DAF" w14:textId="78447F20">
      <w:pPr>
        <w:pStyle w:val="Liststycke"/>
        <w:numPr>
          <w:ilvl w:val="0"/>
          <w:numId w:val="0"/>
        </w:numPr>
        <w:ind w:left="1712"/>
        <w:rPr>
          <w:rFonts w:eastAsia="MS Mincho"/>
        </w:rPr>
      </w:pPr>
      <w:r w:rsidRPr="00704E0A">
        <w:rPr>
          <w:rFonts w:eastAsia="MS Mincho"/>
        </w:rPr>
        <w:t>Substitutionsterapi t.o.m. graviditetsvecka 12 med östrogen och progesteron ordineras, och förskrivs av Reproduktionsmedicin, enligt nedanstående schema:</w:t>
      </w:r>
    </w:p>
    <w:p w:rsidRPr="005707AC" w:rsidR="00CD2FFD" w:rsidP="00CD2FFD" w:rsidRDefault="00CD2FFD" w14:paraId="2CE523A4"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i/>
          <w:sz w:val="20"/>
          <w:szCs w:val="20"/>
        </w:rPr>
      </w:pPr>
      <w:r w:rsidRPr="005707AC">
        <w:rPr>
          <w:rFonts w:ascii="Arial" w:hAnsi="Arial" w:cs="Arial"/>
          <w:sz w:val="20"/>
          <w:szCs w:val="20"/>
        </w:rPr>
        <w:tab/>
      </w:r>
      <w:r w:rsidRPr="005707AC">
        <w:rPr>
          <w:rFonts w:ascii="Arial" w:hAnsi="Arial" w:cs="Arial"/>
          <w:sz w:val="20"/>
          <w:szCs w:val="20"/>
        </w:rPr>
        <w:tab/>
      </w:r>
      <w:proofErr w:type="spellStart"/>
      <w:r w:rsidRPr="005707AC">
        <w:rPr>
          <w:rFonts w:ascii="Arial" w:hAnsi="Arial" w:cs="Arial"/>
          <w:i/>
          <w:sz w:val="20"/>
          <w:szCs w:val="20"/>
        </w:rPr>
        <w:t>Progynon</w:t>
      </w:r>
      <w:proofErr w:type="spellEnd"/>
      <w:r w:rsidRPr="005707AC">
        <w:rPr>
          <w:rFonts w:ascii="Arial" w:hAnsi="Arial" w:cs="Arial"/>
          <w:i/>
          <w:sz w:val="20"/>
          <w:szCs w:val="20"/>
        </w:rPr>
        <w:tab/>
      </w:r>
      <w:proofErr w:type="spellStart"/>
      <w:r w:rsidRPr="005707AC">
        <w:rPr>
          <w:rFonts w:ascii="Arial" w:hAnsi="Arial" w:cs="Arial"/>
          <w:i/>
          <w:sz w:val="20"/>
          <w:szCs w:val="20"/>
        </w:rPr>
        <w:t>Lutinus</w:t>
      </w:r>
      <w:proofErr w:type="spellEnd"/>
    </w:p>
    <w:p w:rsidRPr="005707AC" w:rsidR="00CD2FFD" w:rsidP="00CD2FFD" w:rsidRDefault="00CD2FFD" w14:paraId="6D952816"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p>
    <w:p w:rsidRPr="005707AC" w:rsidR="00CD2FFD" w:rsidP="00CD2FFD" w:rsidRDefault="00CD2FFD" w14:paraId="0E2FC836"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r w:rsidRPr="005707AC">
        <w:rPr>
          <w:rFonts w:ascii="Arial" w:hAnsi="Arial" w:cs="Arial"/>
          <w:sz w:val="20"/>
          <w:szCs w:val="20"/>
        </w:rPr>
        <w:t xml:space="preserve">ET-dagen               </w:t>
      </w:r>
      <w:r w:rsidRPr="005707AC">
        <w:rPr>
          <w:rFonts w:ascii="Arial" w:hAnsi="Arial" w:cs="Arial"/>
          <w:sz w:val="20"/>
          <w:szCs w:val="20"/>
        </w:rPr>
        <w:tab/>
      </w:r>
      <w:r w:rsidRPr="005707AC">
        <w:rPr>
          <w:rFonts w:ascii="Arial" w:hAnsi="Arial" w:cs="Arial"/>
          <w:sz w:val="20"/>
          <w:szCs w:val="20"/>
        </w:rPr>
        <w:t xml:space="preserve">Sänks till 4 mg - 6 mg                       </w:t>
      </w:r>
      <w:r w:rsidRPr="005707AC">
        <w:rPr>
          <w:rFonts w:ascii="Arial" w:hAnsi="Arial" w:cs="Arial"/>
          <w:sz w:val="20"/>
          <w:szCs w:val="20"/>
        </w:rPr>
        <w:tab/>
      </w:r>
      <w:r w:rsidRPr="005707AC">
        <w:rPr>
          <w:rFonts w:ascii="Arial" w:hAnsi="Arial" w:cs="Arial"/>
          <w:sz w:val="20"/>
          <w:szCs w:val="20"/>
        </w:rPr>
        <w:t>1x3</w:t>
      </w:r>
    </w:p>
    <w:p w:rsidRPr="005707AC" w:rsidR="00CD2FFD" w:rsidP="00CD2FFD" w:rsidRDefault="00CD2FFD" w14:paraId="5A20689A"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p>
    <w:p w:rsidRPr="005707AC" w:rsidR="00CD2FFD" w:rsidP="00CD2FFD" w:rsidRDefault="00CD2FFD" w14:paraId="2859C37F"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r w:rsidRPr="005707AC">
        <w:rPr>
          <w:rFonts w:ascii="Arial" w:hAnsi="Arial" w:cs="Arial"/>
          <w:sz w:val="20"/>
          <w:szCs w:val="20"/>
        </w:rPr>
        <w:t xml:space="preserve">Grav. </w:t>
      </w:r>
      <w:proofErr w:type="spellStart"/>
      <w:r w:rsidRPr="005707AC">
        <w:rPr>
          <w:rFonts w:ascii="Arial" w:hAnsi="Arial" w:cs="Arial"/>
          <w:sz w:val="20"/>
          <w:szCs w:val="20"/>
        </w:rPr>
        <w:t>ulj</w:t>
      </w:r>
      <w:proofErr w:type="spellEnd"/>
      <w:r w:rsidRPr="005707AC">
        <w:rPr>
          <w:rFonts w:ascii="Arial" w:hAnsi="Arial" w:cs="Arial"/>
          <w:sz w:val="20"/>
          <w:szCs w:val="20"/>
        </w:rPr>
        <w:t xml:space="preserve">. vecka 7            Sänks till 4 mg                               </w:t>
      </w:r>
      <w:r w:rsidRPr="005707AC">
        <w:rPr>
          <w:rFonts w:ascii="Arial" w:hAnsi="Arial" w:cs="Arial"/>
          <w:sz w:val="20"/>
          <w:szCs w:val="20"/>
        </w:rPr>
        <w:tab/>
      </w:r>
      <w:r w:rsidRPr="005707AC">
        <w:rPr>
          <w:rFonts w:ascii="Arial" w:hAnsi="Arial" w:cs="Arial"/>
          <w:sz w:val="20"/>
          <w:szCs w:val="20"/>
        </w:rPr>
        <w:t>1x2</w:t>
      </w:r>
    </w:p>
    <w:p w:rsidRPr="005707AC" w:rsidR="00CD2FFD" w:rsidP="00CD2FFD" w:rsidRDefault="00CD2FFD" w14:paraId="16ADBA07"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p>
    <w:p w:rsidRPr="005707AC" w:rsidR="00CD2FFD" w:rsidP="00CD2FFD" w:rsidRDefault="00CD2FFD" w14:paraId="21C65EAF"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r w:rsidRPr="005707AC">
        <w:rPr>
          <w:rFonts w:ascii="Arial" w:hAnsi="Arial" w:cs="Arial"/>
          <w:sz w:val="20"/>
          <w:szCs w:val="20"/>
        </w:rPr>
        <w:t xml:space="preserve">Vecka </w:t>
      </w:r>
      <w:proofErr w:type="gramStart"/>
      <w:r w:rsidRPr="005707AC">
        <w:rPr>
          <w:rFonts w:ascii="Arial" w:hAnsi="Arial" w:cs="Arial"/>
          <w:sz w:val="20"/>
          <w:szCs w:val="20"/>
        </w:rPr>
        <w:t>9-10</w:t>
      </w:r>
      <w:proofErr w:type="gramEnd"/>
      <w:r w:rsidRPr="005707AC">
        <w:rPr>
          <w:rFonts w:ascii="Arial" w:hAnsi="Arial" w:cs="Arial"/>
          <w:sz w:val="20"/>
          <w:szCs w:val="20"/>
        </w:rPr>
        <w:t xml:space="preserve">                  </w:t>
      </w:r>
      <w:r w:rsidRPr="005707AC">
        <w:rPr>
          <w:rFonts w:ascii="Arial" w:hAnsi="Arial" w:cs="Arial"/>
          <w:sz w:val="20"/>
          <w:szCs w:val="20"/>
        </w:rPr>
        <w:tab/>
      </w:r>
      <w:r w:rsidRPr="005707AC">
        <w:rPr>
          <w:rFonts w:ascii="Arial" w:hAnsi="Arial" w:cs="Arial"/>
          <w:sz w:val="20"/>
          <w:szCs w:val="20"/>
        </w:rPr>
        <w:t xml:space="preserve">Sänks till 2 mg i en vecka         </w:t>
      </w:r>
      <w:r w:rsidRPr="005707AC">
        <w:rPr>
          <w:rFonts w:ascii="Arial" w:hAnsi="Arial" w:cs="Arial"/>
          <w:sz w:val="20"/>
          <w:szCs w:val="20"/>
        </w:rPr>
        <w:tab/>
      </w:r>
      <w:r w:rsidRPr="005707AC">
        <w:rPr>
          <w:rFonts w:ascii="Arial" w:hAnsi="Arial" w:cs="Arial"/>
          <w:sz w:val="20"/>
          <w:szCs w:val="20"/>
        </w:rPr>
        <w:t>1x1</w:t>
      </w:r>
    </w:p>
    <w:p w:rsidRPr="005707AC" w:rsidR="00CD2FFD" w:rsidP="00CD2FFD" w:rsidRDefault="00CD2FFD" w14:paraId="522B25A2"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p>
    <w:p w:rsidRPr="005707AC" w:rsidR="00CD2FFD" w:rsidP="00CD2FFD" w:rsidRDefault="00CD2FFD" w14:paraId="5C4F8B52"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r w:rsidRPr="005707AC">
        <w:rPr>
          <w:rFonts w:ascii="Arial" w:hAnsi="Arial" w:cs="Arial"/>
          <w:sz w:val="20"/>
          <w:szCs w:val="20"/>
        </w:rPr>
        <w:t xml:space="preserve">Vecka 11                 </w:t>
      </w:r>
      <w:r w:rsidRPr="005707AC">
        <w:rPr>
          <w:rFonts w:ascii="Arial" w:hAnsi="Arial" w:cs="Arial"/>
          <w:sz w:val="20"/>
          <w:szCs w:val="20"/>
        </w:rPr>
        <w:tab/>
      </w:r>
      <w:r w:rsidRPr="005707AC">
        <w:rPr>
          <w:rFonts w:ascii="Arial" w:hAnsi="Arial" w:cs="Arial"/>
          <w:sz w:val="20"/>
          <w:szCs w:val="20"/>
        </w:rPr>
        <w:t xml:space="preserve">Avslutat i vecka 10                     </w:t>
      </w:r>
      <w:r w:rsidRPr="005707AC">
        <w:rPr>
          <w:rFonts w:ascii="Arial" w:hAnsi="Arial" w:cs="Arial"/>
          <w:sz w:val="20"/>
          <w:szCs w:val="20"/>
        </w:rPr>
        <w:tab/>
      </w:r>
      <w:r w:rsidRPr="005707AC">
        <w:rPr>
          <w:rFonts w:ascii="Arial" w:hAnsi="Arial" w:cs="Arial"/>
          <w:sz w:val="20"/>
          <w:szCs w:val="20"/>
        </w:rPr>
        <w:t>1 varannan dag</w:t>
      </w:r>
    </w:p>
    <w:p w:rsidRPr="005707AC" w:rsidR="00CD2FFD" w:rsidP="00CD2FFD" w:rsidRDefault="00CD2FFD" w14:paraId="72A0AFF6"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p>
    <w:p w:rsidRPr="005707AC" w:rsidR="00CD2FFD" w:rsidP="00CD2FFD" w:rsidRDefault="00CD2FFD" w14:paraId="198B7525"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835"/>
          <w:tab w:val="left" w:pos="6379"/>
        </w:tabs>
        <w:spacing w:after="0" w:line="240" w:lineRule="auto"/>
        <w:ind w:left="960" w:right="866" w:hanging="360"/>
        <w:rPr>
          <w:rFonts w:ascii="Arial" w:hAnsi="Arial" w:cs="Arial"/>
          <w:sz w:val="20"/>
          <w:szCs w:val="20"/>
        </w:rPr>
      </w:pPr>
      <w:r w:rsidRPr="005707AC">
        <w:rPr>
          <w:rFonts w:ascii="Arial" w:hAnsi="Arial" w:cs="Arial"/>
          <w:sz w:val="20"/>
          <w:szCs w:val="20"/>
        </w:rPr>
        <w:t xml:space="preserve">Vecka 12                  </w:t>
      </w:r>
      <w:r w:rsidRPr="005707AC">
        <w:rPr>
          <w:rFonts w:ascii="Arial" w:hAnsi="Arial" w:cs="Arial"/>
          <w:sz w:val="20"/>
          <w:szCs w:val="20"/>
        </w:rPr>
        <w:tab/>
      </w:r>
      <w:r w:rsidRPr="005707AC">
        <w:rPr>
          <w:rFonts w:ascii="Arial" w:hAnsi="Arial" w:cs="Arial"/>
          <w:sz w:val="20"/>
          <w:szCs w:val="20"/>
        </w:rPr>
        <w:t xml:space="preserve">Avslutat                                   </w:t>
      </w:r>
      <w:r w:rsidRPr="005707AC">
        <w:rPr>
          <w:rFonts w:ascii="Arial" w:hAnsi="Arial" w:cs="Arial"/>
          <w:sz w:val="20"/>
          <w:szCs w:val="20"/>
        </w:rPr>
        <w:tab/>
      </w:r>
      <w:r w:rsidRPr="005707AC">
        <w:rPr>
          <w:rFonts w:ascii="Arial" w:hAnsi="Arial" w:cs="Arial"/>
          <w:sz w:val="20"/>
          <w:szCs w:val="20"/>
        </w:rPr>
        <w:t>Avslutat</w:t>
      </w:r>
    </w:p>
    <w:p w:rsidRPr="005707AC" w:rsidR="00CD2FFD" w:rsidP="00CD2FFD" w:rsidRDefault="00CD2FFD" w14:paraId="1619BAD3" w14:textId="77777777">
      <w:pPr>
        <w:pBdr>
          <w:top w:val="single" w:color="auto" w:sz="4" w:space="1"/>
          <w:left w:val="single" w:color="auto" w:sz="4" w:space="4"/>
          <w:bottom w:val="single" w:color="auto" w:sz="4" w:space="1"/>
          <w:right w:val="single" w:color="auto" w:sz="4" w:space="4"/>
        </w:pBdr>
        <w:shd w:val="clear" w:color="auto" w:fill="FFFFCC"/>
        <w:tabs>
          <w:tab w:val="left" w:pos="960"/>
          <w:tab w:val="left" w:pos="2127"/>
          <w:tab w:val="left" w:pos="5812"/>
        </w:tabs>
        <w:spacing w:after="0" w:line="240" w:lineRule="auto"/>
        <w:ind w:left="960" w:right="866" w:hanging="360"/>
        <w:rPr>
          <w:rFonts w:ascii="Arial" w:hAnsi="Arial" w:cs="Arial"/>
          <w:sz w:val="20"/>
          <w:szCs w:val="20"/>
        </w:rPr>
      </w:pPr>
    </w:p>
    <w:p w:rsidRPr="005707AC" w:rsidR="00CD2FFD" w:rsidP="00704E0A" w:rsidRDefault="00CD2FFD" w14:paraId="7420F4D6" w14:textId="4DDBC09F">
      <w:pPr>
        <w:ind w:firstLine="60"/>
        <w:rPr>
          <w:rFonts w:eastAsia="MS Mincho"/>
        </w:rPr>
      </w:pPr>
    </w:p>
    <w:p w:rsidRPr="00704E0A" w:rsidR="00CD2FFD" w:rsidP="00704E0A" w:rsidRDefault="00CD2FFD" w14:paraId="2F5D9AD2" w14:textId="77777777">
      <w:pPr>
        <w:pStyle w:val="Liststycke"/>
        <w:numPr>
          <w:ilvl w:val="0"/>
          <w:numId w:val="27"/>
        </w:numPr>
        <w:rPr>
          <w:rFonts w:eastAsia="MS Mincho"/>
        </w:rPr>
      </w:pPr>
      <w:r w:rsidRPr="00704E0A">
        <w:rPr>
          <w:rFonts w:eastAsia="MS Mincho"/>
        </w:rPr>
        <w:t>Patienter som genomgått behandling utomlands har ofta blivit ordinerade ett flertal olika läkemedel (</w:t>
      </w:r>
      <w:proofErr w:type="gramStart"/>
      <w:r w:rsidRPr="00704E0A">
        <w:rPr>
          <w:rFonts w:eastAsia="MS Mincho"/>
        </w:rPr>
        <w:t>t.ex.</w:t>
      </w:r>
      <w:proofErr w:type="gramEnd"/>
      <w:r w:rsidRPr="00704E0A">
        <w:rPr>
          <w:rFonts w:eastAsia="MS Mincho"/>
        </w:rPr>
        <w:t xml:space="preserve"> </w:t>
      </w:r>
      <w:proofErr w:type="spellStart"/>
      <w:r w:rsidRPr="00704E0A">
        <w:rPr>
          <w:rFonts w:eastAsia="MS Mincho"/>
        </w:rPr>
        <w:t>Prednisolon</w:t>
      </w:r>
      <w:proofErr w:type="spellEnd"/>
      <w:r w:rsidRPr="00704E0A">
        <w:rPr>
          <w:rFonts w:eastAsia="MS Mincho"/>
        </w:rPr>
        <w:t xml:space="preserve">, Fragmin, Intralipid, olika progesteronvarianter) som inte är evidensbaserade och det är en grannlaga uppgift att ta ställning till vilken medicinering som kan vara relevant. Grundprincipen är att läkare inom mödrahälsovården (MHV)/Obstetriken inte utfärdar recept på dessa icke-evidensbelagda behandlingar utan behandlade klinik i utlandet står för förskrivningen. </w:t>
      </w:r>
    </w:p>
    <w:p w:rsidRPr="00704E0A" w:rsidR="00CD2FFD" w:rsidP="00704E0A" w:rsidRDefault="00CD2FFD" w14:paraId="3509457A" w14:textId="77777777">
      <w:pPr>
        <w:pStyle w:val="Liststycke"/>
        <w:numPr>
          <w:ilvl w:val="0"/>
          <w:numId w:val="27"/>
        </w:numPr>
        <w:rPr>
          <w:rFonts w:eastAsia="MS Mincho"/>
        </w:rPr>
      </w:pPr>
      <w:r w:rsidRPr="00704E0A">
        <w:rPr>
          <w:rFonts w:eastAsia="MS Mincho"/>
        </w:rPr>
        <w:t xml:space="preserve">I graviditetsvecka 8 genomgår patienten ultraljud hos läkare i donationsteamet på IVF-enheten. Patienten som ingår i </w:t>
      </w:r>
      <w:proofErr w:type="spellStart"/>
      <w:r w:rsidRPr="00704E0A">
        <w:rPr>
          <w:rFonts w:eastAsia="MS Mincho"/>
        </w:rPr>
        <w:t>spec</w:t>
      </w:r>
      <w:proofErr w:type="spellEnd"/>
      <w:r w:rsidRPr="00704E0A">
        <w:rPr>
          <w:rFonts w:eastAsia="MS Mincho"/>
        </w:rPr>
        <w:t>-</w:t>
      </w:r>
      <w:proofErr w:type="gramStart"/>
      <w:r w:rsidRPr="00704E0A">
        <w:rPr>
          <w:rFonts w:eastAsia="MS Mincho"/>
        </w:rPr>
        <w:t>MVCs</w:t>
      </w:r>
      <w:proofErr w:type="gramEnd"/>
      <w:r w:rsidRPr="00704E0A">
        <w:rPr>
          <w:rFonts w:eastAsia="MS Mincho"/>
        </w:rPr>
        <w:t xml:space="preserve"> uppdrag remitteras dit, se </w:t>
      </w:r>
    </w:p>
    <w:p w:rsidRPr="00704E0A" w:rsidR="00CD2FFD" w:rsidP="00B753B2" w:rsidRDefault="00854447" w14:paraId="0BF9D9D2" w14:textId="51A96FB6">
      <w:pPr>
        <w:pStyle w:val="Liststycke"/>
        <w:numPr>
          <w:ilvl w:val="0"/>
          <w:numId w:val="0"/>
        </w:numPr>
        <w:ind w:left="1712"/>
        <w:rPr>
          <w:rFonts w:eastAsia="MS Mincho"/>
        </w:rPr>
      </w:pPr>
      <w:hyperlink w:history="1" r:id="rId18">
        <w:r w:rsidR="00FC6B23">
          <w:rPr>
            <w:rStyle w:val="Hyperlnk"/>
          </w:rPr>
          <w:t>Patientfördelning mödrahälsovård mellan kvinnokliniken Sahlgrenska och barnmorskemottagning (BMM) i Göteborg och Södra Bohuslän 211021.pdf (vgregion.se)</w:t>
        </w:r>
      </w:hyperlink>
      <w:r w:rsidR="00FC6B23">
        <w:t xml:space="preserve"> </w:t>
      </w:r>
      <w:r w:rsidRPr="00704E0A" w:rsidR="00CD2FFD">
        <w:rPr>
          <w:rFonts w:eastAsia="MS Mincho"/>
        </w:rPr>
        <w:t xml:space="preserve">Övriga hänvisas att inom några dagar kontakta BMM. Patienten medför kort information från Reproduktionsmedicin om beräknad partus enligt ET (BPET) och övrig relevant klinisk information. </w:t>
      </w:r>
    </w:p>
    <w:p w:rsidRPr="00704E0A" w:rsidR="00CD2FFD" w:rsidP="00704E0A" w:rsidRDefault="00CD2FFD" w14:paraId="0B25FBE6" w14:textId="77777777">
      <w:pPr>
        <w:pStyle w:val="Liststycke"/>
        <w:numPr>
          <w:ilvl w:val="0"/>
          <w:numId w:val="27"/>
        </w:numPr>
        <w:rPr>
          <w:rFonts w:eastAsia="MS Mincho"/>
        </w:rPr>
      </w:pPr>
      <w:r w:rsidRPr="00704E0A">
        <w:rPr>
          <w:rFonts w:eastAsia="MS Mincho"/>
        </w:rPr>
        <w:t xml:space="preserve">Inskrivning hos barnmorska på BMM och MHV-läkarbedömning via administrationslistan enligt rutin. Acetylsalicylsyra (ASA) förskrivs av MHV-läkare enligt rutin. Kontroller enligt basprogram inklusive plasma-blodsocker, med tillägg av extra blodtryckskontroller enligt nedan, samt urinsticka varje besök enligt ASA-riktlinje. </w:t>
      </w:r>
    </w:p>
    <w:p w:rsidRPr="00704E0A" w:rsidR="00CD2FFD" w:rsidP="00704E0A" w:rsidRDefault="00CD2FFD" w14:paraId="4B3D5948" w14:textId="77777777">
      <w:pPr>
        <w:pStyle w:val="Liststycke"/>
        <w:numPr>
          <w:ilvl w:val="0"/>
          <w:numId w:val="27"/>
        </w:numPr>
        <w:rPr>
          <w:rFonts w:eastAsia="MS Mincho"/>
        </w:rPr>
      </w:pPr>
      <w:r w:rsidRPr="00704E0A">
        <w:rPr>
          <w:rFonts w:eastAsia="MS Mincho"/>
        </w:rPr>
        <w:t>Avseende patienter som genomgått OD på Sahlgrenska föreligger i flertalet fall inte indikation för KUB/</w:t>
      </w:r>
      <w:proofErr w:type="spellStart"/>
      <w:r w:rsidRPr="00704E0A">
        <w:rPr>
          <w:rFonts w:eastAsia="MS Mincho"/>
        </w:rPr>
        <w:t>invasivt</w:t>
      </w:r>
      <w:proofErr w:type="spellEnd"/>
      <w:r w:rsidRPr="00704E0A">
        <w:rPr>
          <w:rFonts w:eastAsia="MS Mincho"/>
        </w:rPr>
        <w:t xml:space="preserve"> prov p.g.a. ålder eftersom </w:t>
      </w:r>
      <w:proofErr w:type="spellStart"/>
      <w:r w:rsidRPr="00704E0A">
        <w:rPr>
          <w:rFonts w:eastAsia="MS Mincho"/>
        </w:rPr>
        <w:t>oocytdonatorerna</w:t>
      </w:r>
      <w:proofErr w:type="spellEnd"/>
      <w:r w:rsidRPr="00704E0A">
        <w:rPr>
          <w:rFonts w:eastAsia="MS Mincho"/>
        </w:rPr>
        <w:t xml:space="preserve"> är &lt;35 år. Enstaka patienter har fått OD med en närstående som donator och då kan en donator &gt;35 år ha använts. Donatorerna har rutinmässigt genomgått kromosomanalys, gentest för bärarskap av cystisk fibros samt anamnestisk screening för ärftliga sjukdomar. Andra åldersgränser kan gälla vid andra svenska kliniker och även vid behandling utomlands.  Ofta är donatorerna utomlands unga, i flertalet fall &lt;30 år.</w:t>
      </w:r>
    </w:p>
    <w:p w:rsidRPr="00704E0A" w:rsidR="00CD2FFD" w:rsidP="00704E0A" w:rsidRDefault="00CD2FFD" w14:paraId="0B96F7E0" w14:textId="77777777">
      <w:pPr>
        <w:pStyle w:val="Liststycke"/>
        <w:numPr>
          <w:ilvl w:val="0"/>
          <w:numId w:val="27"/>
        </w:numPr>
        <w:rPr>
          <w:rFonts w:eastAsia="MS Mincho"/>
        </w:rPr>
      </w:pPr>
      <w:r w:rsidRPr="00704E0A">
        <w:rPr>
          <w:rFonts w:eastAsia="MS Mincho"/>
        </w:rPr>
        <w:t xml:space="preserve">I samband med tidigt ultraljud och rutinultraljud skall </w:t>
      </w:r>
      <w:r w:rsidRPr="00704E0A">
        <w:rPr>
          <w:rFonts w:eastAsia="MS Mincho"/>
          <w:u w:val="single"/>
        </w:rPr>
        <w:t>inte</w:t>
      </w:r>
      <w:r w:rsidRPr="00704E0A">
        <w:rPr>
          <w:rFonts w:eastAsia="MS Mincho"/>
        </w:rPr>
        <w:t xml:space="preserve"> omdatering göras, BPET datum är säkraste dateringen och dokumenteras på MHV1.</w:t>
      </w:r>
    </w:p>
    <w:p w:rsidRPr="00704E0A" w:rsidR="00CD2FFD" w:rsidP="00704E0A" w:rsidRDefault="00CD2FFD" w14:paraId="39B00240" w14:textId="77777777">
      <w:pPr>
        <w:pStyle w:val="Liststycke"/>
        <w:numPr>
          <w:ilvl w:val="0"/>
          <w:numId w:val="27"/>
        </w:numPr>
        <w:rPr>
          <w:rFonts w:eastAsia="MS Mincho"/>
        </w:rPr>
      </w:pPr>
      <w:r w:rsidRPr="00704E0A">
        <w:rPr>
          <w:rFonts w:eastAsia="MS Mincho"/>
        </w:rPr>
        <w:t xml:space="preserve">Kontroll av blodtryck och urinsticka hos BMM-barnmorska varannan vecka från graviditetsvecka 20, därefter varje vecka från graviditetsvecka 30. Detta </w:t>
      </w:r>
      <w:proofErr w:type="spellStart"/>
      <w:r w:rsidRPr="00704E0A">
        <w:rPr>
          <w:rFonts w:eastAsia="MS Mincho"/>
        </w:rPr>
        <w:t>pga</w:t>
      </w:r>
      <w:proofErr w:type="spellEnd"/>
      <w:r w:rsidRPr="00704E0A">
        <w:rPr>
          <w:rFonts w:eastAsia="MS Mincho"/>
        </w:rPr>
        <w:t xml:space="preserve"> risk för tidig utveckling av PE.</w:t>
      </w:r>
    </w:p>
    <w:p w:rsidRPr="00693BB1" w:rsidR="00CD2FFD" w:rsidP="00693BB1" w:rsidRDefault="00CD2FFD" w14:paraId="7F5B9D89" w14:textId="39074E9A">
      <w:pPr>
        <w:pStyle w:val="Liststycke"/>
        <w:numPr>
          <w:ilvl w:val="0"/>
          <w:numId w:val="27"/>
        </w:numPr>
        <w:rPr>
          <w:rFonts w:eastAsia="MS Mincho"/>
        </w:rPr>
      </w:pPr>
      <w:r w:rsidRPr="00704E0A">
        <w:rPr>
          <w:rFonts w:eastAsia="MS Mincho"/>
        </w:rPr>
        <w:t>Remiss skrivs av BMM-barnmorska för tillväxtultraljud i graviditetsvecka 32. Därtill kan andra bakgrundsfaktorer utgöra indikation för ytterligare tillväxtultraljud (se PM Tillväxtkontroll med ultraljud)</w:t>
      </w:r>
    </w:p>
    <w:p w:rsidRPr="00854447" w:rsidR="00CD2FFD" w:rsidP="00693BB1" w:rsidRDefault="00CD2FFD" w14:paraId="354FD17C" w14:textId="66706730">
      <w:pPr>
        <w:pStyle w:val="MellanrubrikVGR"/>
        <w:rPr>
          <w:rFonts w:eastAsia="MS Mincho"/>
          <w:bCs/>
        </w:rPr>
      </w:pPr>
      <w:r w:rsidRPr="00854447">
        <w:rPr>
          <w:rFonts w:eastAsia="MS Mincho"/>
          <w:bCs/>
        </w:rPr>
        <w:t>Handläggning Obstetrik</w:t>
      </w:r>
    </w:p>
    <w:p w:rsidRPr="00693BB1" w:rsidR="00CD2FFD" w:rsidP="00693BB1" w:rsidRDefault="00CD2FFD" w14:paraId="522446E8" w14:textId="77777777">
      <w:pPr>
        <w:pStyle w:val="Liststycke"/>
        <w:numPr>
          <w:ilvl w:val="0"/>
          <w:numId w:val="29"/>
        </w:numPr>
        <w:rPr>
          <w:rFonts w:eastAsia="MS Mincho"/>
        </w:rPr>
      </w:pPr>
      <w:r w:rsidRPr="00693BB1">
        <w:rPr>
          <w:rFonts w:eastAsia="MS Mincho"/>
        </w:rPr>
        <w:t xml:space="preserve">Enbart OD, utan andra tillstånd eller riskfaktorer, utgör i normalfallet inte indikation för </w:t>
      </w:r>
      <w:proofErr w:type="spellStart"/>
      <w:r w:rsidRPr="00693BB1">
        <w:rPr>
          <w:rFonts w:eastAsia="MS Mincho"/>
        </w:rPr>
        <w:t>elektivt</w:t>
      </w:r>
      <w:proofErr w:type="spellEnd"/>
      <w:r w:rsidRPr="00693BB1">
        <w:rPr>
          <w:rFonts w:eastAsia="MS Mincho"/>
        </w:rPr>
        <w:t xml:space="preserve"> </w:t>
      </w:r>
      <w:proofErr w:type="spellStart"/>
      <w:r w:rsidRPr="00693BB1">
        <w:rPr>
          <w:rFonts w:eastAsia="MS Mincho"/>
        </w:rPr>
        <w:t>sectio</w:t>
      </w:r>
      <w:proofErr w:type="spellEnd"/>
      <w:r w:rsidRPr="00693BB1">
        <w:rPr>
          <w:rFonts w:eastAsia="MS Mincho"/>
        </w:rPr>
        <w:t xml:space="preserve"> (ESEC). Undantag kan göras efter individuell handläggning och MHV-läkare remitterar i dessa fall patienten till </w:t>
      </w:r>
      <w:proofErr w:type="spellStart"/>
      <w:r w:rsidRPr="00693BB1">
        <w:rPr>
          <w:rFonts w:eastAsia="MS Mincho"/>
        </w:rPr>
        <w:t>spec</w:t>
      </w:r>
      <w:proofErr w:type="spellEnd"/>
      <w:r w:rsidRPr="00693BB1">
        <w:rPr>
          <w:rFonts w:eastAsia="MS Mincho"/>
        </w:rPr>
        <w:t xml:space="preserve">-MVC.  </w:t>
      </w:r>
    </w:p>
    <w:p w:rsidRPr="00693BB1" w:rsidR="00CD2FFD" w:rsidP="00693BB1" w:rsidRDefault="00CD2FFD" w14:paraId="54C10959" w14:textId="77777777">
      <w:pPr>
        <w:pStyle w:val="Liststycke"/>
        <w:numPr>
          <w:ilvl w:val="0"/>
          <w:numId w:val="29"/>
        </w:numPr>
        <w:rPr>
          <w:rFonts w:eastAsia="MS Mincho"/>
        </w:rPr>
      </w:pPr>
      <w:r w:rsidRPr="00693BB1">
        <w:rPr>
          <w:rFonts w:eastAsia="MS Mincho"/>
        </w:rPr>
        <w:t xml:space="preserve">Vid förlossningsrädsla skrivs remiss till Aurora enligt rutin. </w:t>
      </w:r>
    </w:p>
    <w:p w:rsidRPr="00693BB1" w:rsidR="00CD2FFD" w:rsidP="00693BB1" w:rsidRDefault="00CD2FFD" w14:paraId="0C9077B9" w14:textId="77777777">
      <w:pPr>
        <w:pStyle w:val="Liststycke"/>
        <w:numPr>
          <w:ilvl w:val="0"/>
          <w:numId w:val="29"/>
        </w:numPr>
        <w:rPr>
          <w:rFonts w:eastAsia="MS Mincho"/>
        </w:rPr>
      </w:pPr>
      <w:r w:rsidRPr="00693BB1">
        <w:rPr>
          <w:rFonts w:eastAsia="MS Mincho"/>
        </w:rPr>
        <w:t xml:space="preserve">Förlossningsplanering, inklusive diskussion om induktion, sker i samband med tillväxtultraljud i graviditetsvecka 32. </w:t>
      </w:r>
    </w:p>
    <w:p w:rsidRPr="00693BB1" w:rsidR="00CD2FFD" w:rsidP="00693BB1" w:rsidRDefault="00CD2FFD" w14:paraId="1D4DA643" w14:textId="77777777">
      <w:pPr>
        <w:pStyle w:val="Liststycke"/>
        <w:numPr>
          <w:ilvl w:val="0"/>
          <w:numId w:val="29"/>
        </w:numPr>
        <w:rPr>
          <w:rFonts w:eastAsia="MS Mincho"/>
        </w:rPr>
      </w:pPr>
      <w:r w:rsidRPr="00693BB1">
        <w:rPr>
          <w:rFonts w:eastAsia="MS Mincho"/>
        </w:rPr>
        <w:t>Induktion rekommenderas graviditetsvecka 40+0, tidigare om medicinska komplikationer tillstöter och induktion är indicerad därav</w:t>
      </w:r>
    </w:p>
    <w:p w:rsidRPr="00693BB1" w:rsidR="00CD2FFD" w:rsidP="00693BB1" w:rsidRDefault="00CD2FFD" w14:paraId="03F08C5C" w14:textId="6743968C">
      <w:pPr>
        <w:pStyle w:val="Liststycke"/>
        <w:numPr>
          <w:ilvl w:val="0"/>
          <w:numId w:val="29"/>
        </w:numPr>
        <w:rPr>
          <w:rFonts w:eastAsia="MS Mincho"/>
          <w:color w:val="000000"/>
        </w:rPr>
      </w:pPr>
      <w:r w:rsidRPr="00693BB1">
        <w:rPr>
          <w:rFonts w:eastAsia="MS Mincho"/>
          <w:color w:val="000000"/>
        </w:rPr>
        <w:t xml:space="preserve">Profylax mot PPH ges med injektion 8,3ug/ml, 2 ml = 10 E </w:t>
      </w:r>
      <w:proofErr w:type="spellStart"/>
      <w:r w:rsidRPr="00693BB1">
        <w:rPr>
          <w:rFonts w:eastAsia="MS Mincho"/>
          <w:color w:val="000000"/>
        </w:rPr>
        <w:t>Syntocinon</w:t>
      </w:r>
      <w:proofErr w:type="spellEnd"/>
      <w:r w:rsidRPr="00693BB1">
        <w:rPr>
          <w:rFonts w:eastAsia="MS Mincho"/>
          <w:color w:val="000000"/>
        </w:rPr>
        <w:t xml:space="preserve"> </w:t>
      </w:r>
      <w:proofErr w:type="spellStart"/>
      <w:r w:rsidRPr="00693BB1">
        <w:rPr>
          <w:rFonts w:eastAsia="MS Mincho"/>
          <w:color w:val="000000"/>
        </w:rPr>
        <w:t>i.m</w:t>
      </w:r>
      <w:proofErr w:type="spellEnd"/>
      <w:r w:rsidRPr="00693BB1">
        <w:rPr>
          <w:rFonts w:eastAsia="MS Mincho"/>
          <w:color w:val="000000"/>
        </w:rPr>
        <w:t xml:space="preserve">. </w:t>
      </w:r>
    </w:p>
    <w:p w:rsidRPr="005707AC" w:rsidR="00CD2FFD" w:rsidP="00693BB1" w:rsidRDefault="00CD2FFD" w14:paraId="3E45462A" w14:textId="75287D11">
      <w:pPr>
        <w:pStyle w:val="Rubrik2"/>
      </w:pPr>
      <w:bookmarkStart w:name="_Toc133314686" w:id="8"/>
      <w:bookmarkStart w:name="_Toc191289953" w:id="9"/>
      <w:r w:rsidRPr="005707AC">
        <w:t>Bakgrund</w:t>
      </w:r>
      <w:bookmarkEnd w:id="8"/>
      <w:bookmarkEnd w:id="9"/>
    </w:p>
    <w:p w:rsidRPr="005707AC" w:rsidR="00CD2FFD" w:rsidP="00693BB1" w:rsidRDefault="00CD2FFD" w14:paraId="0DBFBECC" w14:textId="518D0EBD">
      <w:r w:rsidRPr="4F1C30BC">
        <w:t xml:space="preserve">Antalet graviditeter efter OD ökar stadigt och OD är idag en vedertagen behandling vid äggrelaterad infertilitet. Sedan 2019 får behandling med donerade </w:t>
      </w:r>
      <w:r w:rsidRPr="00955BAB">
        <w:t xml:space="preserve">gameter ske även på privata kliniker. I Sverige föds årligen drygt </w:t>
      </w:r>
      <w:r w:rsidRPr="00955BAB" w:rsidR="6AE42126">
        <w:t>200</w:t>
      </w:r>
      <w:r w:rsidRPr="00955BAB">
        <w:t xml:space="preserve"> barn efter OD och dessa utgör ca </w:t>
      </w:r>
      <w:r w:rsidRPr="00955BAB" w:rsidR="286DBEC1">
        <w:t>3,6</w:t>
      </w:r>
      <w:r w:rsidRPr="00955BAB">
        <w:t xml:space="preserve"> % av alla barn födda efter assisterad befruktning</w:t>
      </w:r>
      <w:r w:rsidRPr="00955BAB" w:rsidR="20EE7C5E">
        <w:t xml:space="preserve"> (Q-IVF: Årsrapport 2024)</w:t>
      </w:r>
      <w:r w:rsidRPr="00955BAB">
        <w:t>.</w:t>
      </w:r>
      <w:r w:rsidRPr="4F1C30BC">
        <w:t xml:space="preserve"> Därtill får läggas det stora antal kvinnor som årligen genomgår OD utomlands och som inte registreras i det nationella kvalitetsregistret för assisterad befruktning, Q-IVF. Dessa kvinnor uppger inte alltid vid inskrivning i MVC att OD utförts (Khatibi et al., 2018), vilket gör antalet svårt att beräkna.</w:t>
      </w:r>
    </w:p>
    <w:p w:rsidRPr="00693BB1" w:rsidR="00CD2FFD" w:rsidP="00693BB1" w:rsidRDefault="00CD2FFD" w14:paraId="0464313B" w14:textId="7B5A147F">
      <w:r w:rsidRPr="005707AC">
        <w:t>Gruppen som genomgår OD är heterogen och därav är individuell handläggning och riskbedömning viktig i samband med graviditet och förlossning. Sammanfattningsvis utgör följande grupper den stora majoriteten av kvinnor som har indikation för behandling med donerade ägg:</w:t>
      </w:r>
    </w:p>
    <w:p w:rsidRPr="00693BB1" w:rsidR="00CD2FFD" w:rsidP="00693BB1" w:rsidRDefault="00CD2FFD" w14:paraId="12C14BA0" w14:textId="77777777">
      <w:pPr>
        <w:pStyle w:val="Liststycke"/>
        <w:numPr>
          <w:ilvl w:val="0"/>
          <w:numId w:val="30"/>
        </w:numPr>
        <w:rPr>
          <w:rFonts w:eastAsia="MS Mincho"/>
        </w:rPr>
      </w:pPr>
      <w:r w:rsidRPr="00693BB1">
        <w:rPr>
          <w:rFonts w:eastAsia="MS Mincho"/>
        </w:rPr>
        <w:t xml:space="preserve">Äggfaktor som upptäcks i samband med IVF behandling, många gånger unga helt friska patienter utan några riskfaktorer. </w:t>
      </w:r>
    </w:p>
    <w:p w:rsidRPr="00693BB1" w:rsidR="00CD2FFD" w:rsidP="00693BB1" w:rsidRDefault="00CD2FFD" w14:paraId="1C7EEC87" w14:textId="77777777">
      <w:pPr>
        <w:pStyle w:val="Liststycke"/>
        <w:numPr>
          <w:ilvl w:val="0"/>
          <w:numId w:val="30"/>
        </w:numPr>
        <w:rPr>
          <w:rFonts w:eastAsia="MS Mincho"/>
        </w:rPr>
      </w:pPr>
      <w:r w:rsidRPr="00693BB1">
        <w:rPr>
          <w:rFonts w:eastAsia="MS Mincho"/>
        </w:rPr>
        <w:t xml:space="preserve">Kvinnor med </w:t>
      </w:r>
      <w:proofErr w:type="spellStart"/>
      <w:r w:rsidRPr="00693BB1">
        <w:rPr>
          <w:rFonts w:eastAsia="MS Mincho"/>
        </w:rPr>
        <w:t>interkurrenta</w:t>
      </w:r>
      <w:proofErr w:type="spellEnd"/>
      <w:r w:rsidRPr="00693BB1">
        <w:rPr>
          <w:rFonts w:eastAsia="MS Mincho"/>
        </w:rPr>
        <w:t xml:space="preserve"> sjukdomar, eller tidigare genomgången behandling såsom cytostatika/strålning, vilka förorsakat en </w:t>
      </w:r>
      <w:proofErr w:type="spellStart"/>
      <w:r w:rsidRPr="00693BB1">
        <w:rPr>
          <w:rFonts w:eastAsia="MS Mincho"/>
        </w:rPr>
        <w:t>iatrogen</w:t>
      </w:r>
      <w:proofErr w:type="spellEnd"/>
      <w:r w:rsidRPr="00693BB1">
        <w:rPr>
          <w:rFonts w:eastAsia="MS Mincho"/>
        </w:rPr>
        <w:t xml:space="preserve"> prematur ovarial insufficiens.</w:t>
      </w:r>
    </w:p>
    <w:p w:rsidRPr="00693BB1" w:rsidR="00CD2FFD" w:rsidP="00693BB1" w:rsidRDefault="00CD2FFD" w14:paraId="4C44C1BF" w14:textId="77777777">
      <w:pPr>
        <w:pStyle w:val="Liststycke"/>
        <w:numPr>
          <w:ilvl w:val="0"/>
          <w:numId w:val="30"/>
        </w:numPr>
        <w:rPr>
          <w:rFonts w:eastAsia="MS Mincho"/>
        </w:rPr>
      </w:pPr>
      <w:r w:rsidRPr="00693BB1">
        <w:rPr>
          <w:rFonts w:eastAsia="MS Mincho"/>
        </w:rPr>
        <w:t xml:space="preserve">Ålder, vilket också utgör den vanligaste indikationen för de som genomgår OD utomlands (i vissa länder finns ingen övre åldersgräns, i Sverige är gränsen 40 år inom offentlig vård och upp till 44 års ålder hos privata vårdgivare). </w:t>
      </w:r>
    </w:p>
    <w:p w:rsidRPr="00693BB1" w:rsidR="00CD2FFD" w:rsidP="00693BB1" w:rsidRDefault="00CD2FFD" w14:paraId="04C999E7" w14:textId="77777777">
      <w:pPr>
        <w:pStyle w:val="Liststycke"/>
        <w:numPr>
          <w:ilvl w:val="0"/>
          <w:numId w:val="30"/>
        </w:numPr>
        <w:rPr>
          <w:rFonts w:eastAsia="MS Mincho"/>
        </w:rPr>
      </w:pPr>
      <w:r w:rsidRPr="00693BB1">
        <w:rPr>
          <w:rFonts w:eastAsia="MS Mincho"/>
        </w:rPr>
        <w:t xml:space="preserve">I vissa fall föreligger genetisk indikation. Många gånger kan patienten dock genomgå </w:t>
      </w:r>
      <w:proofErr w:type="spellStart"/>
      <w:r w:rsidRPr="00693BB1">
        <w:rPr>
          <w:rFonts w:eastAsia="MS Mincho"/>
        </w:rPr>
        <w:t>preimplantatorisk</w:t>
      </w:r>
      <w:proofErr w:type="spellEnd"/>
      <w:r w:rsidRPr="00693BB1">
        <w:rPr>
          <w:rFonts w:eastAsia="MS Mincho"/>
        </w:rPr>
        <w:t xml:space="preserve"> genetisk testning (PGT) om den exakta orsaken är känd.</w:t>
      </w:r>
    </w:p>
    <w:p w:rsidRPr="002E742E" w:rsidR="00CD2FFD" w:rsidP="002E742E" w:rsidRDefault="00CD2FFD" w14:paraId="16E3D4AC" w14:textId="123E8A95">
      <w:pPr>
        <w:pStyle w:val="Liststycke"/>
        <w:numPr>
          <w:ilvl w:val="0"/>
          <w:numId w:val="30"/>
        </w:numPr>
        <w:rPr>
          <w:rFonts w:eastAsia="MS Mincho"/>
        </w:rPr>
      </w:pPr>
      <w:r w:rsidRPr="00693BB1">
        <w:rPr>
          <w:rFonts w:eastAsia="MS Mincho"/>
        </w:rPr>
        <w:t xml:space="preserve">Donation av ägg/embryo till partner (dubbeldonation/embryodonation) inom samkönade kvinnliga par är lagligt sedan 2019 men erbjuds endast på medicinsk indikation inom VGR, kan dock förekomma på psykosocial indikation inom den privata vården.  </w:t>
      </w:r>
    </w:p>
    <w:p w:rsidRPr="005707AC" w:rsidR="00CD2FFD" w:rsidP="002E742E" w:rsidRDefault="00CD2FFD" w14:paraId="074D6F1F" w14:textId="059FF03D">
      <w:pPr>
        <w:pStyle w:val="Normalefterlista"/>
      </w:pPr>
      <w:r w:rsidRPr="005707AC">
        <w:t xml:space="preserve">Gemensamt för OD patienter är att de ofta har en lång tids infertilitet och genomgått mycket vårdinsatser för att uppnå graviditet. Därmed är det sällan dessa patienter uppnår fler graviditeter, vilket betyder att den aktuella graviditeten kan vara deras enda i livet. Med tanke på detta samt de ökade riskerna under graviditet och </w:t>
      </w:r>
      <w:proofErr w:type="spellStart"/>
      <w:r w:rsidRPr="005707AC">
        <w:t>peripartalt</w:t>
      </w:r>
      <w:proofErr w:type="spellEnd"/>
      <w:r w:rsidRPr="005707AC">
        <w:t xml:space="preserve">, är det nödvändigt att betrakta graviditeterna som högriskgraviditeter och anta en större vaksamhet, samt erbjuda vårdinsatser i högre utsträckning, i jämförelse med andra patienter, se handläggning BMM och Obstetrik ovan.  </w:t>
      </w:r>
    </w:p>
    <w:p w:rsidRPr="00693BB1" w:rsidR="00CD2FFD" w:rsidP="00693BB1" w:rsidRDefault="00CD2FFD" w14:paraId="71852AFE" w14:textId="0E1AC7E4">
      <w:r w:rsidRPr="4F1C30BC">
        <w:t xml:space="preserve">Sammanfattningsvis löper kvinnor gravida efter OD en ökad risk att drabbas av komplikationer under graviditeten, </w:t>
      </w:r>
      <w:proofErr w:type="spellStart"/>
      <w:r w:rsidRPr="4F1C30BC">
        <w:t>ffa</w:t>
      </w:r>
      <w:proofErr w:type="spellEnd"/>
      <w:r w:rsidRPr="4F1C30BC">
        <w:t xml:space="preserve"> i form av </w:t>
      </w:r>
      <w:proofErr w:type="spellStart"/>
      <w:r w:rsidRPr="4F1C30BC">
        <w:t>hypertensiv</w:t>
      </w:r>
      <w:proofErr w:type="spellEnd"/>
      <w:r w:rsidRPr="4F1C30BC">
        <w:t xml:space="preserve"> sjuklighet inklusive PE, både i jämförelse med kvinnor gravida efter IVF med egna ägg och kvinnor gravida efter spontan konception. Riskerna för att barnen skall födas för tidigt (&lt;37 veckor) och med låg födelsevikt (&lt;2500 g) är också ökade. Riskökningen är större för flerbörd än för enkelbörd och således föreligger en stark rekommendation om singel embryo återförande, vilket efterlevs i Sverige men mindre ofta utomlands. Samtliga resultat nedan återspeglar enkelbörd. För såväl </w:t>
      </w:r>
      <w:proofErr w:type="spellStart"/>
      <w:r w:rsidRPr="4F1C30BC">
        <w:t>maternella</w:t>
      </w:r>
      <w:proofErr w:type="spellEnd"/>
      <w:r w:rsidRPr="4F1C30BC">
        <w:t xml:space="preserve"> som perinatala utfall nämnda i detta PM föreligger idag evidens av moderat kvalitet. </w:t>
      </w:r>
    </w:p>
    <w:p w:rsidRPr="00693BB1" w:rsidR="00CD2FFD" w:rsidP="00693BB1" w:rsidRDefault="00CD2FFD" w14:paraId="562F0000" w14:textId="023E9F10">
      <w:pPr>
        <w:pStyle w:val="MellanrubrikVGR"/>
      </w:pPr>
      <w:r w:rsidRPr="005707AC">
        <w:t xml:space="preserve">Blödningar i tidig graviditet/första </w:t>
      </w:r>
      <w:proofErr w:type="spellStart"/>
      <w:r w:rsidRPr="005707AC">
        <w:t>trimestern</w:t>
      </w:r>
      <w:proofErr w:type="spellEnd"/>
    </w:p>
    <w:p w:rsidRPr="00693BB1" w:rsidR="00CD2FFD" w:rsidP="00693BB1" w:rsidRDefault="00CD2FFD" w14:paraId="779C52CC" w14:textId="0E34C42B">
      <w:r w:rsidRPr="005707AC">
        <w:t>I en kontrollerad matchad studie med 205 OD patienter och 205 patienter med spontan konception matchade utifrån ålder och riskfaktorer (</w:t>
      </w:r>
      <w:proofErr w:type="spellStart"/>
      <w:r w:rsidRPr="005707AC">
        <w:t>Stoop</w:t>
      </w:r>
      <w:proofErr w:type="spellEnd"/>
      <w:r w:rsidRPr="005707AC">
        <w:t xml:space="preserve"> et al., 2012) fann man en 47 % högre risk för blödning i första </w:t>
      </w:r>
      <w:proofErr w:type="spellStart"/>
      <w:r w:rsidRPr="005707AC">
        <w:t>trimestern</w:t>
      </w:r>
      <w:proofErr w:type="spellEnd"/>
      <w:r w:rsidRPr="005707AC">
        <w:t xml:space="preserve"> hos OD patienterna, däremot kunde man inte se att detta symptom i sig var associerat till ett sämre perinatalt utfall.  Jämfört med IVF patienter har man i en studie sett en signifikant riskökning för blödning i tidig graviditet hos OD patienter (Söderström-Antilla et al., 1998), detta har dock inte kunnat bekräftas i andra studier (</w:t>
      </w:r>
      <w:proofErr w:type="spellStart"/>
      <w:r w:rsidRPr="005707AC">
        <w:t>Wiggins</w:t>
      </w:r>
      <w:proofErr w:type="spellEnd"/>
      <w:r w:rsidRPr="005707AC">
        <w:t xml:space="preserve"> and Main, 2005, </w:t>
      </w:r>
      <w:proofErr w:type="spellStart"/>
      <w:r w:rsidRPr="005707AC">
        <w:t>Krieg</w:t>
      </w:r>
      <w:proofErr w:type="spellEnd"/>
      <w:r w:rsidRPr="005707AC">
        <w:t xml:space="preserve"> et al., 2008). </w:t>
      </w:r>
    </w:p>
    <w:p w:rsidRPr="00693BB1" w:rsidR="00CD2FFD" w:rsidP="00693BB1" w:rsidRDefault="00CD2FFD" w14:paraId="6F5B57C7" w14:textId="58E53476">
      <w:pPr>
        <w:pStyle w:val="MellanrubrikVGR"/>
      </w:pPr>
      <w:proofErr w:type="spellStart"/>
      <w:r w:rsidRPr="005707AC">
        <w:t>Hypertensiv</w:t>
      </w:r>
      <w:proofErr w:type="spellEnd"/>
      <w:r w:rsidRPr="005707AC">
        <w:t xml:space="preserve"> sjuklighet under graviditet </w:t>
      </w:r>
      <w:proofErr w:type="spellStart"/>
      <w:r w:rsidRPr="005707AC">
        <w:t>inkl</w:t>
      </w:r>
      <w:proofErr w:type="spellEnd"/>
      <w:r w:rsidRPr="005707AC">
        <w:t xml:space="preserve"> PE</w:t>
      </w:r>
    </w:p>
    <w:p w:rsidRPr="00693BB1" w:rsidR="00CD2FFD" w:rsidP="000D6B69" w:rsidRDefault="00CD2FFD" w14:paraId="277CCCC6" w14:textId="1F38D37C">
      <w:r w:rsidRPr="4F1C30BC">
        <w:t xml:space="preserve">Flertalet kohort- och fall-kontroll studier har visat på en ökad förekomst av graviditetshypertoni och PE i OD graviditeter jämfört med graviditeter efter standard IVF (Rodriguez-Wallberg et al., 2019, </w:t>
      </w:r>
      <w:proofErr w:type="spellStart"/>
      <w:r w:rsidRPr="4F1C30BC">
        <w:t>Nejdet</w:t>
      </w:r>
      <w:proofErr w:type="spellEnd"/>
      <w:r w:rsidRPr="4F1C30BC">
        <w:t xml:space="preserve"> et al., 2016, van </w:t>
      </w:r>
      <w:proofErr w:type="spellStart"/>
      <w:r w:rsidRPr="4F1C30BC">
        <w:t>Dorp</w:t>
      </w:r>
      <w:proofErr w:type="spellEnd"/>
      <w:r w:rsidRPr="4F1C30BC">
        <w:t xml:space="preserve"> et al., 2014, Malchau et al., 2013, </w:t>
      </w:r>
      <w:proofErr w:type="spellStart"/>
      <w:r w:rsidRPr="4F1C30BC">
        <w:t>Stoop</w:t>
      </w:r>
      <w:proofErr w:type="spellEnd"/>
      <w:r w:rsidRPr="4F1C30BC">
        <w:t xml:space="preserve"> et al., 2012, </w:t>
      </w:r>
      <w:proofErr w:type="spellStart"/>
      <w:r w:rsidRPr="4F1C30BC">
        <w:t>Klatsky</w:t>
      </w:r>
      <w:proofErr w:type="spellEnd"/>
      <w:r w:rsidRPr="4F1C30BC">
        <w:t xml:space="preserve"> et al., 2010). I dessa studier har incidensen av graviditetshypertoni och PE varierat stort i OD-gruppen, 4.8-</w:t>
      </w:r>
      <w:proofErr w:type="gramStart"/>
      <w:r w:rsidRPr="4F1C30BC">
        <w:t>24.7</w:t>
      </w:r>
      <w:proofErr w:type="gramEnd"/>
      <w:r w:rsidRPr="4F1C30BC">
        <w:t xml:space="preserve">% respektive 9.8-16.9%. Likaså har flera meta-analyser visat på en signifikant ökad risk för </w:t>
      </w:r>
      <w:proofErr w:type="spellStart"/>
      <w:r w:rsidRPr="4F1C30BC">
        <w:t>hypertensiv</w:t>
      </w:r>
      <w:proofErr w:type="spellEnd"/>
      <w:r w:rsidRPr="4F1C30BC">
        <w:t xml:space="preserve"> sjuklighet efter OD i jämförelse med standard IVF. I en nyligen publicerad meta-analys, inkluderande 12 studier, visades en tre gånger ökad risk för PE efter OD i jämförelse med </w:t>
      </w:r>
      <w:r w:rsidRPr="4F1C30BC">
        <w:t>standard IVF (AOR 3.03, 95% CI 2.46-3.72) (</w:t>
      </w:r>
      <w:proofErr w:type="spellStart"/>
      <w:r w:rsidRPr="4F1C30BC">
        <w:t>Keukens</w:t>
      </w:r>
      <w:proofErr w:type="spellEnd"/>
      <w:r w:rsidRPr="4F1C30BC">
        <w:t xml:space="preserve"> et al., 2022). I en något tidigare meta-analys var risken för graviditetshypertoni likaså ökad knappt tre gånger (8 studier, AOR 2.63, 95% CI 2.17-3.18) (Moreno-</w:t>
      </w:r>
      <w:proofErr w:type="spellStart"/>
      <w:r w:rsidRPr="4F1C30BC">
        <w:t>Sepulveda</w:t>
      </w:r>
      <w:proofErr w:type="spellEnd"/>
      <w:r w:rsidRPr="4F1C30BC">
        <w:t xml:space="preserve"> et al., 2019). I jämförelse med spontan graviditet har meta-analyser likaså påvisat en signifikant ökad risk för PE efter OD (3 studier, AOR 2.94, 95% CI 2.29-3.76 respektive 6 studier, AOR 5.29, 95% CI 4.01-6.97)) (</w:t>
      </w:r>
      <w:proofErr w:type="spellStart"/>
      <w:r w:rsidRPr="4F1C30BC">
        <w:t>Storgaard</w:t>
      </w:r>
      <w:proofErr w:type="spellEnd"/>
      <w:r w:rsidRPr="4F1C30BC">
        <w:t xml:space="preserve"> et al., 2017, </w:t>
      </w:r>
      <w:proofErr w:type="spellStart"/>
      <w:r w:rsidRPr="4F1C30BC">
        <w:t>Keukens</w:t>
      </w:r>
      <w:proofErr w:type="spellEnd"/>
      <w:r w:rsidRPr="4F1C30BC">
        <w:t xml:space="preserve"> et al., 2022). </w:t>
      </w:r>
      <w:r w:rsidRPr="005707AC">
        <w:t xml:space="preserve">Placenta </w:t>
      </w:r>
      <w:proofErr w:type="spellStart"/>
      <w:r w:rsidRPr="005707AC">
        <w:t>previa</w:t>
      </w:r>
      <w:proofErr w:type="spellEnd"/>
      <w:r w:rsidRPr="005707AC">
        <w:t xml:space="preserve"> och </w:t>
      </w:r>
      <w:proofErr w:type="spellStart"/>
      <w:r w:rsidRPr="005707AC">
        <w:t>ablatio</w:t>
      </w:r>
      <w:proofErr w:type="spellEnd"/>
    </w:p>
    <w:p w:rsidRPr="00693BB1" w:rsidR="00CD2FFD" w:rsidP="00693BB1" w:rsidRDefault="00CD2FFD" w14:paraId="75DB6380" w14:textId="58604340">
      <w:r w:rsidRPr="005707AC">
        <w:t xml:space="preserve">Två stora meta-analyser har visat på en 2- respektive 3-gånger ökad risk för </w:t>
      </w:r>
      <w:proofErr w:type="spellStart"/>
      <w:r w:rsidRPr="005707AC">
        <w:t>ablatio</w:t>
      </w:r>
      <w:proofErr w:type="spellEnd"/>
      <w:r w:rsidRPr="005707AC">
        <w:t xml:space="preserve"> och placenta </w:t>
      </w:r>
      <w:proofErr w:type="spellStart"/>
      <w:r w:rsidRPr="005707AC">
        <w:t>previa</w:t>
      </w:r>
      <w:proofErr w:type="spellEnd"/>
      <w:r w:rsidRPr="005707AC">
        <w:t xml:space="preserve"> efter IVF i jämförelse med spontan graviditet (</w:t>
      </w:r>
      <w:proofErr w:type="spellStart"/>
      <w:r w:rsidRPr="005707AC">
        <w:t>Vermey</w:t>
      </w:r>
      <w:proofErr w:type="spellEnd"/>
      <w:r w:rsidRPr="005707AC">
        <w:t xml:space="preserve"> et al., 2019, </w:t>
      </w:r>
      <w:proofErr w:type="spellStart"/>
      <w:r w:rsidRPr="005707AC">
        <w:t>Qin</w:t>
      </w:r>
      <w:proofErr w:type="spellEnd"/>
      <w:r w:rsidRPr="005707AC">
        <w:t xml:space="preserve"> et al., 2016). Vid jämförelse mellan OD och IVF har några signifikanta skillnader inte kunnat påvisas i de förhållandevis små studier som är publicerade inkluderande 259 respektive 388 OD graviditeter (Rodriguez-Wallberg et al., 2019, </w:t>
      </w:r>
      <w:proofErr w:type="spellStart"/>
      <w:r w:rsidRPr="005707AC">
        <w:t>Nejdet</w:t>
      </w:r>
      <w:proofErr w:type="spellEnd"/>
      <w:r w:rsidRPr="005707AC">
        <w:t xml:space="preserve"> et al., 2016). </w:t>
      </w:r>
    </w:p>
    <w:p w:rsidRPr="00693BB1" w:rsidR="00CD2FFD" w:rsidP="00693BB1" w:rsidRDefault="00CD2FFD" w14:paraId="199CEC61" w14:textId="47AEC390">
      <w:pPr>
        <w:pStyle w:val="MellanrubrikVGR"/>
      </w:pPr>
      <w:r w:rsidRPr="005707AC">
        <w:t>Kejsarsnitt</w:t>
      </w:r>
    </w:p>
    <w:p w:rsidRPr="00693BB1" w:rsidR="00CD2FFD" w:rsidP="00693BB1" w:rsidRDefault="00CD2FFD" w14:paraId="040963D4" w14:textId="6AE153E2">
      <w:r w:rsidRPr="005707AC">
        <w:t>I en tidigare finsk studie förelåg en kejsarsnittsfrekvens på 57% i OD-gruppen jämfört med 37% i IVF-gruppen (</w:t>
      </w:r>
      <w:proofErr w:type="gramStart"/>
      <w:r w:rsidRPr="005707AC">
        <w:t>p&lt;</w:t>
      </w:r>
      <w:proofErr w:type="gramEnd"/>
      <w:r w:rsidRPr="005707AC">
        <w:t xml:space="preserve">0,05) (Söderström-Anttila, 2001). I ett lokalt material från SU framgick att 49% av kvinnorna gravida efter OD genomgick kejsarsnitt (personlig kommunikation, </w:t>
      </w:r>
      <w:proofErr w:type="spellStart"/>
      <w:r w:rsidRPr="005707AC">
        <w:t>Jonsdottir</w:t>
      </w:r>
      <w:proofErr w:type="spellEnd"/>
      <w:r w:rsidRPr="005707AC">
        <w:t xml:space="preserve"> I, 2012). I de 12 inkluderade studierna i meta-analysen av </w:t>
      </w:r>
      <w:proofErr w:type="spellStart"/>
      <w:r w:rsidRPr="005707AC">
        <w:t>Storgaard</w:t>
      </w:r>
      <w:proofErr w:type="spellEnd"/>
      <w:r w:rsidRPr="005707AC">
        <w:t xml:space="preserve"> et al. varierade frekvensen för kejsarsnitt. För graviditeter efter OD </w:t>
      </w:r>
      <w:proofErr w:type="gramStart"/>
      <w:r w:rsidRPr="005707AC">
        <w:t>låg frekvensen</w:t>
      </w:r>
      <w:proofErr w:type="gramEnd"/>
      <w:r w:rsidRPr="005707AC">
        <w:t xml:space="preserve"> av </w:t>
      </w:r>
      <w:proofErr w:type="spellStart"/>
      <w:r w:rsidRPr="005707AC">
        <w:t>sectio</w:t>
      </w:r>
      <w:proofErr w:type="spellEnd"/>
      <w:r w:rsidRPr="005707AC">
        <w:t xml:space="preserve"> på 31.4-85.9%, för IVF 25.3-56.0% och för spontan konception 16.3-17.5%. Efter justering för relevanta störfaktorer förelåg en signifikant ökad risk för kejsarsnitt efter OD både i jämförelse till IVF (3 studier, AOR 2.20, 95% CI </w:t>
      </w:r>
      <w:proofErr w:type="gramStart"/>
      <w:r w:rsidRPr="005707AC">
        <w:t>1.85-2.60</w:t>
      </w:r>
      <w:proofErr w:type="gramEnd"/>
      <w:r w:rsidRPr="005707AC">
        <w:t>) och spontan konception (2 studier, AOR 2.38, 95% CI 2.01-2.81) (</w:t>
      </w:r>
      <w:proofErr w:type="spellStart"/>
      <w:r w:rsidRPr="005707AC">
        <w:t>Storgaard</w:t>
      </w:r>
      <w:proofErr w:type="spellEnd"/>
      <w:r w:rsidRPr="005707AC">
        <w:t xml:space="preserve"> et al., 2017). </w:t>
      </w:r>
    </w:p>
    <w:p w:rsidRPr="00693BB1" w:rsidR="00CD2FFD" w:rsidP="00693BB1" w:rsidRDefault="00CD2FFD" w14:paraId="084580B4" w14:textId="0170C453">
      <w:pPr>
        <w:pStyle w:val="MellanrubrikVGR"/>
      </w:pPr>
      <w:r w:rsidRPr="005707AC">
        <w:t>PPH</w:t>
      </w:r>
    </w:p>
    <w:p w:rsidRPr="00693BB1" w:rsidR="00CD2FFD" w:rsidP="00693BB1" w:rsidRDefault="00CD2FFD" w14:paraId="6AFDA8B2" w14:textId="76FAD974">
      <w:r w:rsidRPr="005707AC">
        <w:t xml:space="preserve">I en svensk matchad kohortstudie (Rodriguez-Wallberg et al., 2019) förelåg en hög incidens av PPH &gt;1000ml i både OD och IVF-gruppen, 27.6 respektive </w:t>
      </w:r>
      <w:proofErr w:type="gramStart"/>
      <w:r w:rsidRPr="005707AC">
        <w:t>19.8</w:t>
      </w:r>
      <w:proofErr w:type="gramEnd"/>
      <w:r w:rsidRPr="005707AC">
        <w:t xml:space="preserve">%. Enligt data från Graviditetsregistret är den totala incidensen PPH i Sverige ca 7% vid vaginal förlossning och ca 11% vid förlossning med kejsarsnitt (https://www.medscinet.com/GR). Efter justering för relevanta störfaktorer påvisades i den ovannämnda svenska studien en signifikant ökad risk för PPH efter OD i jämförelse med IVF (AOR 1.59, 95% CI 1.11-2.27). I meta-analysen av </w:t>
      </w:r>
      <w:proofErr w:type="spellStart"/>
      <w:r w:rsidRPr="005707AC">
        <w:t>Storgaard</w:t>
      </w:r>
      <w:proofErr w:type="spellEnd"/>
      <w:r w:rsidRPr="005707AC">
        <w:t xml:space="preserve"> et al. varierade incidensen PPH i de inkluderade studierna, 4.2-</w:t>
      </w:r>
      <w:proofErr w:type="gramStart"/>
      <w:r w:rsidRPr="005707AC">
        <w:t>17.3</w:t>
      </w:r>
      <w:proofErr w:type="gramEnd"/>
      <w:r w:rsidRPr="005707AC">
        <w:t>% i OD-gruppen och 0.0-9.4% i IVF-gruppen vilket efter statistisk analys visade en signifikant ökad risk efter OD (AOR 2.40, 95% CI 1.49-3.88) (</w:t>
      </w:r>
      <w:proofErr w:type="spellStart"/>
      <w:r w:rsidRPr="005707AC">
        <w:t>Storgaard</w:t>
      </w:r>
      <w:proofErr w:type="spellEnd"/>
      <w:r w:rsidRPr="005707AC">
        <w:t xml:space="preserve"> et al., 2017). </w:t>
      </w:r>
    </w:p>
    <w:p w:rsidRPr="00693BB1" w:rsidR="00CD2FFD" w:rsidP="00693BB1" w:rsidRDefault="00CD2FFD" w14:paraId="7A92977E" w14:textId="2D923F54">
      <w:pPr>
        <w:pStyle w:val="MellanrubrikVGR"/>
      </w:pPr>
      <w:r w:rsidRPr="005707AC">
        <w:t>PTB (&lt;37 veckor)</w:t>
      </w:r>
    </w:p>
    <w:p w:rsidRPr="00693BB1" w:rsidR="00CD2FFD" w:rsidP="00693BB1" w:rsidRDefault="00CD2FFD" w14:paraId="404C0393" w14:textId="766D6987">
      <w:r w:rsidRPr="005707AC">
        <w:t xml:space="preserve">Flera stora studier visar att graviditeter efter assisterad befruktning har en ökad risk för förtidsbörd även efter justering för relevanta störfaktorer, </w:t>
      </w:r>
      <w:proofErr w:type="spellStart"/>
      <w:r w:rsidRPr="005707AC">
        <w:t>ffa</w:t>
      </w:r>
      <w:proofErr w:type="spellEnd"/>
      <w:r w:rsidRPr="005707AC">
        <w:t xml:space="preserve"> </w:t>
      </w:r>
      <w:proofErr w:type="spellStart"/>
      <w:r w:rsidRPr="005707AC">
        <w:t>maternell</w:t>
      </w:r>
      <w:proofErr w:type="spellEnd"/>
      <w:r w:rsidRPr="005707AC">
        <w:t xml:space="preserve"> ålder (</w:t>
      </w:r>
      <w:proofErr w:type="spellStart"/>
      <w:r w:rsidRPr="005707AC">
        <w:t>Qin</w:t>
      </w:r>
      <w:proofErr w:type="spellEnd"/>
      <w:r w:rsidRPr="005707AC">
        <w:t xml:space="preserve"> et al., 2017, </w:t>
      </w:r>
      <w:proofErr w:type="spellStart"/>
      <w:r w:rsidRPr="005707AC">
        <w:t>Pandey</w:t>
      </w:r>
      <w:proofErr w:type="spellEnd"/>
      <w:r w:rsidRPr="005707AC">
        <w:t xml:space="preserve"> et al., 2012, McDonald et al., 2009, Jackson et al., 2004, Helmerhorst et al., 2004). Graviditet efter OD innebär en ökad risk för PTB i jämförelse med graviditet efter IVF och spontan konception. De två nyligen publicerade meta-analyserna (Moreno-</w:t>
      </w:r>
      <w:proofErr w:type="spellStart"/>
      <w:r w:rsidRPr="005707AC">
        <w:t>Sepulveda</w:t>
      </w:r>
      <w:proofErr w:type="spellEnd"/>
      <w:r w:rsidRPr="005707AC">
        <w:t xml:space="preserve"> et al., 2019, </w:t>
      </w:r>
      <w:proofErr w:type="spellStart"/>
      <w:r w:rsidRPr="005707AC">
        <w:t>Storgaard</w:t>
      </w:r>
      <w:proofErr w:type="spellEnd"/>
      <w:r w:rsidRPr="005707AC">
        <w:t xml:space="preserve"> et al., 2017) visar på en </w:t>
      </w:r>
      <w:proofErr w:type="gramStart"/>
      <w:r w:rsidRPr="005707AC">
        <w:t>60-80</w:t>
      </w:r>
      <w:proofErr w:type="gramEnd"/>
      <w:r w:rsidRPr="005707AC">
        <w:t>% ökad risk i jämförelse med IVF-graviditeter, den äldre av meta-analyserna påvisar även en 230% ökad risk i förhållande till spontan konception. Frekvensen PTB varierar stort i de inkluderade studierna, 7.4-</w:t>
      </w:r>
      <w:proofErr w:type="gramStart"/>
      <w:r w:rsidRPr="005707AC">
        <w:t>34.2</w:t>
      </w:r>
      <w:proofErr w:type="gramEnd"/>
      <w:r w:rsidRPr="005707AC">
        <w:t xml:space="preserve">% för OD, 4.4-18.9% för IVF och 4.4-5.0% för SC.  </w:t>
      </w:r>
    </w:p>
    <w:p w:rsidRPr="00693BB1" w:rsidR="00CD2FFD" w:rsidP="00693BB1" w:rsidRDefault="00CD2FFD" w14:paraId="7A667BB1" w14:textId="7016BB6C">
      <w:pPr>
        <w:pStyle w:val="MellanrubrikVGR"/>
      </w:pPr>
      <w:r w:rsidRPr="005707AC">
        <w:t>Låg födelsevikt (&lt;2500 gram) och SGA</w:t>
      </w:r>
    </w:p>
    <w:p w:rsidRPr="00693BB1" w:rsidR="00CD2FFD" w:rsidP="00693BB1" w:rsidRDefault="00CD2FFD" w14:paraId="5FE75920" w14:textId="6C2910BB">
      <w:r w:rsidRPr="005707AC">
        <w:t>Assisterad befruktning är behäftat med en ökad risk för såväl låg födelsevikt som SGA (</w:t>
      </w:r>
      <w:proofErr w:type="spellStart"/>
      <w:r w:rsidRPr="005707AC">
        <w:t>Qin</w:t>
      </w:r>
      <w:proofErr w:type="spellEnd"/>
      <w:r w:rsidRPr="005707AC">
        <w:t xml:space="preserve"> et al., 2017, </w:t>
      </w:r>
      <w:proofErr w:type="spellStart"/>
      <w:r w:rsidRPr="005707AC">
        <w:t>Pandey</w:t>
      </w:r>
      <w:proofErr w:type="spellEnd"/>
      <w:r w:rsidRPr="005707AC">
        <w:t xml:space="preserve"> et al., 2012, McDonald et al., 2009, Jackson et al., 2004, Helmerhorst et al., 2004). Vid jämförelse av graviditeter efter OD med graviditeter efter IVF ses en signifikant ökad risk efter OD med AOR på 1.13-1.25 (Moreno-</w:t>
      </w:r>
      <w:proofErr w:type="spellStart"/>
      <w:r w:rsidRPr="005707AC">
        <w:t>Sepulveda</w:t>
      </w:r>
      <w:proofErr w:type="spellEnd"/>
      <w:r w:rsidRPr="005707AC">
        <w:t xml:space="preserve"> et al., 2019, </w:t>
      </w:r>
      <w:proofErr w:type="spellStart"/>
      <w:r w:rsidRPr="005707AC">
        <w:t>Storgaard</w:t>
      </w:r>
      <w:proofErr w:type="spellEnd"/>
      <w:r w:rsidRPr="005707AC">
        <w:t xml:space="preserve"> et al., 2017). Även i jämförelse med spontan konception ses en signifikant ökad risk (AOR 1.94, 95% CI 1.10-3.41) (</w:t>
      </w:r>
      <w:proofErr w:type="spellStart"/>
      <w:r w:rsidRPr="005707AC">
        <w:t>Storgaard</w:t>
      </w:r>
      <w:proofErr w:type="spellEnd"/>
      <w:r w:rsidRPr="005707AC">
        <w:t xml:space="preserve"> et al., 2017). Någon signifikant skillnad för SGA har inte påvisats vid jämförelse av OD-graviditeter efter med IVF-graviditeter eller i jämförelse med spontan graviditet (</w:t>
      </w:r>
      <w:proofErr w:type="spellStart"/>
      <w:r w:rsidRPr="005707AC">
        <w:t>Storgaard</w:t>
      </w:r>
      <w:proofErr w:type="spellEnd"/>
      <w:r w:rsidRPr="005707AC">
        <w:t xml:space="preserve"> et al., 2017). </w:t>
      </w:r>
    </w:p>
    <w:p w:rsidRPr="005707AC" w:rsidR="00CD2FFD" w:rsidP="00693BB1" w:rsidRDefault="00CD2FFD" w14:paraId="4952FFC9" w14:textId="77777777">
      <w:pPr>
        <w:pStyle w:val="Rubrik2"/>
      </w:pPr>
      <w:bookmarkStart w:name="_Toc133314687" w:id="10"/>
      <w:bookmarkStart w:name="_Toc191289954" w:id="11"/>
      <w:r w:rsidRPr="005707AC">
        <w:t>Ansvar</w:t>
      </w:r>
      <w:bookmarkEnd w:id="10"/>
      <w:bookmarkEnd w:id="11"/>
    </w:p>
    <w:p w:rsidRPr="005707AC" w:rsidR="00CD2FFD" w:rsidP="00693BB1" w:rsidRDefault="00CD2FFD" w14:paraId="102B8FB9" w14:textId="77777777">
      <w:r w:rsidRPr="005707AC">
        <w:t xml:space="preserve">Gäller för personal inom de enheter/verksamheter som berörs av rutinen. </w:t>
      </w:r>
    </w:p>
    <w:p w:rsidRPr="00693BB1" w:rsidR="00CD2FFD" w:rsidP="00693BB1" w:rsidRDefault="00CD2FFD" w14:paraId="06B85653" w14:textId="41202691">
      <w:r w:rsidRPr="005707AC">
        <w:t>Ansvarig för spridning och implementering har EC/VEC. Verksamhetschefen ansvarar för att rutinen finns och följer gällande författningar och lagar.</w:t>
      </w:r>
    </w:p>
    <w:p w:rsidRPr="005707AC" w:rsidR="00CD2FFD" w:rsidP="00693BB1" w:rsidRDefault="00CD2FFD" w14:paraId="68D4661F" w14:textId="77777777">
      <w:pPr>
        <w:pStyle w:val="Rubrik2"/>
      </w:pPr>
      <w:bookmarkStart w:name="_Toc133314688" w:id="12"/>
      <w:bookmarkStart w:name="_Toc191289955" w:id="13"/>
      <w:r w:rsidRPr="005707AC">
        <w:t>Uppföljning, utvärdering och revision</w:t>
      </w:r>
      <w:bookmarkEnd w:id="12"/>
      <w:bookmarkEnd w:id="13"/>
    </w:p>
    <w:p w:rsidRPr="005707AC" w:rsidR="00CD2FFD" w:rsidP="00693BB1" w:rsidRDefault="00CD2FFD" w14:paraId="375EA767" w14:textId="77777777">
      <w:pPr>
        <w:rPr>
          <w:highlight w:val="yellow"/>
        </w:rPr>
      </w:pPr>
      <w:r w:rsidRPr="005707AC">
        <w:t xml:space="preserve">Ansvarig för revision av rutin är Verksamhetsöverläkare (VÖL) </w:t>
      </w:r>
      <w:proofErr w:type="spellStart"/>
      <w:r w:rsidRPr="005707AC">
        <w:t>Spec</w:t>
      </w:r>
      <w:proofErr w:type="spellEnd"/>
      <w:r w:rsidRPr="005707AC">
        <w:t>-MVC.</w:t>
      </w:r>
    </w:p>
    <w:p w:rsidRPr="00693BB1" w:rsidR="00CD2FFD" w:rsidP="00693BB1" w:rsidRDefault="00CD2FFD" w14:paraId="182EB7EA" w14:textId="6331DBB6">
      <w:r w:rsidRPr="005707AC">
        <w:t xml:space="preserve">”Medvetet avsteg från rutinen dokumenteras i </w:t>
      </w:r>
      <w:proofErr w:type="spellStart"/>
      <w:r w:rsidRPr="005707AC">
        <w:t>Melior</w:t>
      </w:r>
      <w:proofErr w:type="spellEnd"/>
      <w:r w:rsidRPr="005707AC">
        <w:t xml:space="preserve"> om rutinen är kopplad till patient.” Övriga orsaker till avsteg från rutinen rapporteras i </w:t>
      </w:r>
      <w:proofErr w:type="spellStart"/>
      <w:r w:rsidRPr="005707AC">
        <w:t>MedControlPRO</w:t>
      </w:r>
      <w:proofErr w:type="spellEnd"/>
      <w:r w:rsidRPr="005707AC">
        <w:t>.”</w:t>
      </w:r>
    </w:p>
    <w:p w:rsidRPr="00146276" w:rsidR="00CD2FFD" w:rsidP="00693BB1" w:rsidRDefault="00CD2FFD" w14:paraId="2EA96600" w14:textId="77777777">
      <w:pPr>
        <w:pStyle w:val="Rubrik2"/>
      </w:pPr>
      <w:bookmarkStart w:name="_Toc133314690" w:id="14"/>
      <w:bookmarkStart w:name="_Toc191289956" w:id="15"/>
      <w:r w:rsidRPr="00DE7CAD">
        <w:t>Referenser</w:t>
      </w:r>
      <w:bookmarkEnd w:id="14"/>
      <w:bookmarkEnd w:id="15"/>
    </w:p>
    <w:p w:rsidRPr="005707AC" w:rsidR="00CD2FFD" w:rsidP="00693BB1" w:rsidRDefault="00CD2FFD" w14:paraId="22F884D1" w14:textId="40A5C536">
      <w:pPr>
        <w:rPr>
          <w:rFonts w:eastAsia="Calibri"/>
          <w:noProof/>
          <w:lang w:val="en-US" w:eastAsia="en-US"/>
        </w:rPr>
      </w:pPr>
      <w:r w:rsidRPr="00146276">
        <w:rPr>
          <w:rFonts w:eastAsia="Calibri"/>
          <w:noProof/>
          <w:lang w:eastAsia="en-US"/>
        </w:rPr>
        <w:t xml:space="preserve">Helmerhorst et al. </w:t>
      </w:r>
      <w:r w:rsidRPr="005707AC">
        <w:rPr>
          <w:rFonts w:eastAsia="Calibri"/>
          <w:noProof/>
          <w:lang w:val="en-US" w:eastAsia="en-US"/>
        </w:rPr>
        <w:t>Perinatal outcome of singletons and twins after assisted conception: a systematic review of controlled studies. BMJ 2004;328: 261.</w:t>
      </w:r>
    </w:p>
    <w:p w:rsidRPr="005707AC" w:rsidR="00CD2FFD" w:rsidP="00693BB1" w:rsidRDefault="00CD2FFD" w14:paraId="6F31E1A7" w14:textId="14CF538B">
      <w:pPr>
        <w:rPr>
          <w:rFonts w:eastAsia="Calibri"/>
          <w:noProof/>
          <w:lang w:eastAsia="en-US"/>
        </w:rPr>
      </w:pPr>
      <w:r w:rsidRPr="005707AC">
        <w:rPr>
          <w:rFonts w:eastAsia="Calibri"/>
          <w:noProof/>
          <w:lang w:val="en-US" w:eastAsia="en-US"/>
        </w:rPr>
        <w:t xml:space="preserve">Jackson et al. Perinatal outcomes in singletons following in vitro fertilization: a meta-analysis. </w:t>
      </w:r>
      <w:r w:rsidRPr="005707AC">
        <w:rPr>
          <w:rFonts w:eastAsia="Calibri"/>
          <w:noProof/>
          <w:lang w:eastAsia="en-US"/>
        </w:rPr>
        <w:t>Obstet Gynecol 2004;103: 551-563.</w:t>
      </w:r>
    </w:p>
    <w:p w:rsidR="00CD2FFD" w:rsidP="00693BB1" w:rsidRDefault="00CD2FFD" w14:paraId="1D4012BA" w14:textId="65EEB57A">
      <w:pPr>
        <w:rPr>
          <w:lang w:val="en-US"/>
        </w:rPr>
      </w:pPr>
      <w:proofErr w:type="spellStart"/>
      <w:r w:rsidRPr="005707AC">
        <w:t>Jonsdottir</w:t>
      </w:r>
      <w:proofErr w:type="spellEnd"/>
      <w:r w:rsidRPr="005707AC">
        <w:t xml:space="preserve">, I. Genomgång av 107 förlossningar hos 107 kvinnor gravida efter OD på KK/SU </w:t>
      </w:r>
      <w:proofErr w:type="gramStart"/>
      <w:r w:rsidRPr="005707AC">
        <w:t>2004- 2010</w:t>
      </w:r>
      <w:proofErr w:type="gramEnd"/>
      <w:r w:rsidRPr="005707AC">
        <w:t xml:space="preserve">. </w:t>
      </w:r>
      <w:r w:rsidRPr="005707AC">
        <w:rPr>
          <w:lang w:val="en-US"/>
        </w:rPr>
        <w:t>(</w:t>
      </w:r>
      <w:proofErr w:type="spellStart"/>
      <w:r w:rsidRPr="005707AC">
        <w:rPr>
          <w:lang w:val="en-US"/>
        </w:rPr>
        <w:t>personlig</w:t>
      </w:r>
      <w:proofErr w:type="spellEnd"/>
      <w:r w:rsidRPr="005707AC">
        <w:rPr>
          <w:lang w:val="en-US"/>
        </w:rPr>
        <w:t xml:space="preserve"> </w:t>
      </w:r>
      <w:proofErr w:type="spellStart"/>
      <w:r w:rsidRPr="005707AC">
        <w:rPr>
          <w:lang w:val="en-US"/>
        </w:rPr>
        <w:t>kommunikation</w:t>
      </w:r>
      <w:proofErr w:type="spellEnd"/>
      <w:r w:rsidRPr="005707AC">
        <w:rPr>
          <w:lang w:val="en-US"/>
        </w:rPr>
        <w:t>, 2012).</w:t>
      </w:r>
    </w:p>
    <w:p w:rsidRPr="005707AC" w:rsidR="00CD2FFD" w:rsidP="00693BB1" w:rsidRDefault="00CD2FFD" w14:paraId="32FF3278" w14:textId="4BCA615F">
      <w:pPr>
        <w:rPr>
          <w:lang w:val="en-US"/>
        </w:rPr>
      </w:pPr>
      <w:proofErr w:type="spellStart"/>
      <w:r>
        <w:rPr>
          <w:lang w:val="en-US"/>
        </w:rPr>
        <w:t>Keukens</w:t>
      </w:r>
      <w:proofErr w:type="spellEnd"/>
      <w:r>
        <w:rPr>
          <w:lang w:val="en-US"/>
        </w:rPr>
        <w:t xml:space="preserve"> et al. Pre-eclampsia in pregnancies resulting from oocyte donation, natural conception or IVF: a systematic review and meta-analysis. Hum </w:t>
      </w:r>
      <w:proofErr w:type="spellStart"/>
      <w:r>
        <w:rPr>
          <w:lang w:val="en-US"/>
        </w:rPr>
        <w:t>Reprod</w:t>
      </w:r>
      <w:proofErr w:type="spellEnd"/>
      <w:r>
        <w:rPr>
          <w:lang w:val="en-US"/>
        </w:rPr>
        <w:t xml:space="preserve"> 2022;37(3):586-599.</w:t>
      </w:r>
    </w:p>
    <w:p w:rsidRPr="005707AC" w:rsidR="00CD2FFD" w:rsidP="00693BB1" w:rsidRDefault="00CD2FFD" w14:paraId="48AFFD13" w14:textId="5D61C8F9">
      <w:pPr>
        <w:rPr>
          <w:lang w:val="en-US"/>
        </w:rPr>
      </w:pPr>
      <w:r w:rsidRPr="005707AC">
        <w:rPr>
          <w:lang w:val="en-US"/>
        </w:rPr>
        <w:t xml:space="preserve">Khatibi et al. Obstetric and neonatal outcome in women aged 50 years and up: A collaborative, Nordic population-based study. </w:t>
      </w:r>
      <w:proofErr w:type="spellStart"/>
      <w:r w:rsidRPr="005707AC">
        <w:rPr>
          <w:color w:val="212121"/>
          <w:shd w:val="clear" w:color="auto" w:fill="FFFFFF"/>
          <w:lang w:val="en-US"/>
        </w:rPr>
        <w:t>Eur</w:t>
      </w:r>
      <w:proofErr w:type="spellEnd"/>
      <w:r w:rsidRPr="005707AC">
        <w:rPr>
          <w:color w:val="212121"/>
          <w:shd w:val="clear" w:color="auto" w:fill="FFFFFF"/>
          <w:lang w:val="en-US"/>
        </w:rPr>
        <w:t xml:space="preserve"> J </w:t>
      </w:r>
      <w:proofErr w:type="spellStart"/>
      <w:r w:rsidRPr="005707AC">
        <w:rPr>
          <w:color w:val="212121"/>
          <w:shd w:val="clear" w:color="auto" w:fill="FFFFFF"/>
          <w:lang w:val="en-US"/>
        </w:rPr>
        <w:t>Obstet</w:t>
      </w:r>
      <w:proofErr w:type="spellEnd"/>
      <w:r w:rsidRPr="005707AC">
        <w:rPr>
          <w:color w:val="212121"/>
          <w:shd w:val="clear" w:color="auto" w:fill="FFFFFF"/>
          <w:lang w:val="en-US"/>
        </w:rPr>
        <w:t xml:space="preserve"> </w:t>
      </w:r>
      <w:proofErr w:type="spellStart"/>
      <w:r w:rsidRPr="005707AC">
        <w:rPr>
          <w:color w:val="212121"/>
          <w:shd w:val="clear" w:color="auto" w:fill="FFFFFF"/>
          <w:lang w:val="en-US"/>
        </w:rPr>
        <w:t>Gynecol</w:t>
      </w:r>
      <w:proofErr w:type="spellEnd"/>
      <w:r w:rsidRPr="005707AC">
        <w:rPr>
          <w:color w:val="212121"/>
          <w:shd w:val="clear" w:color="auto" w:fill="FFFFFF"/>
          <w:lang w:val="en-US"/>
        </w:rPr>
        <w:t xml:space="preserve"> </w:t>
      </w:r>
      <w:proofErr w:type="spellStart"/>
      <w:r w:rsidRPr="005707AC">
        <w:rPr>
          <w:color w:val="212121"/>
          <w:shd w:val="clear" w:color="auto" w:fill="FFFFFF"/>
          <w:lang w:val="en-US"/>
        </w:rPr>
        <w:t>Reprod</w:t>
      </w:r>
      <w:proofErr w:type="spellEnd"/>
      <w:r w:rsidRPr="005707AC">
        <w:rPr>
          <w:color w:val="212121"/>
          <w:shd w:val="clear" w:color="auto" w:fill="FFFFFF"/>
          <w:lang w:val="en-US"/>
        </w:rPr>
        <w:t xml:space="preserve"> Biol. 2018 </w:t>
      </w:r>
      <w:proofErr w:type="gramStart"/>
      <w:r w:rsidRPr="005707AC">
        <w:rPr>
          <w:color w:val="212121"/>
          <w:shd w:val="clear" w:color="auto" w:fill="FFFFFF"/>
          <w:lang w:val="en-US"/>
        </w:rPr>
        <w:t>May;224:17</w:t>
      </w:r>
      <w:proofErr w:type="gramEnd"/>
      <w:r w:rsidRPr="005707AC">
        <w:rPr>
          <w:color w:val="212121"/>
          <w:shd w:val="clear" w:color="auto" w:fill="FFFFFF"/>
          <w:lang w:val="en-US"/>
        </w:rPr>
        <w:t>-20</w:t>
      </w:r>
    </w:p>
    <w:p w:rsidRPr="005707AC" w:rsidR="00CD2FFD" w:rsidP="00693BB1" w:rsidRDefault="00CD2FFD" w14:paraId="07764E3F" w14:textId="7E002BB2">
      <w:pPr>
        <w:rPr>
          <w:lang w:val="en-US"/>
        </w:rPr>
      </w:pPr>
      <w:proofErr w:type="spellStart"/>
      <w:r w:rsidRPr="005707AC">
        <w:rPr>
          <w:lang w:val="en-US"/>
        </w:rPr>
        <w:t>Klatsky</w:t>
      </w:r>
      <w:proofErr w:type="spellEnd"/>
      <w:r w:rsidRPr="005707AC">
        <w:rPr>
          <w:lang w:val="en-US"/>
        </w:rPr>
        <w:t xml:space="preserve"> et al. The role of embryonic origin in preeclampsia: a comparison of autologous in vitro fertilization and ovum donor pregnancies. </w:t>
      </w:r>
      <w:proofErr w:type="spellStart"/>
      <w:r w:rsidRPr="005707AC">
        <w:rPr>
          <w:lang w:val="en-US"/>
        </w:rPr>
        <w:t>Obstet</w:t>
      </w:r>
      <w:proofErr w:type="spellEnd"/>
      <w:r w:rsidRPr="005707AC">
        <w:rPr>
          <w:lang w:val="en-US"/>
        </w:rPr>
        <w:t xml:space="preserve"> </w:t>
      </w:r>
      <w:proofErr w:type="spellStart"/>
      <w:r w:rsidRPr="005707AC">
        <w:rPr>
          <w:lang w:val="en-US"/>
        </w:rPr>
        <w:t>Gynecol</w:t>
      </w:r>
      <w:proofErr w:type="spellEnd"/>
      <w:r w:rsidRPr="005707AC">
        <w:rPr>
          <w:lang w:val="en-US"/>
        </w:rPr>
        <w:t xml:space="preserve"> 2010;116: 1387–92</w:t>
      </w:r>
    </w:p>
    <w:p w:rsidRPr="005707AC" w:rsidR="00CD2FFD" w:rsidP="00693BB1" w:rsidRDefault="00CD2FFD" w14:paraId="1F4DA699" w14:textId="353268B5">
      <w:pPr>
        <w:rPr>
          <w:lang w:val="en-US"/>
        </w:rPr>
      </w:pPr>
      <w:r w:rsidRPr="005707AC">
        <w:rPr>
          <w:lang w:val="en-US"/>
        </w:rPr>
        <w:t xml:space="preserve">Krieg et al. Obstetric outcome in donor oocyte pregnancies compared with advanced maternal age in in vitro fertilization pregnancies. </w:t>
      </w:r>
      <w:proofErr w:type="spellStart"/>
      <w:r w:rsidRPr="005707AC">
        <w:rPr>
          <w:lang w:val="en-US"/>
        </w:rPr>
        <w:t>Fertil</w:t>
      </w:r>
      <w:proofErr w:type="spellEnd"/>
      <w:r w:rsidRPr="005707AC">
        <w:rPr>
          <w:lang w:val="en-US"/>
        </w:rPr>
        <w:t xml:space="preserve"> </w:t>
      </w:r>
      <w:proofErr w:type="spellStart"/>
      <w:r w:rsidRPr="005707AC">
        <w:rPr>
          <w:lang w:val="en-US"/>
        </w:rPr>
        <w:t>Steril</w:t>
      </w:r>
      <w:proofErr w:type="spellEnd"/>
      <w:r w:rsidRPr="005707AC">
        <w:rPr>
          <w:lang w:val="en-US"/>
        </w:rPr>
        <w:t xml:space="preserve"> </w:t>
      </w:r>
      <w:proofErr w:type="gramStart"/>
      <w:r w:rsidRPr="005707AC">
        <w:rPr>
          <w:lang w:val="en-US"/>
        </w:rPr>
        <w:t>2008;90:65</w:t>
      </w:r>
      <w:proofErr w:type="gramEnd"/>
      <w:r w:rsidRPr="005707AC">
        <w:rPr>
          <w:lang w:val="en-US"/>
        </w:rPr>
        <w:t>–70.</w:t>
      </w:r>
    </w:p>
    <w:p w:rsidRPr="005707AC" w:rsidR="00CD2FFD" w:rsidP="00693BB1" w:rsidRDefault="00CD2FFD" w14:paraId="0784E969" w14:textId="1D1D7F76">
      <w:pPr>
        <w:rPr>
          <w:lang w:val="en-US"/>
        </w:rPr>
      </w:pPr>
      <w:r w:rsidRPr="005707AC">
        <w:rPr>
          <w:lang w:val="en-US"/>
        </w:rPr>
        <w:t xml:space="preserve">Malchau et al. Perinatal outcomes in 375 children born after oocyte donation: a Danish national cohort study. </w:t>
      </w:r>
      <w:proofErr w:type="spellStart"/>
      <w:r w:rsidRPr="005707AC">
        <w:rPr>
          <w:lang w:val="en-US"/>
        </w:rPr>
        <w:t>Fertil</w:t>
      </w:r>
      <w:proofErr w:type="spellEnd"/>
      <w:r w:rsidRPr="005707AC">
        <w:rPr>
          <w:lang w:val="en-US"/>
        </w:rPr>
        <w:t xml:space="preserve"> </w:t>
      </w:r>
      <w:proofErr w:type="spellStart"/>
      <w:r w:rsidRPr="005707AC">
        <w:rPr>
          <w:lang w:val="en-US"/>
        </w:rPr>
        <w:t>Steril</w:t>
      </w:r>
      <w:proofErr w:type="spellEnd"/>
      <w:r w:rsidRPr="005707AC">
        <w:rPr>
          <w:lang w:val="en-US"/>
        </w:rPr>
        <w:t xml:space="preserve">. </w:t>
      </w:r>
      <w:proofErr w:type="gramStart"/>
      <w:r w:rsidRPr="005707AC">
        <w:rPr>
          <w:lang w:val="en-US"/>
        </w:rPr>
        <w:t>2013;99:1637</w:t>
      </w:r>
      <w:proofErr w:type="gramEnd"/>
      <w:r w:rsidRPr="005707AC">
        <w:rPr>
          <w:lang w:val="en-US"/>
        </w:rPr>
        <w:t>–43.</w:t>
      </w:r>
    </w:p>
    <w:p w:rsidRPr="00146276" w:rsidR="00CD2FFD" w:rsidP="00693BB1" w:rsidRDefault="00CD2FFD" w14:paraId="0C94E674" w14:textId="56CD7F11">
      <w:pPr>
        <w:rPr>
          <w:lang w:val="es-ES"/>
        </w:rPr>
      </w:pPr>
      <w:r w:rsidRPr="005707AC">
        <w:rPr>
          <w:noProof/>
          <w:lang w:val="en-US"/>
        </w:rPr>
        <w:t xml:space="preserve">McDonald et al. Preterm birth and low birth weight among in vitro fertilization singletons: a systematic review and meta-analyses. </w:t>
      </w:r>
      <w:r w:rsidRPr="00146276">
        <w:rPr>
          <w:noProof/>
          <w:lang w:val="es-ES"/>
        </w:rPr>
        <w:t>Eur J Obstet Gynecol Reprod Biol 2009;146: 138-148.</w:t>
      </w:r>
    </w:p>
    <w:p w:rsidRPr="005707AC" w:rsidR="00CD2FFD" w:rsidP="00693BB1" w:rsidRDefault="00CD2FFD" w14:paraId="56D96FA2" w14:textId="3B4A9872">
      <w:pPr>
        <w:rPr>
          <w:color w:val="131413"/>
          <w:lang w:val="en-US"/>
        </w:rPr>
      </w:pPr>
      <w:r w:rsidRPr="00146276">
        <w:rPr>
          <w:color w:val="131413"/>
          <w:lang w:val="es-ES"/>
        </w:rPr>
        <w:t xml:space="preserve">Moreno - Sepulveda et al. </w:t>
      </w:r>
      <w:r w:rsidRPr="005707AC">
        <w:rPr>
          <w:color w:val="131413"/>
          <w:lang w:val="en-US"/>
        </w:rPr>
        <w:t xml:space="preserve">Risk of adverse perinatal outcomes after oocyte donation: a systematic review and meta-analysis. J Assist </w:t>
      </w:r>
      <w:proofErr w:type="spellStart"/>
      <w:r w:rsidRPr="005707AC">
        <w:rPr>
          <w:color w:val="131413"/>
          <w:lang w:val="en-US"/>
        </w:rPr>
        <w:t>Reprod</w:t>
      </w:r>
      <w:proofErr w:type="spellEnd"/>
      <w:r w:rsidRPr="005707AC">
        <w:rPr>
          <w:color w:val="131413"/>
          <w:lang w:val="en-US"/>
        </w:rPr>
        <w:t xml:space="preserve"> Genet. 2019 Oct;36(10):2017-2037. </w:t>
      </w:r>
    </w:p>
    <w:p w:rsidRPr="005707AC" w:rsidR="00CD2FFD" w:rsidP="00693BB1" w:rsidRDefault="00CD2FFD" w14:paraId="6E9C6DEB" w14:textId="77777777">
      <w:pPr>
        <w:rPr>
          <w:color w:val="231F20"/>
          <w:lang w:val="en-US"/>
        </w:rPr>
      </w:pPr>
      <w:r w:rsidRPr="005707AC">
        <w:rPr>
          <w:color w:val="231F20"/>
          <w:lang w:val="en-US"/>
        </w:rPr>
        <w:t>High risks of maternal and perinatal</w:t>
      </w:r>
    </w:p>
    <w:p w:rsidRPr="005707AC" w:rsidR="00CD2FFD" w:rsidP="00693BB1" w:rsidRDefault="00CD2FFD" w14:paraId="0231C8EF" w14:textId="77777777">
      <w:pPr>
        <w:rPr>
          <w:color w:val="231F20"/>
          <w:lang w:val="en-US"/>
        </w:rPr>
      </w:pPr>
      <w:r w:rsidRPr="005707AC">
        <w:rPr>
          <w:color w:val="231F20"/>
          <w:lang w:val="en-US"/>
        </w:rPr>
        <w:t>complications in singletons born after oocyte</w:t>
      </w:r>
    </w:p>
    <w:p w:rsidRPr="005707AC" w:rsidR="00CD2FFD" w:rsidP="00693BB1" w:rsidRDefault="00CD2FFD" w14:paraId="4AF63657" w14:textId="77777777">
      <w:pPr>
        <w:rPr>
          <w:color w:val="231F20"/>
          <w:lang w:val="en-US"/>
        </w:rPr>
      </w:pPr>
      <w:r w:rsidRPr="005707AC">
        <w:rPr>
          <w:color w:val="231F20"/>
          <w:lang w:val="en-US"/>
        </w:rPr>
        <w:t xml:space="preserve">donation. Acta </w:t>
      </w:r>
      <w:proofErr w:type="spellStart"/>
      <w:r w:rsidRPr="005707AC">
        <w:rPr>
          <w:color w:val="231F20"/>
          <w:lang w:val="en-US"/>
        </w:rPr>
        <w:t>Obstet</w:t>
      </w:r>
      <w:proofErr w:type="spellEnd"/>
      <w:r w:rsidRPr="005707AC">
        <w:rPr>
          <w:color w:val="231F20"/>
          <w:lang w:val="en-US"/>
        </w:rPr>
        <w:t xml:space="preserve"> </w:t>
      </w:r>
      <w:proofErr w:type="spellStart"/>
      <w:r w:rsidRPr="005707AC">
        <w:rPr>
          <w:color w:val="231F20"/>
          <w:lang w:val="en-US"/>
        </w:rPr>
        <w:t>Gynecol</w:t>
      </w:r>
      <w:proofErr w:type="spellEnd"/>
      <w:r w:rsidRPr="005707AC">
        <w:rPr>
          <w:color w:val="231F20"/>
          <w:lang w:val="en-US"/>
        </w:rPr>
        <w:t xml:space="preserve"> </w:t>
      </w:r>
      <w:proofErr w:type="spellStart"/>
      <w:r w:rsidRPr="005707AC">
        <w:rPr>
          <w:color w:val="231F20"/>
          <w:lang w:val="en-US"/>
        </w:rPr>
        <w:t>Scand</w:t>
      </w:r>
      <w:proofErr w:type="spellEnd"/>
      <w:r w:rsidRPr="005707AC">
        <w:rPr>
          <w:color w:val="231F20"/>
          <w:lang w:val="en-US"/>
        </w:rPr>
        <w:t xml:space="preserve"> 2016</w:t>
      </w:r>
    </w:p>
    <w:p w:rsidRPr="005707AC" w:rsidR="00CD2FFD" w:rsidP="00693BB1" w:rsidRDefault="00CD2FFD" w14:paraId="628F8651" w14:textId="77777777">
      <w:pPr>
        <w:rPr>
          <w:color w:val="231F20"/>
          <w:lang w:val="en-US"/>
        </w:rPr>
      </w:pPr>
      <w:r w:rsidRPr="005707AC">
        <w:rPr>
          <w:color w:val="231F20"/>
          <w:lang w:val="en-US"/>
        </w:rPr>
        <w:t>High risks of maternal and perinatal</w:t>
      </w:r>
    </w:p>
    <w:p w:rsidRPr="005707AC" w:rsidR="00CD2FFD" w:rsidP="00693BB1" w:rsidRDefault="00CD2FFD" w14:paraId="3720B2AF" w14:textId="77777777">
      <w:pPr>
        <w:rPr>
          <w:color w:val="231F20"/>
          <w:lang w:val="en-US"/>
        </w:rPr>
      </w:pPr>
      <w:r w:rsidRPr="005707AC">
        <w:rPr>
          <w:color w:val="231F20"/>
          <w:lang w:val="en-US"/>
        </w:rPr>
        <w:t>complications in singletons born after oocyte</w:t>
      </w:r>
    </w:p>
    <w:p w:rsidRPr="005707AC" w:rsidR="00CD2FFD" w:rsidP="00693BB1" w:rsidRDefault="00CD2FFD" w14:paraId="7C73B491" w14:textId="77777777">
      <w:pPr>
        <w:rPr>
          <w:color w:val="231F20"/>
          <w:lang w:val="en-US"/>
        </w:rPr>
      </w:pPr>
      <w:r w:rsidRPr="005707AC">
        <w:rPr>
          <w:color w:val="231F20"/>
          <w:lang w:val="en-US"/>
        </w:rPr>
        <w:t xml:space="preserve">donation. Acta </w:t>
      </w:r>
      <w:proofErr w:type="spellStart"/>
      <w:r w:rsidRPr="005707AC">
        <w:rPr>
          <w:color w:val="231F20"/>
          <w:lang w:val="en-US"/>
        </w:rPr>
        <w:t>Obstet</w:t>
      </w:r>
      <w:proofErr w:type="spellEnd"/>
      <w:r w:rsidRPr="005707AC">
        <w:rPr>
          <w:color w:val="231F20"/>
          <w:lang w:val="en-US"/>
        </w:rPr>
        <w:t xml:space="preserve"> </w:t>
      </w:r>
      <w:proofErr w:type="spellStart"/>
      <w:r w:rsidRPr="005707AC">
        <w:rPr>
          <w:color w:val="231F20"/>
          <w:lang w:val="en-US"/>
        </w:rPr>
        <w:t>Gynecol</w:t>
      </w:r>
      <w:proofErr w:type="spellEnd"/>
      <w:r w:rsidRPr="005707AC">
        <w:rPr>
          <w:color w:val="231F20"/>
          <w:lang w:val="en-US"/>
        </w:rPr>
        <w:t xml:space="preserve"> </w:t>
      </w:r>
      <w:proofErr w:type="spellStart"/>
      <w:r w:rsidRPr="005707AC">
        <w:rPr>
          <w:color w:val="231F20"/>
          <w:lang w:val="en-US"/>
        </w:rPr>
        <w:t>Scand</w:t>
      </w:r>
      <w:proofErr w:type="spellEnd"/>
      <w:r w:rsidRPr="005707AC">
        <w:rPr>
          <w:color w:val="231F20"/>
          <w:lang w:val="en-US"/>
        </w:rPr>
        <w:t xml:space="preserve"> 2016</w:t>
      </w:r>
    </w:p>
    <w:p w:rsidRPr="005707AC" w:rsidR="00CD2FFD" w:rsidP="00693BB1" w:rsidRDefault="00CD2FFD" w14:paraId="0F2CB801" w14:textId="39933FF9">
      <w:pPr>
        <w:rPr>
          <w:color w:val="131413"/>
          <w:lang w:val="en-US"/>
        </w:rPr>
      </w:pPr>
      <w:proofErr w:type="spellStart"/>
      <w:r w:rsidRPr="005707AC">
        <w:rPr>
          <w:color w:val="131413"/>
          <w:lang w:val="en-US"/>
        </w:rPr>
        <w:t>Nejdet</w:t>
      </w:r>
      <w:proofErr w:type="spellEnd"/>
      <w:r w:rsidRPr="005707AC">
        <w:rPr>
          <w:color w:val="131413"/>
          <w:lang w:val="en-US"/>
        </w:rPr>
        <w:t xml:space="preserve"> et al. High risk of maternal and perinatal complications in singletons born after oocyte donation. Acta </w:t>
      </w:r>
      <w:proofErr w:type="spellStart"/>
      <w:r w:rsidRPr="005707AC">
        <w:rPr>
          <w:color w:val="131413"/>
          <w:lang w:val="en-US"/>
        </w:rPr>
        <w:t>Obstet</w:t>
      </w:r>
      <w:proofErr w:type="spellEnd"/>
      <w:r w:rsidRPr="005707AC">
        <w:rPr>
          <w:color w:val="131413"/>
          <w:lang w:val="en-US"/>
        </w:rPr>
        <w:t xml:space="preserve"> </w:t>
      </w:r>
      <w:proofErr w:type="spellStart"/>
      <w:r w:rsidRPr="005707AC">
        <w:rPr>
          <w:color w:val="131413"/>
          <w:lang w:val="en-US"/>
        </w:rPr>
        <w:t>Gynecol</w:t>
      </w:r>
      <w:proofErr w:type="spellEnd"/>
      <w:r w:rsidRPr="005707AC">
        <w:rPr>
          <w:color w:val="131413"/>
          <w:lang w:val="en-US"/>
        </w:rPr>
        <w:t xml:space="preserve"> </w:t>
      </w:r>
      <w:proofErr w:type="spellStart"/>
      <w:r w:rsidRPr="005707AC">
        <w:rPr>
          <w:color w:val="131413"/>
          <w:lang w:val="en-US"/>
        </w:rPr>
        <w:t>Scand</w:t>
      </w:r>
      <w:proofErr w:type="spellEnd"/>
      <w:r w:rsidRPr="005707AC">
        <w:rPr>
          <w:color w:val="131413"/>
          <w:lang w:val="en-US"/>
        </w:rPr>
        <w:t xml:space="preserve"> </w:t>
      </w:r>
      <w:proofErr w:type="gramStart"/>
      <w:r w:rsidRPr="005707AC">
        <w:rPr>
          <w:color w:val="131413"/>
          <w:lang w:val="en-US"/>
        </w:rPr>
        <w:t>2016;95:879</w:t>
      </w:r>
      <w:proofErr w:type="gramEnd"/>
      <w:r w:rsidRPr="005707AC">
        <w:rPr>
          <w:color w:val="131413"/>
          <w:lang w:val="en-US"/>
        </w:rPr>
        <w:t xml:space="preserve">-886. </w:t>
      </w:r>
    </w:p>
    <w:p w:rsidRPr="005707AC" w:rsidR="00CD2FFD" w:rsidP="00693BB1" w:rsidRDefault="00CD2FFD" w14:paraId="10273292" w14:textId="0D64DAB5">
      <w:pPr>
        <w:rPr>
          <w:noProof/>
          <w:lang w:val="en-US"/>
        </w:rPr>
      </w:pPr>
      <w:r w:rsidRPr="005707AC">
        <w:rPr>
          <w:noProof/>
          <w:lang w:val="en-US"/>
        </w:rPr>
        <w:t>Pandey et al. Obstetric and perinatal outcomes in singleton pregnancies resulting from IVF/ICSI: a systematic review and meta-analysis. Hum Reprod Update 2012;18: 485-503.</w:t>
      </w:r>
    </w:p>
    <w:p w:rsidRPr="00693BB1" w:rsidR="00CD2FFD" w:rsidP="00693BB1" w:rsidRDefault="00CD2FFD" w14:paraId="04D46594" w14:textId="4578E002">
      <w:pPr>
        <w:rPr>
          <w:rFonts w:eastAsia="MS Mincho"/>
          <w:noProof/>
          <w:lang w:val="en-GB"/>
        </w:rPr>
      </w:pPr>
      <w:r w:rsidRPr="005707AC">
        <w:rPr>
          <w:rFonts w:eastAsia="MS Mincho"/>
          <w:lang w:val="en-GB"/>
        </w:rPr>
        <w:t>Qin et al.</w:t>
      </w:r>
      <w:r w:rsidRPr="005707AC">
        <w:rPr>
          <w:rFonts w:eastAsia="MS Mincho"/>
          <w:noProof/>
          <w:lang w:val="en-GB"/>
        </w:rPr>
        <w:t xml:space="preserve"> Assisted reproductive technology and the risk of pregnancy-related complications and adverse pregnancy outcomes in singleton pregnancies: a meta-analysis of cohort studies. Fertil Steril 2016;105.</w:t>
      </w:r>
    </w:p>
    <w:p w:rsidRPr="00DE7CAD" w:rsidR="00CD2FFD" w:rsidP="00693BB1" w:rsidRDefault="00CD2FFD" w14:paraId="1814AADB" w14:textId="4274B461">
      <w:pPr>
        <w:rPr>
          <w:rFonts w:eastAsia="MS Mincho"/>
          <w:noProof/>
        </w:rPr>
      </w:pPr>
      <w:r w:rsidRPr="005707AC">
        <w:rPr>
          <w:rFonts w:eastAsia="MS Mincho"/>
          <w:noProof/>
          <w:lang w:val="en-GB"/>
        </w:rPr>
        <w:t xml:space="preserve">Qin et al. Worldwide prevalence of adverse pregnancy outcomes among singleton pregnancies after in vitro fertilization/intracytoplasmic sperm injection: a systematic review and meta-analysis. </w:t>
      </w:r>
      <w:r w:rsidRPr="00DE7CAD">
        <w:rPr>
          <w:rFonts w:eastAsia="MS Mincho"/>
          <w:noProof/>
        </w:rPr>
        <w:t>Arch Gynecol Obstet 2017;295: 285-301.</w:t>
      </w:r>
    </w:p>
    <w:p w:rsidRPr="00955BAB" w:rsidR="02A88497" w:rsidP="7901A19D" w:rsidRDefault="02A88497" w14:paraId="6C6999BD" w14:textId="503BFB18">
      <w:pPr>
        <w:spacing w:after="160" w:line="257" w:lineRule="auto"/>
        <w:rPr>
          <w:rStyle w:val="Hyperlnk"/>
          <w:noProof/>
          <w:color w:val="467886"/>
        </w:rPr>
      </w:pPr>
      <w:r w:rsidRPr="00955BAB">
        <w:rPr>
          <w:noProof/>
        </w:rPr>
        <w:t xml:space="preserve">Q-IVF Nationella kvalitetsregistret för </w:t>
      </w:r>
      <w:r w:rsidRPr="00955BAB" w:rsidR="61499058">
        <w:rPr>
          <w:noProof/>
        </w:rPr>
        <w:t>assisterad befruktning</w:t>
      </w:r>
      <w:r w:rsidRPr="00955BAB">
        <w:rPr>
          <w:noProof/>
        </w:rPr>
        <w:t xml:space="preserve"> </w:t>
      </w:r>
      <w:hyperlink r:id="rId19">
        <w:r w:rsidRPr="00955BAB">
          <w:rPr>
            <w:rStyle w:val="Hyperlnk"/>
            <w:noProof/>
            <w:color w:val="467886"/>
          </w:rPr>
          <w:t>Q-IVF: Årsrapport 2024</w:t>
        </w:r>
      </w:hyperlink>
    </w:p>
    <w:p w:rsidRPr="005707AC" w:rsidR="00CD2FFD" w:rsidP="00693BB1" w:rsidRDefault="00CD2FFD" w14:paraId="3B3C3F83" w14:textId="0AA4DD33">
      <w:pPr>
        <w:rPr>
          <w:lang w:val="en-US"/>
        </w:rPr>
      </w:pPr>
      <w:r w:rsidRPr="005707AC">
        <w:rPr>
          <w:lang w:val="en-US"/>
        </w:rPr>
        <w:t>Rodriguez-</w:t>
      </w:r>
      <w:proofErr w:type="spellStart"/>
      <w:r w:rsidRPr="005707AC">
        <w:rPr>
          <w:lang w:val="en-US"/>
        </w:rPr>
        <w:t>Wallberg</w:t>
      </w:r>
      <w:proofErr w:type="spellEnd"/>
      <w:r w:rsidRPr="005707AC">
        <w:rPr>
          <w:lang w:val="en-US"/>
        </w:rPr>
        <w:t xml:space="preserve"> et al. Increased incidence of obstetric and perinatal complications in pregnancies achieved using donor oocytes and single embryo transfer in young and healthy women. A prospective hospital-based matched cohort study, </w:t>
      </w:r>
      <w:proofErr w:type="spellStart"/>
      <w:r w:rsidRPr="005707AC">
        <w:rPr>
          <w:lang w:val="en-US"/>
        </w:rPr>
        <w:t>Gynecol</w:t>
      </w:r>
      <w:proofErr w:type="spellEnd"/>
      <w:r w:rsidRPr="005707AC">
        <w:rPr>
          <w:lang w:val="en-US"/>
        </w:rPr>
        <w:t xml:space="preserve"> Endocrinol. 2019.; 35:4, 314-319</w:t>
      </w:r>
    </w:p>
    <w:p w:rsidRPr="005707AC" w:rsidR="00CD2FFD" w:rsidP="00693BB1" w:rsidRDefault="00CD2FFD" w14:paraId="45A077C5" w14:textId="62CB3ACE">
      <w:pPr>
        <w:rPr>
          <w:lang w:val="en-US"/>
        </w:rPr>
      </w:pPr>
      <w:r w:rsidRPr="005707AC">
        <w:rPr>
          <w:lang w:val="en-US"/>
        </w:rPr>
        <w:t xml:space="preserve">Stoop et al. Obstetric outcome in donor oocyte pregnancies: a matched-pair analysis. </w:t>
      </w:r>
      <w:proofErr w:type="spellStart"/>
      <w:r w:rsidRPr="005707AC">
        <w:rPr>
          <w:lang w:val="en-US"/>
        </w:rPr>
        <w:t>Reprod</w:t>
      </w:r>
      <w:proofErr w:type="spellEnd"/>
      <w:r w:rsidRPr="005707AC">
        <w:rPr>
          <w:lang w:val="en-US"/>
        </w:rPr>
        <w:t xml:space="preserve"> Biol Endocrinol RBE. </w:t>
      </w:r>
      <w:proofErr w:type="gramStart"/>
      <w:r w:rsidRPr="005707AC">
        <w:rPr>
          <w:lang w:val="en-US"/>
        </w:rPr>
        <w:t>2012;10:42</w:t>
      </w:r>
      <w:proofErr w:type="gramEnd"/>
      <w:r w:rsidRPr="005707AC">
        <w:rPr>
          <w:lang w:val="en-US"/>
        </w:rPr>
        <w:t>.</w:t>
      </w:r>
    </w:p>
    <w:p w:rsidRPr="005707AC" w:rsidR="00CD2FFD" w:rsidP="00693BB1" w:rsidRDefault="00CD2FFD" w14:paraId="31E5FD43" w14:textId="1B780F38">
      <w:pPr>
        <w:rPr>
          <w:lang w:val="en-US"/>
        </w:rPr>
      </w:pPr>
      <w:proofErr w:type="spellStart"/>
      <w:r w:rsidRPr="005707AC">
        <w:rPr>
          <w:lang w:val="en-US"/>
        </w:rPr>
        <w:t>Storgaard</w:t>
      </w:r>
      <w:proofErr w:type="spellEnd"/>
      <w:r w:rsidRPr="005707AC">
        <w:rPr>
          <w:lang w:val="en-US"/>
        </w:rPr>
        <w:t xml:space="preserve"> et al. Obstetric and neonatal complications in pregnancies conceived after oocyte donation: a systematic review and meta-analysis. BJOG. 2017 Mar;124(4);561-572. </w:t>
      </w:r>
    </w:p>
    <w:p w:rsidRPr="005707AC" w:rsidR="00CD2FFD" w:rsidP="00693BB1" w:rsidRDefault="00CD2FFD" w14:paraId="1220CBD6" w14:textId="537E2E35">
      <w:pPr>
        <w:rPr>
          <w:lang w:val="en-US"/>
        </w:rPr>
      </w:pPr>
      <w:r w:rsidRPr="005707AC">
        <w:rPr>
          <w:lang w:val="en-US"/>
        </w:rPr>
        <w:t>Söderström-</w:t>
      </w:r>
      <w:proofErr w:type="spellStart"/>
      <w:r w:rsidRPr="005707AC">
        <w:rPr>
          <w:lang w:val="en-US"/>
        </w:rPr>
        <w:t>Anttila</w:t>
      </w:r>
      <w:proofErr w:type="spellEnd"/>
      <w:r w:rsidRPr="005707AC">
        <w:rPr>
          <w:lang w:val="en-US"/>
        </w:rPr>
        <w:t xml:space="preserve"> et al. Obstetric and perinatal outcome after oocyte donation: comparison with invitro fertilization pregnancies. Hum Reprod.1998;13(2):483-490.</w:t>
      </w:r>
    </w:p>
    <w:p w:rsidRPr="005707AC" w:rsidR="00CD2FFD" w:rsidP="00693BB1" w:rsidRDefault="00CD2FFD" w14:paraId="09C740E5" w14:textId="230219B9">
      <w:pPr>
        <w:rPr>
          <w:lang w:val="en-US"/>
        </w:rPr>
      </w:pPr>
      <w:r w:rsidRPr="005707AC">
        <w:rPr>
          <w:lang w:val="en-US"/>
        </w:rPr>
        <w:t>Söderström-</w:t>
      </w:r>
      <w:proofErr w:type="spellStart"/>
      <w:r w:rsidRPr="005707AC">
        <w:rPr>
          <w:lang w:val="en-US"/>
        </w:rPr>
        <w:t>Anttila</w:t>
      </w:r>
      <w:proofErr w:type="spellEnd"/>
      <w:r w:rsidRPr="005707AC">
        <w:rPr>
          <w:lang w:val="en-US"/>
        </w:rPr>
        <w:t xml:space="preserve">. Pregnancy and child outcome after oocyte donation. Hum </w:t>
      </w:r>
      <w:proofErr w:type="spellStart"/>
      <w:r w:rsidRPr="005707AC">
        <w:rPr>
          <w:lang w:val="en-US"/>
        </w:rPr>
        <w:t>Reprod</w:t>
      </w:r>
      <w:proofErr w:type="spellEnd"/>
      <w:r w:rsidRPr="005707AC">
        <w:rPr>
          <w:lang w:val="en-US"/>
        </w:rPr>
        <w:t>. 2001;7(1):28-32.</w:t>
      </w:r>
    </w:p>
    <w:p w:rsidRPr="005707AC" w:rsidR="00CD2FFD" w:rsidP="00693BB1" w:rsidRDefault="00CD2FFD" w14:paraId="7C87312C" w14:textId="0354D23D">
      <w:pPr>
        <w:rPr>
          <w:lang w:val="en-US"/>
        </w:rPr>
      </w:pPr>
      <w:r w:rsidRPr="005707AC">
        <w:rPr>
          <w:lang w:val="en-US"/>
        </w:rPr>
        <w:t xml:space="preserve">van Dorp et al. Pregnancy outcome of </w:t>
      </w:r>
      <w:proofErr w:type="spellStart"/>
      <w:r w:rsidRPr="005707AC">
        <w:rPr>
          <w:lang w:val="en-US"/>
        </w:rPr>
        <w:t>nonanonymous</w:t>
      </w:r>
      <w:proofErr w:type="spellEnd"/>
      <w:r w:rsidRPr="005707AC">
        <w:rPr>
          <w:lang w:val="en-US"/>
        </w:rPr>
        <w:t xml:space="preserve"> oocyte donation: a case-control study. </w:t>
      </w:r>
      <w:proofErr w:type="spellStart"/>
      <w:r w:rsidRPr="005707AC">
        <w:rPr>
          <w:lang w:val="en-US"/>
        </w:rPr>
        <w:t>Eur</w:t>
      </w:r>
      <w:proofErr w:type="spellEnd"/>
      <w:r w:rsidRPr="005707AC">
        <w:rPr>
          <w:lang w:val="en-US"/>
        </w:rPr>
        <w:t xml:space="preserve"> J </w:t>
      </w:r>
      <w:proofErr w:type="spellStart"/>
      <w:r w:rsidRPr="005707AC">
        <w:rPr>
          <w:lang w:val="en-US"/>
        </w:rPr>
        <w:t>Obstet</w:t>
      </w:r>
      <w:proofErr w:type="spellEnd"/>
      <w:r w:rsidRPr="005707AC">
        <w:rPr>
          <w:lang w:val="en-US"/>
        </w:rPr>
        <w:t xml:space="preserve"> </w:t>
      </w:r>
      <w:proofErr w:type="spellStart"/>
      <w:r w:rsidRPr="005707AC">
        <w:rPr>
          <w:lang w:val="en-US"/>
        </w:rPr>
        <w:t>Gynecol</w:t>
      </w:r>
      <w:proofErr w:type="spellEnd"/>
      <w:r w:rsidRPr="005707AC">
        <w:rPr>
          <w:lang w:val="en-US"/>
        </w:rPr>
        <w:t xml:space="preserve"> </w:t>
      </w:r>
      <w:proofErr w:type="spellStart"/>
      <w:r w:rsidRPr="005707AC">
        <w:rPr>
          <w:lang w:val="en-US"/>
        </w:rPr>
        <w:t>Reprod</w:t>
      </w:r>
      <w:proofErr w:type="spellEnd"/>
      <w:r w:rsidRPr="005707AC">
        <w:rPr>
          <w:lang w:val="en-US"/>
        </w:rPr>
        <w:t xml:space="preserve"> Biol. </w:t>
      </w:r>
      <w:proofErr w:type="gramStart"/>
      <w:r w:rsidRPr="005707AC">
        <w:rPr>
          <w:lang w:val="en-US"/>
        </w:rPr>
        <w:t>2014;182:107</w:t>
      </w:r>
      <w:proofErr w:type="gramEnd"/>
      <w:r w:rsidRPr="005707AC">
        <w:rPr>
          <w:lang w:val="en-US"/>
        </w:rPr>
        <w:t>–12.</w:t>
      </w:r>
    </w:p>
    <w:p w:rsidRPr="005707AC" w:rsidR="00CD2FFD" w:rsidP="00693BB1" w:rsidRDefault="00CD2FFD" w14:paraId="7ADE992B" w14:textId="45F8BE95">
      <w:pPr>
        <w:rPr>
          <w:noProof/>
          <w:lang w:val="en-US"/>
        </w:rPr>
      </w:pPr>
      <w:r w:rsidRPr="005707AC">
        <w:rPr>
          <w:noProof/>
          <w:lang w:val="en-US"/>
        </w:rPr>
        <w:t>Vermey et al. Are singleton pregnancies after assisted reproduction technology (ART) associated with a higher risk of placental anomalies compared with non-ART singleton pregnancies? A systematic review and meta-analysis. BJOG. 2019;126: 209-218.</w:t>
      </w:r>
    </w:p>
    <w:p w:rsidR="00CD2FFD" w:rsidP="00932882" w:rsidRDefault="00CD2FFD" w14:paraId="364EEF8E" w14:textId="6D5195EB">
      <w:r w:rsidRPr="005707AC">
        <w:rPr>
          <w:lang w:val="en-US"/>
        </w:rPr>
        <w:t xml:space="preserve">Wiggins and Main. Outcomes of pregnancies achieved by donor egg in vitro fertilization – A comparison with standard in vitro fertilization pregnancies. </w:t>
      </w:r>
      <w:proofErr w:type="spellStart"/>
      <w:r w:rsidRPr="005707AC">
        <w:t>Am</w:t>
      </w:r>
      <w:proofErr w:type="spellEnd"/>
      <w:r w:rsidRPr="005707AC">
        <w:t xml:space="preserve"> J </w:t>
      </w:r>
      <w:proofErr w:type="spellStart"/>
      <w:r w:rsidRPr="005707AC">
        <w:t>Obstet</w:t>
      </w:r>
      <w:proofErr w:type="spellEnd"/>
      <w:r w:rsidRPr="005707AC">
        <w:t xml:space="preserve"> </w:t>
      </w:r>
      <w:proofErr w:type="spellStart"/>
      <w:r w:rsidRPr="005707AC">
        <w:t>Gynecol</w:t>
      </w:r>
      <w:proofErr w:type="spellEnd"/>
      <w:r w:rsidRPr="005707AC">
        <w:t xml:space="preserve">. </w:t>
      </w:r>
      <w:proofErr w:type="gramStart"/>
      <w:r w:rsidRPr="005707AC">
        <w:t>2005;192:2002</w:t>
      </w:r>
      <w:proofErr w:type="gramEnd"/>
      <w:r w:rsidRPr="005707AC">
        <w:t>-2008.</w:t>
      </w:r>
    </w:p>
    <w:p w:rsidR="00932882" w:rsidP="00932882" w:rsidRDefault="00932882" w14:paraId="5ADD9F64" w14:textId="34E966DB">
      <w:pPr>
        <w:pStyle w:val="Rubrik2"/>
      </w:pPr>
      <w:bookmarkStart w:name="_Toc191289957" w:id="16"/>
      <w:r>
        <w:t>Medicinsk rådgivare</w:t>
      </w:r>
      <w:bookmarkEnd w:id="16"/>
    </w:p>
    <w:p w:rsidRPr="00932882" w:rsidR="00932882" w:rsidP="00932882" w:rsidRDefault="00932882" w14:paraId="35206CB2" w14:textId="4AE016EE">
      <w:r>
        <w:t>Mårten Alkmark, medicinsk ledningsansvarig, sektionschef Obstetrik SU</w:t>
      </w:r>
    </w:p>
    <w:p w:rsidRPr="005707AC" w:rsidR="00CD2FFD" w:rsidP="00693BB1" w:rsidRDefault="00CD2FFD" w14:paraId="0D48FA93" w14:textId="77777777">
      <w:pPr>
        <w:pStyle w:val="Rubrik2"/>
        <w:rPr>
          <w:sz w:val="20"/>
        </w:rPr>
      </w:pPr>
      <w:bookmarkStart w:name="_Toc133314691" w:id="17"/>
      <w:bookmarkStart w:name="_Toc191289958" w:id="18"/>
      <w:r w:rsidRPr="005707AC">
        <w:t>Granskare/arbetsgrupp</w:t>
      </w:r>
      <w:bookmarkEnd w:id="17"/>
      <w:bookmarkEnd w:id="18"/>
    </w:p>
    <w:p w:rsidRPr="00FF7710" w:rsidR="00536A5A" w:rsidP="00FF7710" w:rsidRDefault="00CD2FFD" w14:paraId="76B9F95B" w14:textId="555711ED">
      <w:r w:rsidRPr="005707AC">
        <w:t xml:space="preserve">Ann Thurin Kjellberg, Överläkare Reproduktionsmedicin/IVF, Karin Jerhamre Sundh, Mödrahälsovårdsöverläkare (MÖL), </w:t>
      </w:r>
      <w:r>
        <w:t>Anna Hagman</w:t>
      </w:r>
      <w:r w:rsidRPr="005707AC">
        <w:t xml:space="preserve">, MÖL, </w:t>
      </w:r>
      <w:r>
        <w:t>Susanna Nygren</w:t>
      </w:r>
      <w:r w:rsidRPr="005707AC">
        <w:t xml:space="preserve">, Överläkare, VÖL </w:t>
      </w:r>
      <w:proofErr w:type="spellStart"/>
      <w:r w:rsidRPr="005707AC">
        <w:t>Spec</w:t>
      </w:r>
      <w:proofErr w:type="spellEnd"/>
      <w:r w:rsidRPr="005707AC">
        <w:t xml:space="preserve">-MVC. </w:t>
      </w:r>
      <w:r>
        <w:t>Mårten Alkmark</w:t>
      </w:r>
      <w:r w:rsidRPr="005707AC">
        <w:t xml:space="preserve">, Överläkare, Sektionschef </w:t>
      </w:r>
      <w:r>
        <w:t>Komplicerad graviditet och förlossnin</w:t>
      </w:r>
      <w:r w:rsidR="00932882">
        <w:t>g</w:t>
      </w:r>
      <w:bookmarkEnd w:id="0"/>
    </w:p>
    <w:sectPr w:rsidRPr="00FF7710" w:rsidR="00536A5A" w:rsidSect="005707AC">
      <w:headerReference w:type="default" r:id="rId20"/>
      <w:footerReference w:type="even" r:id="rId21"/>
      <w:footerReference w:type="default" r:id="rId22"/>
      <w:headerReference w:type="first" r:id="rId23"/>
      <w:footerReference w:type="first" r:id="rId2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B37D8" w:rsidRDefault="009B37D8" w14:paraId="4E6C5AEA" w14:textId="77777777">
      <w:r>
        <w:separator/>
      </w:r>
    </w:p>
  </w:endnote>
  <w:endnote w:type="continuationSeparator" w:id="0">
    <w:p w:rsidR="009B37D8" w:rsidRDefault="009B37D8" w14:paraId="4FE181FC" w14:textId="77777777">
      <w:r>
        <w:continuationSeparator/>
      </w:r>
    </w:p>
  </w:endnote>
  <w:endnote w:type="continuationNotice" w:id="1">
    <w:p w:rsidR="009B37D8" w:rsidRDefault="009B37D8" w14:paraId="764E14A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D2FFD" w:rsidP="00C43BDD" w:rsidRDefault="00CD2FFD" w14:paraId="544FD85E"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CD2FFD" w:rsidP="00C43BDD" w:rsidRDefault="00CD2FFD" w14:paraId="162C72DB"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0309811"/>
      <w:docPartObj>
        <w:docPartGallery w:val="Page Numbers (Bottom of Page)"/>
        <w:docPartUnique/>
      </w:docPartObj>
    </w:sdtPr>
    <w:sdtEndPr>
      <w:rPr>
        <w:sz w:val="16"/>
        <w:szCs w:val="16"/>
      </w:rPr>
    </w:sdtEndPr>
    <w:sdtContent>
      <w:p w:rsidRPr="00EC0A68" w:rsidR="00CD2FFD" w:rsidP="00EC0A68" w:rsidRDefault="00CD2FFD" w14:paraId="0644DCD6"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CD2FFD" w:rsidP="00FB2F0F" w:rsidRDefault="00CD2FFD" w14:paraId="108AC464" w14:textId="77777777">
    <w:pPr>
      <w:pStyle w:val="Sidfot"/>
      <w:ind w:left="6237" w:hanging="141"/>
      <w:jc w:val="left"/>
    </w:pPr>
    <w:r>
      <w:rPr>
        <w:noProof/>
      </w:rPr>
      <w:drawing>
        <wp:anchor distT="0" distB="0" distL="114300" distR="114300" simplePos="0" relativeHeight="251658245" behindDoc="0" locked="0" layoutInCell="1" allowOverlap="1" wp14:anchorId="243001D7" wp14:editId="60C34D9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B37D8" w:rsidRDefault="009B37D8" w14:paraId="40E9975F" w14:textId="77777777"/>
  </w:footnote>
  <w:footnote w:type="continuationSeparator" w:id="0">
    <w:p w:rsidR="009B37D8" w:rsidRDefault="009B37D8" w14:paraId="0BFB73AF" w14:textId="77777777">
      <w:r>
        <w:continuationSeparator/>
      </w:r>
    </w:p>
  </w:footnote>
  <w:footnote w:type="continuationNotice" w:id="1">
    <w:p w:rsidR="009B37D8" w:rsidRDefault="009B37D8" w14:paraId="19C35C3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CD2FFD" w:rsidP="00DA65C4" w:rsidRDefault="00CD2FFD" w14:paraId="23549D1D" w14:textId="77777777">
    <w:pPr>
      <w:pStyle w:val="Sidhuvud"/>
    </w:pPr>
    <w:r>
      <w:rPr>
        <w:noProof/>
        <w:sz w:val="20"/>
        <w:szCs w:val="20"/>
      </w:rPr>
      <mc:AlternateContent>
        <mc:Choice Requires="wps">
          <w:drawing>
            <wp:anchor distT="0" distB="0" distL="114300" distR="114300" simplePos="0" relativeHeight="251658247" behindDoc="0" locked="0" layoutInCell="1" allowOverlap="1" wp14:anchorId="3A0A7C76" wp14:editId="3F557D54">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CD2FFD" w:rsidP="00DA65C4" w:rsidRDefault="00CD2FFD" w14:paraId="2D28B418"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1A77367">
            <v:shapetype id="_x0000_t202" coordsize="21600,21600" o:spt="202" path="m,l,21600r21600,l21600,xe" w14:anchorId="3A0A7C76">
              <v:stroke joinstyle="miter"/>
              <v:path gradientshapeok="t" o:connecttype="rect"/>
            </v:shapetype>
            <v:shape id="Textruta 1"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CD2FFD" w:rsidP="00DA65C4" w:rsidRDefault="00CD2FFD" w14:paraId="6D41DF98"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CD2FFD" w:rsidP="00413A60" w:rsidRDefault="00CD2FFD" w14:paraId="08E222B0" w14:textId="77777777">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4DB5DDC6" wp14:editId="5509E219">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CD2FFD" w:rsidRDefault="00CD2FFD" w14:paraId="2F5C9810"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EBC24E7">
            <v:shapetype id="_x0000_t202" coordsize="21600,21600" o:spt="202" path="m,l,21600r21600,l21600,xe" w14:anchorId="4DB5DDC6">
              <v:stroke joinstyle="miter"/>
              <v:path gradientshapeok="t" o:connecttype="rect"/>
            </v:shapetype>
            <v:shape id="Textruta 2"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CD2FFD" w:rsidRDefault="00CD2FFD" w14:paraId="34785E3B"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7733CBDE" wp14:editId="19210E58">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C785E8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9DF8357">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413A60" w:rsidRDefault="00413A60" w14:paraId="4EAFB0E4"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1654E2"/>
    <w:multiLevelType w:val="hybridMultilevel"/>
    <w:tmpl w:val="0B424440"/>
    <w:lvl w:ilvl="0" w:tplc="9B6ABD26">
      <w:numFmt w:val="bullet"/>
      <w:lvlText w:val="-"/>
      <w:lvlJc w:val="left"/>
      <w:pPr>
        <w:ind w:left="1352" w:hanging="360"/>
      </w:pPr>
      <w:rPr>
        <w:rFonts w:hint="default" w:ascii="Times New Roman" w:hAnsi="Times New Roman" w:eastAsia="MS Mincho" w:cs="Times New Roman"/>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6FB0C34"/>
    <w:multiLevelType w:val="hybridMultilevel"/>
    <w:tmpl w:val="F8B00F0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17560C0"/>
    <w:multiLevelType w:val="hybridMultilevel"/>
    <w:tmpl w:val="A3F8F9BC"/>
    <w:lvl w:ilvl="0" w:tplc="BE2E5FC0">
      <w:numFmt w:val="bullet"/>
      <w:lvlText w:val="-"/>
      <w:lvlJc w:val="left"/>
      <w:pPr>
        <w:ind w:left="1352" w:hanging="360"/>
      </w:pPr>
      <w:rPr>
        <w:rFonts w:hint="default" w:ascii="Times New Roman" w:hAnsi="Times New Roman" w:eastAsia="MS Mincho" w:cs="Times New Roman"/>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59B7FDB"/>
    <w:multiLevelType w:val="hybridMultilevel"/>
    <w:tmpl w:val="91A85E4C"/>
    <w:lvl w:ilvl="0" w:tplc="C4BAABD0">
      <w:start w:val="1"/>
      <w:numFmt w:val="bullet"/>
      <w:lvlText w:val=""/>
      <w:lvlJc w:val="left"/>
      <w:pPr>
        <w:ind w:left="1712"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0" w15:restartNumberingAfterBreak="0">
    <w:nsid w:val="1B4273CB"/>
    <w:multiLevelType w:val="hybridMultilevel"/>
    <w:tmpl w:val="742E6E3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C0B14BA"/>
    <w:multiLevelType w:val="hybridMultilevel"/>
    <w:tmpl w:val="9BF6C33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2517156D"/>
    <w:multiLevelType w:val="hybridMultilevel"/>
    <w:tmpl w:val="1F263698"/>
    <w:lvl w:ilvl="0" w:tplc="DAC2C160">
      <w:numFmt w:val="bullet"/>
      <w:lvlText w:val="-"/>
      <w:lvlJc w:val="left"/>
      <w:pPr>
        <w:ind w:left="2072" w:hanging="360"/>
      </w:pPr>
      <w:rPr>
        <w:rFonts w:hint="default" w:ascii="Times New Roman" w:hAnsi="Times New Roman" w:eastAsia="MS Mincho" w:cs="Times New Roman"/>
      </w:rPr>
    </w:lvl>
    <w:lvl w:ilvl="1" w:tplc="041D0003" w:tentative="1">
      <w:start w:val="1"/>
      <w:numFmt w:val="bullet"/>
      <w:lvlText w:val="o"/>
      <w:lvlJc w:val="left"/>
      <w:pPr>
        <w:ind w:left="2792" w:hanging="360"/>
      </w:pPr>
      <w:rPr>
        <w:rFonts w:hint="default" w:ascii="Courier New" w:hAnsi="Courier New" w:cs="Courier New"/>
      </w:rPr>
    </w:lvl>
    <w:lvl w:ilvl="2" w:tplc="041D0005" w:tentative="1">
      <w:start w:val="1"/>
      <w:numFmt w:val="bullet"/>
      <w:lvlText w:val=""/>
      <w:lvlJc w:val="left"/>
      <w:pPr>
        <w:ind w:left="3512" w:hanging="360"/>
      </w:pPr>
      <w:rPr>
        <w:rFonts w:hint="default" w:ascii="Wingdings" w:hAnsi="Wingdings"/>
      </w:rPr>
    </w:lvl>
    <w:lvl w:ilvl="3" w:tplc="041D0001" w:tentative="1">
      <w:start w:val="1"/>
      <w:numFmt w:val="bullet"/>
      <w:lvlText w:val=""/>
      <w:lvlJc w:val="left"/>
      <w:pPr>
        <w:ind w:left="4232" w:hanging="360"/>
      </w:pPr>
      <w:rPr>
        <w:rFonts w:hint="default" w:ascii="Symbol" w:hAnsi="Symbol"/>
      </w:rPr>
    </w:lvl>
    <w:lvl w:ilvl="4" w:tplc="041D0003" w:tentative="1">
      <w:start w:val="1"/>
      <w:numFmt w:val="bullet"/>
      <w:lvlText w:val="o"/>
      <w:lvlJc w:val="left"/>
      <w:pPr>
        <w:ind w:left="4952" w:hanging="360"/>
      </w:pPr>
      <w:rPr>
        <w:rFonts w:hint="default" w:ascii="Courier New" w:hAnsi="Courier New" w:cs="Courier New"/>
      </w:rPr>
    </w:lvl>
    <w:lvl w:ilvl="5" w:tplc="041D0005" w:tentative="1">
      <w:start w:val="1"/>
      <w:numFmt w:val="bullet"/>
      <w:lvlText w:val=""/>
      <w:lvlJc w:val="left"/>
      <w:pPr>
        <w:ind w:left="5672" w:hanging="360"/>
      </w:pPr>
      <w:rPr>
        <w:rFonts w:hint="default" w:ascii="Wingdings" w:hAnsi="Wingdings"/>
      </w:rPr>
    </w:lvl>
    <w:lvl w:ilvl="6" w:tplc="041D0001" w:tentative="1">
      <w:start w:val="1"/>
      <w:numFmt w:val="bullet"/>
      <w:lvlText w:val=""/>
      <w:lvlJc w:val="left"/>
      <w:pPr>
        <w:ind w:left="6392" w:hanging="360"/>
      </w:pPr>
      <w:rPr>
        <w:rFonts w:hint="default" w:ascii="Symbol" w:hAnsi="Symbol"/>
      </w:rPr>
    </w:lvl>
    <w:lvl w:ilvl="7" w:tplc="041D0003" w:tentative="1">
      <w:start w:val="1"/>
      <w:numFmt w:val="bullet"/>
      <w:lvlText w:val="o"/>
      <w:lvlJc w:val="left"/>
      <w:pPr>
        <w:ind w:left="7112" w:hanging="360"/>
      </w:pPr>
      <w:rPr>
        <w:rFonts w:hint="default" w:ascii="Courier New" w:hAnsi="Courier New" w:cs="Courier New"/>
      </w:rPr>
    </w:lvl>
    <w:lvl w:ilvl="8" w:tplc="041D0005" w:tentative="1">
      <w:start w:val="1"/>
      <w:numFmt w:val="bullet"/>
      <w:lvlText w:val=""/>
      <w:lvlJc w:val="left"/>
      <w:pPr>
        <w:ind w:left="7832" w:hanging="360"/>
      </w:pPr>
      <w:rPr>
        <w:rFonts w:hint="default" w:ascii="Wingdings" w:hAnsi="Wingdings"/>
      </w:rPr>
    </w:lvl>
  </w:abstractNum>
  <w:abstractNum w:abstractNumId="15" w15:restartNumberingAfterBreak="0">
    <w:nsid w:val="2A414845"/>
    <w:multiLevelType w:val="hybridMultilevel"/>
    <w:tmpl w:val="7C7404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8A021A2"/>
    <w:multiLevelType w:val="hybridMultilevel"/>
    <w:tmpl w:val="F5A07F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2DD6924"/>
    <w:multiLevelType w:val="hybridMultilevel"/>
    <w:tmpl w:val="D476372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554774F"/>
    <w:multiLevelType w:val="hybridMultilevel"/>
    <w:tmpl w:val="CBD664D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3678182">
    <w:abstractNumId w:val="28"/>
  </w:num>
  <w:num w:numId="2" w16cid:durableId="110829747">
    <w:abstractNumId w:val="24"/>
  </w:num>
  <w:num w:numId="3" w16cid:durableId="546796905">
    <w:abstractNumId w:val="0"/>
  </w:num>
  <w:num w:numId="4" w16cid:durableId="131289529">
    <w:abstractNumId w:val="12"/>
  </w:num>
  <w:num w:numId="5" w16cid:durableId="1578205106">
    <w:abstractNumId w:val="25"/>
  </w:num>
  <w:num w:numId="6" w16cid:durableId="1547179304">
    <w:abstractNumId w:val="3"/>
  </w:num>
  <w:num w:numId="7" w16cid:durableId="557282152">
    <w:abstractNumId w:val="20"/>
  </w:num>
  <w:num w:numId="8" w16cid:durableId="123472944">
    <w:abstractNumId w:val="17"/>
  </w:num>
  <w:num w:numId="9" w16cid:durableId="803814723">
    <w:abstractNumId w:val="1"/>
  </w:num>
  <w:num w:numId="10" w16cid:durableId="359746450">
    <w:abstractNumId w:val="1"/>
  </w:num>
  <w:num w:numId="11" w16cid:durableId="1359695855">
    <w:abstractNumId w:val="5"/>
  </w:num>
  <w:num w:numId="12" w16cid:durableId="1261528990">
    <w:abstractNumId w:val="7"/>
  </w:num>
  <w:num w:numId="13" w16cid:durableId="295569203">
    <w:abstractNumId w:val="23"/>
  </w:num>
  <w:num w:numId="14" w16cid:durableId="1402367966">
    <w:abstractNumId w:val="18"/>
  </w:num>
  <w:num w:numId="15" w16cid:durableId="1595671406">
    <w:abstractNumId w:val="13"/>
  </w:num>
  <w:num w:numId="16" w16cid:durableId="766199679">
    <w:abstractNumId w:val="22"/>
  </w:num>
  <w:num w:numId="17" w16cid:durableId="793405916">
    <w:abstractNumId w:val="8"/>
  </w:num>
  <w:num w:numId="18" w16cid:durableId="1356227952">
    <w:abstractNumId w:val="19"/>
  </w:num>
  <w:num w:numId="19" w16cid:durableId="2135634790">
    <w:abstractNumId w:val="27"/>
  </w:num>
  <w:num w:numId="20" w16cid:durableId="680741690">
    <w:abstractNumId w:val="16"/>
  </w:num>
  <w:num w:numId="21" w16cid:durableId="592857676">
    <w:abstractNumId w:val="10"/>
  </w:num>
  <w:num w:numId="22" w16cid:durableId="422066408">
    <w:abstractNumId w:val="15"/>
  </w:num>
  <w:num w:numId="23" w16cid:durableId="1744255433">
    <w:abstractNumId w:val="9"/>
  </w:num>
  <w:num w:numId="24" w16cid:durableId="1941333861">
    <w:abstractNumId w:val="2"/>
  </w:num>
  <w:num w:numId="25" w16cid:durableId="1683900006">
    <w:abstractNumId w:val="14"/>
  </w:num>
  <w:num w:numId="26" w16cid:durableId="2130271263">
    <w:abstractNumId w:val="6"/>
  </w:num>
  <w:num w:numId="27" w16cid:durableId="1530099152">
    <w:abstractNumId w:val="4"/>
  </w:num>
  <w:num w:numId="28" w16cid:durableId="1230655846">
    <w:abstractNumId w:val="26"/>
  </w:num>
  <w:num w:numId="29" w16cid:durableId="933175192">
    <w:abstractNumId w:val="21"/>
  </w:num>
  <w:num w:numId="30" w16cid:durableId="1160150418">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700"/>
    <w:rsid w:val="00010D47"/>
    <w:rsid w:val="00016CF0"/>
    <w:rsid w:val="0002435C"/>
    <w:rsid w:val="00030DDD"/>
    <w:rsid w:val="000313BB"/>
    <w:rsid w:val="00033ED5"/>
    <w:rsid w:val="00050500"/>
    <w:rsid w:val="0005691C"/>
    <w:rsid w:val="00056ECB"/>
    <w:rsid w:val="00056ED5"/>
    <w:rsid w:val="000655CC"/>
    <w:rsid w:val="00065863"/>
    <w:rsid w:val="000700AE"/>
    <w:rsid w:val="00084024"/>
    <w:rsid w:val="0009062C"/>
    <w:rsid w:val="00095368"/>
    <w:rsid w:val="000954C4"/>
    <w:rsid w:val="000A4C35"/>
    <w:rsid w:val="000A611A"/>
    <w:rsid w:val="000A7AA7"/>
    <w:rsid w:val="000B12D9"/>
    <w:rsid w:val="000B4536"/>
    <w:rsid w:val="000B651C"/>
    <w:rsid w:val="000B7715"/>
    <w:rsid w:val="000C2E70"/>
    <w:rsid w:val="000D6B6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6276"/>
    <w:rsid w:val="001522AE"/>
    <w:rsid w:val="00157D5B"/>
    <w:rsid w:val="0016073A"/>
    <w:rsid w:val="00161FE6"/>
    <w:rsid w:val="001647EA"/>
    <w:rsid w:val="00164C3D"/>
    <w:rsid w:val="00166D3A"/>
    <w:rsid w:val="00174689"/>
    <w:rsid w:val="00181FDC"/>
    <w:rsid w:val="001860B9"/>
    <w:rsid w:val="00186F2B"/>
    <w:rsid w:val="001874D6"/>
    <w:rsid w:val="0019632A"/>
    <w:rsid w:val="001A4E7C"/>
    <w:rsid w:val="001B762C"/>
    <w:rsid w:val="001C4D0A"/>
    <w:rsid w:val="001C5FEF"/>
    <w:rsid w:val="001E387D"/>
    <w:rsid w:val="001E56FB"/>
    <w:rsid w:val="00211487"/>
    <w:rsid w:val="00211D91"/>
    <w:rsid w:val="00217B4B"/>
    <w:rsid w:val="00217DEC"/>
    <w:rsid w:val="00235B0B"/>
    <w:rsid w:val="00235B57"/>
    <w:rsid w:val="00250F24"/>
    <w:rsid w:val="002523C5"/>
    <w:rsid w:val="002528E4"/>
    <w:rsid w:val="002534F6"/>
    <w:rsid w:val="0025380B"/>
    <w:rsid w:val="002547EC"/>
    <w:rsid w:val="0025703A"/>
    <w:rsid w:val="00262F3D"/>
    <w:rsid w:val="00263281"/>
    <w:rsid w:val="002651D6"/>
    <w:rsid w:val="0026551F"/>
    <w:rsid w:val="0027319B"/>
    <w:rsid w:val="00280A85"/>
    <w:rsid w:val="00283A35"/>
    <w:rsid w:val="00284119"/>
    <w:rsid w:val="00290B5C"/>
    <w:rsid w:val="00294791"/>
    <w:rsid w:val="002B0B30"/>
    <w:rsid w:val="002B0C78"/>
    <w:rsid w:val="002C0C02"/>
    <w:rsid w:val="002C1277"/>
    <w:rsid w:val="002C210C"/>
    <w:rsid w:val="002C60AD"/>
    <w:rsid w:val="002D0E0E"/>
    <w:rsid w:val="002D6023"/>
    <w:rsid w:val="002E263F"/>
    <w:rsid w:val="002E3022"/>
    <w:rsid w:val="002E6F81"/>
    <w:rsid w:val="002E742E"/>
    <w:rsid w:val="002F08BA"/>
    <w:rsid w:val="002F2CFF"/>
    <w:rsid w:val="002F568B"/>
    <w:rsid w:val="002F7818"/>
    <w:rsid w:val="003066D0"/>
    <w:rsid w:val="00311401"/>
    <w:rsid w:val="003203D7"/>
    <w:rsid w:val="00320F86"/>
    <w:rsid w:val="00324171"/>
    <w:rsid w:val="00326C24"/>
    <w:rsid w:val="00337F99"/>
    <w:rsid w:val="0034307B"/>
    <w:rsid w:val="00343EF9"/>
    <w:rsid w:val="00345EB1"/>
    <w:rsid w:val="00350CC4"/>
    <w:rsid w:val="00360E0D"/>
    <w:rsid w:val="0036357D"/>
    <w:rsid w:val="0036397F"/>
    <w:rsid w:val="00363B23"/>
    <w:rsid w:val="0036594C"/>
    <w:rsid w:val="00367D19"/>
    <w:rsid w:val="00371BED"/>
    <w:rsid w:val="00384019"/>
    <w:rsid w:val="003854F1"/>
    <w:rsid w:val="0039118E"/>
    <w:rsid w:val="003911DF"/>
    <w:rsid w:val="00392D64"/>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5ABB"/>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9CA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07AC"/>
    <w:rsid w:val="005770AD"/>
    <w:rsid w:val="00581414"/>
    <w:rsid w:val="00581639"/>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3BB1"/>
    <w:rsid w:val="006A2789"/>
    <w:rsid w:val="006A398C"/>
    <w:rsid w:val="006A4978"/>
    <w:rsid w:val="006A7261"/>
    <w:rsid w:val="006B0D29"/>
    <w:rsid w:val="006B16B8"/>
    <w:rsid w:val="006B1819"/>
    <w:rsid w:val="006B5DE7"/>
    <w:rsid w:val="006C5048"/>
    <w:rsid w:val="006C6A4B"/>
    <w:rsid w:val="006C779F"/>
    <w:rsid w:val="006D01F5"/>
    <w:rsid w:val="006D0CFB"/>
    <w:rsid w:val="006D30C0"/>
    <w:rsid w:val="006D7535"/>
    <w:rsid w:val="006E450B"/>
    <w:rsid w:val="006F0D7E"/>
    <w:rsid w:val="00704E0A"/>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26FD"/>
    <w:rsid w:val="007D1600"/>
    <w:rsid w:val="007D4241"/>
    <w:rsid w:val="007D4317"/>
    <w:rsid w:val="007D4EA3"/>
    <w:rsid w:val="007F1CFF"/>
    <w:rsid w:val="007F5DD5"/>
    <w:rsid w:val="00821A1B"/>
    <w:rsid w:val="008262E9"/>
    <w:rsid w:val="00827E69"/>
    <w:rsid w:val="00835C4D"/>
    <w:rsid w:val="00843F48"/>
    <w:rsid w:val="00851423"/>
    <w:rsid w:val="00854447"/>
    <w:rsid w:val="00857848"/>
    <w:rsid w:val="008654B6"/>
    <w:rsid w:val="0087139C"/>
    <w:rsid w:val="00880E83"/>
    <w:rsid w:val="008857F5"/>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2882"/>
    <w:rsid w:val="009347A5"/>
    <w:rsid w:val="00940310"/>
    <w:rsid w:val="00942257"/>
    <w:rsid w:val="009471BF"/>
    <w:rsid w:val="00950E4E"/>
    <w:rsid w:val="009529BD"/>
    <w:rsid w:val="009533B4"/>
    <w:rsid w:val="00955BAB"/>
    <w:rsid w:val="00971D93"/>
    <w:rsid w:val="009723D4"/>
    <w:rsid w:val="009B1F6B"/>
    <w:rsid w:val="009B37D8"/>
    <w:rsid w:val="009C0D12"/>
    <w:rsid w:val="009C1260"/>
    <w:rsid w:val="009C192E"/>
    <w:rsid w:val="009D6819"/>
    <w:rsid w:val="009D6D1C"/>
    <w:rsid w:val="009E0CF9"/>
    <w:rsid w:val="009E531B"/>
    <w:rsid w:val="009E6C56"/>
    <w:rsid w:val="009E7DCF"/>
    <w:rsid w:val="009F4A56"/>
    <w:rsid w:val="009F4E65"/>
    <w:rsid w:val="00A006A5"/>
    <w:rsid w:val="00A05942"/>
    <w:rsid w:val="00A07BEC"/>
    <w:rsid w:val="00A252B5"/>
    <w:rsid w:val="00A264BE"/>
    <w:rsid w:val="00A272CA"/>
    <w:rsid w:val="00A309AF"/>
    <w:rsid w:val="00A33051"/>
    <w:rsid w:val="00A407AD"/>
    <w:rsid w:val="00A40923"/>
    <w:rsid w:val="00A41C05"/>
    <w:rsid w:val="00A42426"/>
    <w:rsid w:val="00A4383E"/>
    <w:rsid w:val="00A514B7"/>
    <w:rsid w:val="00A54A0B"/>
    <w:rsid w:val="00A60092"/>
    <w:rsid w:val="00A65FD4"/>
    <w:rsid w:val="00A81198"/>
    <w:rsid w:val="00A81E48"/>
    <w:rsid w:val="00A82035"/>
    <w:rsid w:val="00A86194"/>
    <w:rsid w:val="00A90D77"/>
    <w:rsid w:val="00A92E07"/>
    <w:rsid w:val="00AA0B3A"/>
    <w:rsid w:val="00AA6EB4"/>
    <w:rsid w:val="00AA7604"/>
    <w:rsid w:val="00AA767D"/>
    <w:rsid w:val="00AB0CC9"/>
    <w:rsid w:val="00AB1D03"/>
    <w:rsid w:val="00AC32FF"/>
    <w:rsid w:val="00AC3FF6"/>
    <w:rsid w:val="00AD1665"/>
    <w:rsid w:val="00AD73EC"/>
    <w:rsid w:val="00AE5BC7"/>
    <w:rsid w:val="00AF5AAF"/>
    <w:rsid w:val="00B046D8"/>
    <w:rsid w:val="00B13F4C"/>
    <w:rsid w:val="00B16219"/>
    <w:rsid w:val="00B16C59"/>
    <w:rsid w:val="00B33FDD"/>
    <w:rsid w:val="00B359CC"/>
    <w:rsid w:val="00B36107"/>
    <w:rsid w:val="00B41789"/>
    <w:rsid w:val="00B46C03"/>
    <w:rsid w:val="00B553E4"/>
    <w:rsid w:val="00B60C6C"/>
    <w:rsid w:val="00B619A9"/>
    <w:rsid w:val="00B65A9D"/>
    <w:rsid w:val="00B66D60"/>
    <w:rsid w:val="00B753B2"/>
    <w:rsid w:val="00B75EDE"/>
    <w:rsid w:val="00B77D88"/>
    <w:rsid w:val="00B77FAF"/>
    <w:rsid w:val="00B84336"/>
    <w:rsid w:val="00B851B9"/>
    <w:rsid w:val="00B86453"/>
    <w:rsid w:val="00B86D4D"/>
    <w:rsid w:val="00B90054"/>
    <w:rsid w:val="00B92C14"/>
    <w:rsid w:val="00B95598"/>
    <w:rsid w:val="00BA0066"/>
    <w:rsid w:val="00BB69DB"/>
    <w:rsid w:val="00BC0D9A"/>
    <w:rsid w:val="00BC322E"/>
    <w:rsid w:val="00BC44CD"/>
    <w:rsid w:val="00BC48A6"/>
    <w:rsid w:val="00BE7978"/>
    <w:rsid w:val="00BF1276"/>
    <w:rsid w:val="00C07DDB"/>
    <w:rsid w:val="00C4097A"/>
    <w:rsid w:val="00C4115D"/>
    <w:rsid w:val="00C43BDD"/>
    <w:rsid w:val="00C47778"/>
    <w:rsid w:val="00C5011E"/>
    <w:rsid w:val="00C5056F"/>
    <w:rsid w:val="00C50EE5"/>
    <w:rsid w:val="00C5240A"/>
    <w:rsid w:val="00C5398F"/>
    <w:rsid w:val="00C556F5"/>
    <w:rsid w:val="00C70E19"/>
    <w:rsid w:val="00C72574"/>
    <w:rsid w:val="00C7430C"/>
    <w:rsid w:val="00C83D26"/>
    <w:rsid w:val="00C85204"/>
    <w:rsid w:val="00C85DA1"/>
    <w:rsid w:val="00C9071C"/>
    <w:rsid w:val="00C908FF"/>
    <w:rsid w:val="00C97BD3"/>
    <w:rsid w:val="00CA39EF"/>
    <w:rsid w:val="00CA521F"/>
    <w:rsid w:val="00CB0493"/>
    <w:rsid w:val="00CB17FF"/>
    <w:rsid w:val="00CB1ED7"/>
    <w:rsid w:val="00CC167C"/>
    <w:rsid w:val="00CC52D9"/>
    <w:rsid w:val="00CD2FFD"/>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E7CAD"/>
    <w:rsid w:val="00DF0033"/>
    <w:rsid w:val="00E026BF"/>
    <w:rsid w:val="00E07B1B"/>
    <w:rsid w:val="00E11853"/>
    <w:rsid w:val="00E52A86"/>
    <w:rsid w:val="00E54B47"/>
    <w:rsid w:val="00E553BF"/>
    <w:rsid w:val="00E55D93"/>
    <w:rsid w:val="00E61294"/>
    <w:rsid w:val="00E7237C"/>
    <w:rsid w:val="00E77C46"/>
    <w:rsid w:val="00E86CE8"/>
    <w:rsid w:val="00E879C9"/>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3E8C"/>
    <w:rsid w:val="00F46966"/>
    <w:rsid w:val="00F5135F"/>
    <w:rsid w:val="00F51F78"/>
    <w:rsid w:val="00F75067"/>
    <w:rsid w:val="00F86F47"/>
    <w:rsid w:val="00F90B64"/>
    <w:rsid w:val="00FB2F0F"/>
    <w:rsid w:val="00FB5086"/>
    <w:rsid w:val="00FB5411"/>
    <w:rsid w:val="00FB6392"/>
    <w:rsid w:val="00FC6B23"/>
    <w:rsid w:val="00FD3C70"/>
    <w:rsid w:val="00FD6820"/>
    <w:rsid w:val="00FE12D8"/>
    <w:rsid w:val="00FF7710"/>
    <w:rsid w:val="00FF7C02"/>
    <w:rsid w:val="01153F4A"/>
    <w:rsid w:val="024801E3"/>
    <w:rsid w:val="02A88497"/>
    <w:rsid w:val="06973D5E"/>
    <w:rsid w:val="078B0051"/>
    <w:rsid w:val="0D6C1C52"/>
    <w:rsid w:val="0D766BC5"/>
    <w:rsid w:val="0DF04E74"/>
    <w:rsid w:val="0ED4DC6B"/>
    <w:rsid w:val="1429AC52"/>
    <w:rsid w:val="158EBD29"/>
    <w:rsid w:val="1612EF4B"/>
    <w:rsid w:val="17601E5C"/>
    <w:rsid w:val="179706C6"/>
    <w:rsid w:val="17F2093D"/>
    <w:rsid w:val="1844F2C6"/>
    <w:rsid w:val="19506CC0"/>
    <w:rsid w:val="19CFD214"/>
    <w:rsid w:val="1B0B5205"/>
    <w:rsid w:val="1B8553D4"/>
    <w:rsid w:val="1EC865E1"/>
    <w:rsid w:val="20EE7C5E"/>
    <w:rsid w:val="22D1E2F9"/>
    <w:rsid w:val="22D29BEB"/>
    <w:rsid w:val="232CB8FD"/>
    <w:rsid w:val="246E6C4C"/>
    <w:rsid w:val="25326F36"/>
    <w:rsid w:val="286DBEC1"/>
    <w:rsid w:val="28A60E21"/>
    <w:rsid w:val="2D6D4124"/>
    <w:rsid w:val="2DA3B0B1"/>
    <w:rsid w:val="2E19A9B9"/>
    <w:rsid w:val="2F246899"/>
    <w:rsid w:val="2FDA020F"/>
    <w:rsid w:val="363C4A90"/>
    <w:rsid w:val="37E6D07A"/>
    <w:rsid w:val="3976B24F"/>
    <w:rsid w:val="3C9BB096"/>
    <w:rsid w:val="3E5F44C9"/>
    <w:rsid w:val="4195A046"/>
    <w:rsid w:val="47111ED7"/>
    <w:rsid w:val="47B0768D"/>
    <w:rsid w:val="48300A94"/>
    <w:rsid w:val="4867A978"/>
    <w:rsid w:val="4AF39A26"/>
    <w:rsid w:val="4E513E18"/>
    <w:rsid w:val="4F1C30BC"/>
    <w:rsid w:val="50F61B67"/>
    <w:rsid w:val="51847579"/>
    <w:rsid w:val="51F71C4A"/>
    <w:rsid w:val="52019EDF"/>
    <w:rsid w:val="527797E7"/>
    <w:rsid w:val="557CA5BB"/>
    <w:rsid w:val="58450EB9"/>
    <w:rsid w:val="5B397DF9"/>
    <w:rsid w:val="5B9BF130"/>
    <w:rsid w:val="5BB20683"/>
    <w:rsid w:val="5C061D88"/>
    <w:rsid w:val="5CB571CC"/>
    <w:rsid w:val="5DC66763"/>
    <w:rsid w:val="5DEB2CEC"/>
    <w:rsid w:val="5E711EBB"/>
    <w:rsid w:val="5E790C41"/>
    <w:rsid w:val="61499058"/>
    <w:rsid w:val="634C7D64"/>
    <w:rsid w:val="642CFDC7"/>
    <w:rsid w:val="646EF179"/>
    <w:rsid w:val="647B2B65"/>
    <w:rsid w:val="64E84DC5"/>
    <w:rsid w:val="67891BF0"/>
    <w:rsid w:val="6AE42126"/>
    <w:rsid w:val="6B2CF8ED"/>
    <w:rsid w:val="6B3E66EC"/>
    <w:rsid w:val="6B46B5C6"/>
    <w:rsid w:val="6CC61C32"/>
    <w:rsid w:val="6E0A99A4"/>
    <w:rsid w:val="734978D1"/>
    <w:rsid w:val="75DB5AEB"/>
    <w:rsid w:val="769A41F0"/>
    <w:rsid w:val="782E6BA1"/>
    <w:rsid w:val="78361251"/>
    <w:rsid w:val="7901A19D"/>
    <w:rsid w:val="7ACE98E7"/>
    <w:rsid w:val="7CF05B17"/>
    <w:rsid w:val="7D0DB829"/>
    <w:rsid w:val="7EF7681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3B51964-A43F-4970-A515-CF9C4E4273B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83D26"/>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Revision">
    <w:name w:val="Revision"/>
    <w:hidden/>
    <w:uiPriority w:val="99"/>
    <w:semiHidden/>
    <w:rsid w:val="00A86194"/>
    <w:rPr>
      <w:sz w:val="24"/>
      <w:szCs w:val="24"/>
    </w:rPr>
  </w:style>
  <w:style w:type="paragraph" w:styleId="Innehllsfrteckningsrubrik">
    <w:name w:val="TOC Heading"/>
    <w:basedOn w:val="Rubrik1"/>
    <w:next w:val="Normal"/>
    <w:uiPriority w:val="39"/>
    <w:unhideWhenUsed/>
    <w:qFormat/>
    <w:rsid w:val="00C83D26"/>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F46966"/>
    <w:rPr>
      <w:color w:val="9EA2A2" w:themeColor="followedHyperlink"/>
      <w:u w:val="single"/>
    </w:rPr>
  </w:style>
  <w:style w:type="character" w:styleId="Olstomnmnande">
    <w:name w:val="Unresolved Mention"/>
    <w:basedOn w:val="Standardstycketeckensnitt"/>
    <w:uiPriority w:val="99"/>
    <w:semiHidden/>
    <w:unhideWhenUsed/>
    <w:rsid w:val="007D16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4054-1600760799-954/surrogate/Patientf%c3%b6rdelning%20m%c3%b6drah%c3%a4lsov%c3%a5rd%20mellan%20kvinnokliniken%20Sahlgrenska%20och%20barnmorskemottagning%20(BMM)%20i%20G%c3%b6teborg%20och%20S%c3%b6dra%20Bohusl%c3%a4n%20211021.pdf"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86-1429723585-153/surrogate/%c3%84ggdonation%20och%20Turners%20syndrom.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www.medscinet.com/qivf/uploads/hemsida/%C3%85rsrapport%202024%20Final%20version%202.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Oocytdonation (OD), uppföljning inom mödravård och obstetrik</dc:title>
  <dc:subject/>
  <dc:creator>patrik.jens.johansson@vgregion.se</dc:creator>
  <keywords/>
  <lastModifiedBy>Annica Granberg</lastModifiedBy>
  <revision>41</revision>
  <lastPrinted>2016-03-31T19:56:00.0000000Z</lastPrinted>
  <dcterms:created xsi:type="dcterms:W3CDTF">2022-05-09T20:42:00.0000000Z</dcterms:created>
  <dcterms:modified xsi:type="dcterms:W3CDTF">2025-04-08T08:45:36.0000000Z</dcterms:modified>
</coreProperties>
</file>