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68577" w14:textId="77777777" w:rsidR="009160D5" w:rsidRDefault="009160D5" w:rsidP="00F35B05">
      <w:pPr>
        <w:pStyle w:val="Rubrik2"/>
        <w:sectPr w:rsidR="009160D5" w:rsidSect="009160D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bookmarkEnd w:id="0"/>
    <w:p w14:paraId="653C69D4" w14:textId="77777777" w:rsidR="005D7BD2" w:rsidRDefault="005D7BD2" w:rsidP="005D7BD2">
      <w:pPr>
        <w:pStyle w:val="Rubrik1"/>
        <w:ind w:right="707"/>
      </w:pPr>
      <w:r w:rsidRPr="09D9CC85">
        <w:t>Akut perifer facialispares hos vuxna på Infektionsmottagningen</w:t>
      </w:r>
    </w:p>
    <w:p w14:paraId="59B4D5B0" w14:textId="77777777" w:rsidR="005D7BD2" w:rsidRPr="009160D5" w:rsidRDefault="005D7BD2" w:rsidP="005D7BD2">
      <w:pPr>
        <w:pStyle w:val="Rubrik2"/>
        <w:ind w:right="707"/>
      </w:pPr>
      <w:r w:rsidRPr="009160D5">
        <w:t>Denna rutin gäller för</w:t>
      </w:r>
    </w:p>
    <w:p w14:paraId="09769B74" w14:textId="77777777" w:rsidR="005D7BD2" w:rsidRDefault="005D7BD2" w:rsidP="005D7BD2">
      <w:pPr>
        <w:ind w:right="707"/>
        <w:rPr>
          <w:rFonts w:ascii="Arial" w:hAnsi="Arial" w:cs="Arial"/>
          <w:sz w:val="16"/>
          <w:szCs w:val="16"/>
        </w:rPr>
      </w:pPr>
      <w:r w:rsidRPr="244A9850">
        <w:t>VO Infektion, Sahlgrenska Universitetssjukhuset</w:t>
      </w:r>
    </w:p>
    <w:p w14:paraId="263674CE" w14:textId="77777777" w:rsidR="005D7BD2" w:rsidRPr="009160D5" w:rsidRDefault="005D7BD2" w:rsidP="005D7BD2">
      <w:pPr>
        <w:pStyle w:val="Rubrik2"/>
        <w:ind w:right="707"/>
        <w:rPr>
          <w:sz w:val="16"/>
        </w:rPr>
      </w:pPr>
      <w:r w:rsidRPr="009160D5">
        <w:t>Ansvar</w:t>
      </w:r>
    </w:p>
    <w:p w14:paraId="122BB724" w14:textId="77777777" w:rsidR="005D7BD2" w:rsidRDefault="005D7BD2" w:rsidP="005D7BD2">
      <w:pPr>
        <w:ind w:right="707"/>
      </w:pPr>
      <w:r w:rsidRPr="009160D5">
        <w:t>Gäller på VO Infektion SU</w:t>
      </w:r>
    </w:p>
    <w:p w14:paraId="321D8B50" w14:textId="77777777" w:rsidR="005D7BD2" w:rsidRPr="00AC3E42" w:rsidRDefault="005D7BD2" w:rsidP="005D7BD2">
      <w:pPr>
        <w:pStyle w:val="Rubrik2"/>
        <w:ind w:right="707"/>
      </w:pPr>
      <w:r w:rsidRPr="00AC3E42">
        <w:t>Förändringar sedan föregående version</w:t>
      </w:r>
    </w:p>
    <w:p w14:paraId="32764E7C" w14:textId="77777777" w:rsidR="005D7BD2" w:rsidRPr="009160D5" w:rsidRDefault="005D7BD2" w:rsidP="005D7BD2">
      <w:pPr>
        <w:ind w:right="707"/>
      </w:pPr>
      <w:r w:rsidRPr="00AC3E42">
        <w:t>Mindre justeringar har gjorts avseende preparat och doser.</w:t>
      </w:r>
    </w:p>
    <w:p w14:paraId="7FADBD64" w14:textId="77777777" w:rsidR="005D7BD2" w:rsidRPr="009160D5" w:rsidRDefault="005D7BD2" w:rsidP="005D7BD2">
      <w:pPr>
        <w:pStyle w:val="Rubrik2"/>
        <w:ind w:right="707"/>
      </w:pPr>
      <w:r w:rsidRPr="009160D5">
        <w:t>Syfte</w:t>
      </w:r>
    </w:p>
    <w:p w14:paraId="47479712" w14:textId="77777777" w:rsidR="005D7BD2" w:rsidRPr="009160D5" w:rsidRDefault="005D7BD2" w:rsidP="005D7BD2">
      <w:pPr>
        <w:ind w:right="707"/>
      </w:pPr>
      <w:r w:rsidRPr="009160D5">
        <w:t>Att säkerställa adekvat utredning, behandling och uppföljning av patienter med akut perifer facialispares på Infektionsmottagningen.</w:t>
      </w:r>
    </w:p>
    <w:p w14:paraId="207B5D31" w14:textId="77777777" w:rsidR="005D7BD2" w:rsidRPr="009160D5" w:rsidRDefault="005D7BD2" w:rsidP="005D7BD2">
      <w:pPr>
        <w:pStyle w:val="Rubrik2"/>
        <w:ind w:right="707"/>
        <w:rPr>
          <w:rFonts w:ascii="Tahoma" w:hAnsi="Tahoma" w:cs="Tahoma"/>
        </w:rPr>
      </w:pPr>
      <w:r w:rsidRPr="009160D5">
        <w:t>Bakgrund</w:t>
      </w:r>
    </w:p>
    <w:p w14:paraId="37B2D780" w14:textId="77777777" w:rsidR="005D7BD2" w:rsidRPr="009160D5" w:rsidRDefault="005D7BD2" w:rsidP="005D7BD2">
      <w:pPr>
        <w:ind w:right="707"/>
      </w:pPr>
      <w:r w:rsidRPr="244A9850">
        <w:t>Borreliaorsakad perifer facialispares skiljer sig från Bells pares då patienten ofta har associerade neurologiska symtom som radikulit och sensibilitetspåverkan. Observera att mer än hälften av patienterna med borreliaorsakad perifer facialispares ej har noterat något fästingbett. Vid Ramsay Hunts syndrom (</w:t>
      </w:r>
      <w:proofErr w:type="spellStart"/>
      <w:r w:rsidRPr="244A9850">
        <w:t>zoster</w:t>
      </w:r>
      <w:proofErr w:type="spellEnd"/>
      <w:r w:rsidRPr="244A9850">
        <w:t xml:space="preserve"> </w:t>
      </w:r>
      <w:proofErr w:type="spellStart"/>
      <w:r w:rsidRPr="244A9850">
        <w:t>oticus</w:t>
      </w:r>
      <w:proofErr w:type="spellEnd"/>
      <w:r w:rsidRPr="244A9850">
        <w:t xml:space="preserve">) förekommer blåsor i över hälften av fallen på ytteröra/hörselgång/trumhinna eller i gommen. Smärta kring örat förekommer i de flesta fall. Det förekommer också ibland samtidig påverkan på andra kranialnerver, </w:t>
      </w:r>
      <w:proofErr w:type="gramStart"/>
      <w:r w:rsidRPr="244A9850">
        <w:t>t ex</w:t>
      </w:r>
      <w:proofErr w:type="gramEnd"/>
      <w:r w:rsidRPr="244A9850">
        <w:t xml:space="preserve"> n </w:t>
      </w:r>
      <w:proofErr w:type="spellStart"/>
      <w:r w:rsidRPr="244A9850">
        <w:t>vestubilaris</w:t>
      </w:r>
      <w:proofErr w:type="spellEnd"/>
      <w:r w:rsidRPr="244A9850">
        <w:t xml:space="preserve"> (balansrubbning, yrsel) eller n </w:t>
      </w:r>
      <w:proofErr w:type="spellStart"/>
      <w:r w:rsidRPr="244A9850">
        <w:t>acusticus</w:t>
      </w:r>
      <w:proofErr w:type="spellEnd"/>
      <w:r w:rsidRPr="244A9850">
        <w:t xml:space="preserve"> (hörselnedsättning, tinnitus</w:t>
      </w:r>
      <w:r w:rsidRPr="00EC71DE">
        <w:t>).</w:t>
      </w:r>
    </w:p>
    <w:p w14:paraId="630213E7" w14:textId="77777777" w:rsidR="005D7BD2" w:rsidRPr="009160D5" w:rsidRDefault="005D7BD2" w:rsidP="005D7BD2">
      <w:pPr>
        <w:pStyle w:val="Rubrik2"/>
        <w:ind w:right="707"/>
      </w:pPr>
      <w:r w:rsidRPr="009160D5">
        <w:t>Arbetsbeskrivning</w:t>
      </w:r>
    </w:p>
    <w:p w14:paraId="61C26CEB" w14:textId="77777777" w:rsidR="005D7BD2" w:rsidRPr="009160D5" w:rsidRDefault="005D7BD2" w:rsidP="005D7BD2">
      <w:pPr>
        <w:ind w:right="707"/>
        <w:rPr>
          <w:shd w:val="clear" w:color="auto" w:fill="FFFFFF"/>
        </w:rPr>
      </w:pPr>
      <w:r w:rsidRPr="009160D5">
        <w:t xml:space="preserve">Initialt är det viktigt att skilja mellan perifer och central facialispares. </w:t>
      </w:r>
      <w:r w:rsidRPr="009160D5">
        <w:rPr>
          <w:shd w:val="clear" w:color="auto" w:fill="FFFFFF"/>
        </w:rPr>
        <w:t xml:space="preserve">Perifer påverkan ger upphov till en svaghet i pannans, ögats och munnens </w:t>
      </w:r>
      <w:r w:rsidRPr="009160D5">
        <w:rPr>
          <w:shd w:val="clear" w:color="auto" w:fill="FFFFFF"/>
        </w:rPr>
        <w:lastRenderedPageBreak/>
        <w:t xml:space="preserve">muskulatur medan en central pares drabbar de nedre två tredjedelarna av ansiktsmuskulaturen medan pannans muskulatur förblir opåverkad. </w:t>
      </w:r>
      <w:r w:rsidRPr="009160D5">
        <w:t xml:space="preserve">Snabbt påkommen central pares kan vara orsakad av stroke, tumör, debutsymtom vid MS, trauma. Vid misstanke om </w:t>
      </w:r>
      <w:r w:rsidRPr="009160D5">
        <w:rPr>
          <w:b/>
          <w:bCs/>
        </w:rPr>
        <w:t>akut central facialispares</w:t>
      </w:r>
      <w:r w:rsidRPr="009160D5">
        <w:t xml:space="preserve"> ska omedelbar kontakt tas med </w:t>
      </w:r>
      <w:r w:rsidRPr="009160D5">
        <w:rPr>
          <w:b/>
          <w:bCs/>
        </w:rPr>
        <w:t>medicinjour</w:t>
      </w:r>
      <w:r w:rsidRPr="009160D5">
        <w:t>.</w:t>
      </w:r>
    </w:p>
    <w:p w14:paraId="7AD951B4" w14:textId="77777777" w:rsidR="005D7BD2" w:rsidRPr="009160D5" w:rsidRDefault="005D7BD2" w:rsidP="005D7BD2">
      <w:pPr>
        <w:pStyle w:val="Rubrik3"/>
        <w:ind w:right="707"/>
      </w:pPr>
      <w:r w:rsidRPr="009160D5">
        <w:t>Akut perifer facialispares</w:t>
      </w:r>
    </w:p>
    <w:p w14:paraId="7E205A87" w14:textId="77777777" w:rsidR="005D7BD2" w:rsidRPr="009160D5" w:rsidRDefault="005D7BD2" w:rsidP="005D7BD2">
      <w:pPr>
        <w:ind w:right="707"/>
      </w:pPr>
      <w:r w:rsidRPr="009160D5">
        <w:t>Misstänk infektiös genes vid</w:t>
      </w:r>
    </w:p>
    <w:p w14:paraId="3A3DDBDD" w14:textId="77777777" w:rsidR="005D7BD2" w:rsidRPr="00F0637A" w:rsidRDefault="005D7BD2" w:rsidP="00A95C53">
      <w:pPr>
        <w:pStyle w:val="Liststycke"/>
        <w:ind w:left="1701"/>
        <w:rPr>
          <w:rFonts w:eastAsia="Calibri"/>
          <w:lang w:eastAsia="en-US"/>
        </w:rPr>
      </w:pPr>
      <w:r w:rsidRPr="002446AD">
        <w:rPr>
          <w:rFonts w:eastAsia="Calibri"/>
          <w:lang w:eastAsia="en-US"/>
        </w:rPr>
        <w:t>Borreliasäsong (mars-dec), patient vistats i naturen senaste två månaderna före symtomdebut, associerade neurologiska symtom (</w:t>
      </w:r>
      <w:r w:rsidRPr="002446AD">
        <w:rPr>
          <w:rFonts w:eastAsia="Calibri"/>
          <w:bCs/>
          <w:lang w:eastAsia="en-US"/>
        </w:rPr>
        <w:t>radikulit, huvudvärk, sensorisk påverkan)</w:t>
      </w:r>
    </w:p>
    <w:p w14:paraId="722879A2" w14:textId="77777777" w:rsidR="005D7BD2" w:rsidRPr="002446AD" w:rsidRDefault="005D7BD2" w:rsidP="005D7BD2">
      <w:pPr>
        <w:pStyle w:val="Liststycke"/>
        <w:ind w:left="1701" w:right="707"/>
        <w:rPr>
          <w:rFonts w:eastAsia="Calibri"/>
          <w:lang w:eastAsia="en-US"/>
        </w:rPr>
      </w:pPr>
      <w:r w:rsidRPr="002446AD">
        <w:rPr>
          <w:rFonts w:eastAsia="Calibri"/>
          <w:lang w:eastAsia="en-US"/>
        </w:rPr>
        <w:t xml:space="preserve">Blåsor/utslag kring/på öra eller i hörselgång eller smärta i/kring örat och /eller samtidiga neurologiska symtom som yrsel/balansrubbning/hörselpåverkan (Ramsay Hunts syndrom – </w:t>
      </w:r>
      <w:proofErr w:type="spellStart"/>
      <w:r w:rsidRPr="002446AD">
        <w:rPr>
          <w:rFonts w:eastAsia="Calibri"/>
          <w:lang w:eastAsia="en-US"/>
        </w:rPr>
        <w:t>zoster</w:t>
      </w:r>
      <w:proofErr w:type="spellEnd"/>
      <w:r w:rsidRPr="002446AD">
        <w:rPr>
          <w:rFonts w:eastAsia="Calibri"/>
          <w:lang w:eastAsia="en-US"/>
        </w:rPr>
        <w:t xml:space="preserve"> </w:t>
      </w:r>
      <w:proofErr w:type="spellStart"/>
      <w:r w:rsidRPr="002446AD">
        <w:rPr>
          <w:rFonts w:eastAsia="Calibri"/>
          <w:lang w:eastAsia="en-US"/>
        </w:rPr>
        <w:t>oticus</w:t>
      </w:r>
      <w:proofErr w:type="spellEnd"/>
      <w:r w:rsidRPr="002446AD">
        <w:rPr>
          <w:rFonts w:eastAsia="Calibri"/>
          <w:lang w:eastAsia="en-US"/>
        </w:rPr>
        <w:t>)</w:t>
      </w:r>
    </w:p>
    <w:p w14:paraId="15CF3F94" w14:textId="77777777" w:rsidR="005D7BD2" w:rsidRPr="009160D5" w:rsidRDefault="005D7BD2" w:rsidP="005D7BD2">
      <w:pPr>
        <w:ind w:right="707"/>
      </w:pPr>
      <w:r w:rsidRPr="009160D5">
        <w:t xml:space="preserve">Samråd med dagbakjour/ansvarig ÖL/bakjour </w:t>
      </w:r>
      <w:proofErr w:type="spellStart"/>
      <w:r w:rsidRPr="009160D5">
        <w:t>v.b</w:t>
      </w:r>
      <w:proofErr w:type="spellEnd"/>
      <w:r w:rsidRPr="009160D5">
        <w:t xml:space="preserve">. Patienter </w:t>
      </w:r>
      <w:r w:rsidRPr="009160D5">
        <w:rPr>
          <w:u w:val="single"/>
        </w:rPr>
        <w:t>utan anamnes och symtombild enligt a) eller b)</w:t>
      </w:r>
      <w:r w:rsidRPr="009160D5">
        <w:t xml:space="preserve"> – avstå LP, behandla som </w:t>
      </w:r>
      <w:r w:rsidRPr="009160D5">
        <w:rPr>
          <w:b/>
          <w:bCs/>
        </w:rPr>
        <w:t>Bells pares</w:t>
      </w:r>
      <w:r w:rsidRPr="009160D5">
        <w:t>.</w:t>
      </w:r>
    </w:p>
    <w:p w14:paraId="4AC6D0D4" w14:textId="77777777" w:rsidR="005D7BD2" w:rsidRPr="00D52BF3" w:rsidRDefault="005D7BD2" w:rsidP="005D7BD2">
      <w:pPr>
        <w:rPr>
          <w:b/>
          <w:bCs/>
          <w:color w:val="000000"/>
        </w:rPr>
      </w:pPr>
      <w:r w:rsidRPr="00D52BF3">
        <w:rPr>
          <w:b/>
          <w:bCs/>
        </w:rPr>
        <w:t>Om misstanke om infektiös genes gör LP.</w:t>
      </w:r>
    </w:p>
    <w:p w14:paraId="48463A78" w14:textId="77777777" w:rsidR="005D7BD2" w:rsidRPr="009160D5" w:rsidRDefault="005D7BD2" w:rsidP="005D7BD2">
      <w:pPr>
        <w:ind w:right="707"/>
        <w:rPr>
          <w:i/>
          <w:iCs/>
          <w:color w:val="000000"/>
        </w:rPr>
      </w:pPr>
      <w:r w:rsidRPr="244A9850">
        <w:t xml:space="preserve">Inför LP, beakta kontraindikation (DOAK, </w:t>
      </w:r>
      <w:proofErr w:type="spellStart"/>
      <w:r w:rsidRPr="244A9850">
        <w:t>waran</w:t>
      </w:r>
      <w:proofErr w:type="spellEnd"/>
      <w:r w:rsidRPr="244A9850">
        <w:t xml:space="preserve">, andra </w:t>
      </w:r>
      <w:proofErr w:type="spellStart"/>
      <w:r w:rsidRPr="244A9850">
        <w:t>antikoagulantia</w:t>
      </w:r>
      <w:proofErr w:type="spellEnd"/>
      <w:r w:rsidRPr="244A9850">
        <w:t>). Mycket tidigt i förloppet kan enstaka patienter med infektiöst orsakad perifer facialispares sakna pleocytos i likvor. Avvakta därför om möjligt med LP 24-48h från symtomdebut.</w:t>
      </w:r>
    </w:p>
    <w:p w14:paraId="493DE52F" w14:textId="77777777" w:rsidR="005D7BD2" w:rsidRPr="00747AA4" w:rsidRDefault="005D7BD2" w:rsidP="005D7BD2">
      <w:pPr>
        <w:ind w:right="707"/>
        <w:rPr>
          <w:i/>
          <w:iCs/>
        </w:rPr>
      </w:pPr>
      <w:r w:rsidRPr="009160D5">
        <w:rPr>
          <w:b/>
          <w:bCs/>
        </w:rPr>
        <w:t>LP</w:t>
      </w:r>
      <w:r w:rsidRPr="009160D5">
        <w:t>: 4 rör (</w:t>
      </w:r>
      <w:r w:rsidRPr="00747AA4">
        <w:rPr>
          <w:i/>
          <w:iCs/>
        </w:rPr>
        <w:t>1 ml + 1,5ml + 1,5ml + 2ml)</w:t>
      </w:r>
    </w:p>
    <w:p w14:paraId="668E22E0" w14:textId="77777777" w:rsidR="005D7BD2" w:rsidRDefault="005D7BD2" w:rsidP="00A95C53">
      <w:pPr>
        <w:pStyle w:val="Punktlista"/>
        <w:ind w:left="1701"/>
      </w:pPr>
      <w:r w:rsidRPr="009160D5">
        <w:t xml:space="preserve">Rör #1 skickas till </w:t>
      </w:r>
      <w:proofErr w:type="spellStart"/>
      <w:r w:rsidRPr="009160D5">
        <w:t>kemlab</w:t>
      </w:r>
      <w:proofErr w:type="spellEnd"/>
      <w:r w:rsidRPr="009160D5">
        <w:t xml:space="preserve"> för celler, albumin, glukos, laktat</w:t>
      </w:r>
    </w:p>
    <w:p w14:paraId="75DCCD4E" w14:textId="77777777" w:rsidR="005D7BD2" w:rsidRPr="00D932CF" w:rsidRDefault="005D7BD2" w:rsidP="005D7BD2">
      <w:pPr>
        <w:pStyle w:val="Punktlista"/>
        <w:ind w:left="1701" w:right="707"/>
      </w:pPr>
      <w:r w:rsidRPr="00D932CF">
        <w:rPr>
          <w:b/>
          <w:bCs/>
          <w:color w:val="000000"/>
        </w:rPr>
        <w:t xml:space="preserve">Om </w:t>
      </w:r>
      <w:r w:rsidRPr="00D932CF">
        <w:rPr>
          <w:b/>
          <w:bCs/>
          <w:color w:val="000000"/>
          <w:u w:val="single"/>
        </w:rPr>
        <w:t>pleocytos</w:t>
      </w:r>
    </w:p>
    <w:p w14:paraId="32BD12B0" w14:textId="77777777" w:rsidR="005D7BD2" w:rsidRPr="00D932CF" w:rsidRDefault="005D7BD2" w:rsidP="005D7BD2">
      <w:pPr>
        <w:pStyle w:val="Punktlista"/>
        <w:numPr>
          <w:ilvl w:val="1"/>
          <w:numId w:val="14"/>
        </w:numPr>
        <w:ind w:left="2127" w:right="707"/>
      </w:pPr>
      <w:r w:rsidRPr="00D932CF">
        <w:rPr>
          <w:color w:val="000000"/>
        </w:rPr>
        <w:t>Rör #2 skickas för borrelia-ak (+ borrelia-ak i serum),</w:t>
      </w:r>
    </w:p>
    <w:p w14:paraId="1A82AC67" w14:textId="77777777" w:rsidR="005D7BD2" w:rsidRDefault="005D7BD2" w:rsidP="005D7BD2">
      <w:pPr>
        <w:pStyle w:val="Punktlista"/>
        <w:numPr>
          <w:ilvl w:val="1"/>
          <w:numId w:val="14"/>
        </w:numPr>
        <w:ind w:left="2127" w:right="707"/>
      </w:pPr>
      <w:r w:rsidRPr="00D932CF">
        <w:rPr>
          <w:color w:val="000000"/>
        </w:rPr>
        <w:t xml:space="preserve">Rör #3 skickas för </w:t>
      </w:r>
      <w:r w:rsidRPr="009160D5">
        <w:t>PCR VZV+HSV (+ blåsskrap för PCR VZV+HSV om patienten har blåsor)</w:t>
      </w:r>
    </w:p>
    <w:p w14:paraId="221CA351" w14:textId="77777777" w:rsidR="005D7BD2" w:rsidRPr="00D932CF" w:rsidRDefault="005D7BD2" w:rsidP="005D7BD2">
      <w:pPr>
        <w:pStyle w:val="Punktlista"/>
        <w:ind w:left="1701" w:right="707"/>
      </w:pPr>
      <w:r w:rsidRPr="00D932CF">
        <w:rPr>
          <w:rFonts w:eastAsia="Calibri"/>
          <w:lang w:eastAsia="en-US"/>
        </w:rPr>
        <w:t xml:space="preserve">Rör #4 sparas på </w:t>
      </w:r>
      <w:proofErr w:type="spellStart"/>
      <w:r w:rsidRPr="00D932CF">
        <w:rPr>
          <w:rFonts w:eastAsia="Calibri"/>
          <w:lang w:eastAsia="en-US"/>
        </w:rPr>
        <w:t>forskningslab</w:t>
      </w:r>
      <w:proofErr w:type="spellEnd"/>
      <w:r w:rsidRPr="00D932CF">
        <w:rPr>
          <w:rFonts w:eastAsia="Calibri"/>
          <w:lang w:eastAsia="en-US"/>
        </w:rPr>
        <w:t xml:space="preserve"> tillsammans med ett serumrör och ett plasmarör</w:t>
      </w:r>
    </w:p>
    <w:p w14:paraId="3FB2213C" w14:textId="77777777" w:rsidR="005D7BD2" w:rsidRPr="009160D5" w:rsidRDefault="005D7BD2" w:rsidP="005D7BD2">
      <w:pPr>
        <w:pStyle w:val="Rubrik3"/>
        <w:ind w:right="707"/>
      </w:pPr>
      <w:r w:rsidRPr="009160D5">
        <w:t>Handläggning utifrån LP svar</w:t>
      </w:r>
    </w:p>
    <w:p w14:paraId="2FB1C73A" w14:textId="77777777" w:rsidR="005D7BD2" w:rsidRPr="009160D5" w:rsidRDefault="005D7BD2" w:rsidP="005D7BD2">
      <w:pPr>
        <w:ind w:right="707"/>
        <w:rPr>
          <w:rFonts w:eastAsia="Calibri"/>
          <w:color w:val="000000"/>
          <w:lang w:eastAsia="en-US"/>
        </w:rPr>
      </w:pPr>
      <w:r w:rsidRPr="244A9850">
        <w:rPr>
          <w:rFonts w:eastAsia="Calibri"/>
          <w:lang w:eastAsia="en-US"/>
        </w:rPr>
        <w:t xml:space="preserve">Om ingen pleocytos, och inget annat som talar för infektion, behandla som </w:t>
      </w:r>
      <w:r w:rsidRPr="244A9850">
        <w:rPr>
          <w:rFonts w:eastAsia="Calibri"/>
          <w:b/>
          <w:bCs/>
          <w:lang w:eastAsia="en-US"/>
        </w:rPr>
        <w:t>Bells pares</w:t>
      </w:r>
      <w:r w:rsidRPr="244A9850">
        <w:rPr>
          <w:rFonts w:eastAsia="Calibri"/>
          <w:lang w:eastAsia="en-US"/>
        </w:rPr>
        <w:t>. Skicka inga ytterligare prover för analys.</w:t>
      </w:r>
    </w:p>
    <w:p w14:paraId="5234BA09" w14:textId="77777777" w:rsidR="005D7BD2" w:rsidRPr="009160D5" w:rsidRDefault="005D7BD2" w:rsidP="005D7BD2">
      <w:pPr>
        <w:pStyle w:val="Rubrik3"/>
        <w:ind w:right="707"/>
      </w:pPr>
      <w:r w:rsidRPr="009160D5">
        <w:t>Behandling</w:t>
      </w:r>
    </w:p>
    <w:p w14:paraId="4BD1CD6D" w14:textId="77777777" w:rsidR="005D7BD2" w:rsidRDefault="005D7BD2" w:rsidP="005D7BD2">
      <w:pPr>
        <w:pStyle w:val="MellanrubrikVGR"/>
        <w:spacing w:after="0"/>
        <w:ind w:right="709"/>
        <w:rPr>
          <w:rFonts w:eastAsia="Calibri"/>
          <w:lang w:eastAsia="en-US"/>
        </w:rPr>
      </w:pPr>
      <w:r w:rsidRPr="244A9850">
        <w:rPr>
          <w:rFonts w:eastAsia="Calibri"/>
          <w:lang w:eastAsia="en-US"/>
        </w:rPr>
        <w:t>Eventuell behandling i väntan på LP</w:t>
      </w:r>
    </w:p>
    <w:p w14:paraId="4AC2A67D" w14:textId="77777777" w:rsidR="005D7BD2" w:rsidRDefault="005D7BD2" w:rsidP="005D7BD2">
      <w:pPr>
        <w:ind w:right="707"/>
        <w:rPr>
          <w:i/>
          <w:iCs/>
          <w:sz w:val="28"/>
          <w:szCs w:val="28"/>
        </w:rPr>
      </w:pPr>
      <w:r w:rsidRPr="244A9850">
        <w:t xml:space="preserve">Om jour/konsult kontaktas angående patient med låg misstanke om infektiös genes bör kortisonbehandling enligt nedan påbörjas i väntan på </w:t>
      </w:r>
      <w:r w:rsidRPr="244A9850">
        <w:lastRenderedPageBreak/>
        <w:t xml:space="preserve">LP. Om LP ej är möjligt inom 48h och misstanke om infektiös genes överväg empirisk behandling med </w:t>
      </w:r>
      <w:r w:rsidRPr="244A9850">
        <w:rPr>
          <w:i/>
          <w:iCs/>
        </w:rPr>
        <w:t xml:space="preserve">doxycyklin </w:t>
      </w:r>
      <w:r w:rsidRPr="244A9850">
        <w:t xml:space="preserve">och/eller </w:t>
      </w:r>
      <w:r w:rsidRPr="244A9850">
        <w:rPr>
          <w:i/>
          <w:iCs/>
        </w:rPr>
        <w:t>valaciklovir</w:t>
      </w:r>
      <w:r w:rsidRPr="244A9850">
        <w:t xml:space="preserve"> i avvaktan på LP nästkommande vardag.</w:t>
      </w:r>
    </w:p>
    <w:p w14:paraId="2879E5B9" w14:textId="77777777" w:rsidR="005D7BD2" w:rsidRPr="009160D5" w:rsidRDefault="005D7BD2" w:rsidP="005D7BD2">
      <w:pPr>
        <w:pStyle w:val="MellanrubrikVGR"/>
        <w:spacing w:after="0"/>
        <w:ind w:right="709"/>
      </w:pPr>
      <w:r w:rsidRPr="009160D5">
        <w:t>Bells pares</w:t>
      </w:r>
    </w:p>
    <w:p w14:paraId="676EBBA7" w14:textId="77777777" w:rsidR="005D7BD2" w:rsidRPr="009160D5" w:rsidRDefault="005D7BD2" w:rsidP="005D7BD2">
      <w:pPr>
        <w:ind w:right="707"/>
      </w:pPr>
      <w:r w:rsidRPr="009160D5">
        <w:t xml:space="preserve">Om ingen kontraindikation föreligger, </w:t>
      </w:r>
      <w:proofErr w:type="gramStart"/>
      <w:r w:rsidRPr="009160D5">
        <w:t>t ex</w:t>
      </w:r>
      <w:proofErr w:type="gramEnd"/>
      <w:r w:rsidRPr="009160D5">
        <w:t xml:space="preserve"> psykos, svår bipolär sjukdom, pågående </w:t>
      </w:r>
      <w:proofErr w:type="spellStart"/>
      <w:r w:rsidRPr="009160D5">
        <w:t>ulcus</w:t>
      </w:r>
      <w:proofErr w:type="spellEnd"/>
      <w:r w:rsidRPr="009160D5">
        <w:t xml:space="preserve"> eller svårreglerad diabetes, rekommenderas behandling inom 72 h från symtomdebut med </w:t>
      </w:r>
      <w:r w:rsidRPr="009160D5">
        <w:rPr>
          <w:i/>
          <w:iCs/>
        </w:rPr>
        <w:t>prednisolon</w:t>
      </w:r>
      <w:r w:rsidRPr="009160D5">
        <w:t xml:space="preserve"> i 10 dagar enligt schema:</w:t>
      </w:r>
    </w:p>
    <w:p w14:paraId="1E21E085" w14:textId="77777777" w:rsidR="005D7BD2" w:rsidRPr="009160D5" w:rsidRDefault="005D7BD2" w:rsidP="005D7BD2">
      <w:pPr>
        <w:ind w:right="707"/>
      </w:pPr>
      <w:r w:rsidRPr="009160D5">
        <w:rPr>
          <w:i/>
          <w:iCs/>
        </w:rPr>
        <w:t>T prednisolon</w:t>
      </w:r>
      <w:r w:rsidRPr="009160D5">
        <w:t xml:space="preserve"> 10mg 6x1 i 5 dagar, därefter nedtrappning med 10 mg</w:t>
      </w:r>
      <w:r>
        <w:t xml:space="preserve"> </w:t>
      </w:r>
      <w:r w:rsidRPr="009160D5">
        <w:t>per dag.</w:t>
      </w:r>
    </w:p>
    <w:p w14:paraId="14AF028B" w14:textId="77777777" w:rsidR="005D7BD2" w:rsidRPr="009160D5" w:rsidRDefault="005D7BD2" w:rsidP="005D7BD2">
      <w:pPr>
        <w:pStyle w:val="MellanrubrikVGR"/>
        <w:spacing w:after="0"/>
        <w:ind w:right="709"/>
      </w:pPr>
      <w:r w:rsidRPr="009160D5">
        <w:t>Neuroborrelios</w:t>
      </w:r>
    </w:p>
    <w:p w14:paraId="19015921" w14:textId="77777777" w:rsidR="005D7BD2" w:rsidRPr="009160D5" w:rsidRDefault="005D7BD2" w:rsidP="005D7BD2">
      <w:pPr>
        <w:ind w:right="707"/>
        <w:rPr>
          <w:color w:val="000000"/>
        </w:rPr>
      </w:pPr>
      <w:r w:rsidRPr="244A9850">
        <w:rPr>
          <w:i/>
          <w:iCs/>
        </w:rPr>
        <w:t>T doxycyklin</w:t>
      </w:r>
      <w:r w:rsidRPr="244A9850">
        <w:t xml:space="preserve"> 200mg x 1 i 14 dagar. OBS, informera om risken för fototoxicitet.</w:t>
      </w:r>
    </w:p>
    <w:p w14:paraId="63C4F72A" w14:textId="77777777" w:rsidR="005D7BD2" w:rsidRPr="009160D5" w:rsidRDefault="005D7BD2" w:rsidP="005D7BD2">
      <w:pPr>
        <w:ind w:right="707"/>
      </w:pPr>
      <w:r w:rsidRPr="009160D5">
        <w:t>Vid graviditet, 2:a och 3:e trimester:</w:t>
      </w:r>
      <w:r w:rsidRPr="009160D5">
        <w:br/>
      </w:r>
      <w:r w:rsidRPr="009160D5">
        <w:rPr>
          <w:i/>
          <w:iCs/>
        </w:rPr>
        <w:t>Inf ceftriaxon</w:t>
      </w:r>
      <w:r w:rsidRPr="009160D5">
        <w:t xml:space="preserve"> 2g x 1 i 14 dagar</w:t>
      </w:r>
    </w:p>
    <w:p w14:paraId="164AFE98" w14:textId="77777777" w:rsidR="005D7BD2" w:rsidRPr="009160D5" w:rsidRDefault="005D7BD2" w:rsidP="005D7BD2">
      <w:pPr>
        <w:ind w:right="707"/>
      </w:pPr>
      <w:r w:rsidRPr="009160D5">
        <w:t xml:space="preserve">För andra borreliamanifestationer än facialispares, se separat rutin, Borrelia – utredning och behandling </w:t>
      </w:r>
    </w:p>
    <w:p w14:paraId="5615DC1E" w14:textId="77777777" w:rsidR="005D7BD2" w:rsidRPr="009160D5" w:rsidRDefault="005D7BD2" w:rsidP="005D7BD2">
      <w:pPr>
        <w:pStyle w:val="MellanrubrikVGR"/>
        <w:spacing w:after="0"/>
        <w:ind w:right="709"/>
      </w:pPr>
      <w:r w:rsidRPr="009160D5">
        <w:t>Ramsay Hunts syndrom</w:t>
      </w:r>
    </w:p>
    <w:p w14:paraId="1FAA4F01" w14:textId="77777777" w:rsidR="005D7BD2" w:rsidRPr="009160D5" w:rsidRDefault="005D7BD2" w:rsidP="005D7BD2">
      <w:pPr>
        <w:ind w:right="707"/>
        <w:rPr>
          <w:color w:val="000000"/>
        </w:rPr>
      </w:pPr>
      <w:r w:rsidRPr="009160D5">
        <w:t>Vid påvisad eller misstänkt virusutlöst pares, skall behandling sättas in inom 72 h från symptomdebut:</w:t>
      </w:r>
      <w:r>
        <w:br/>
      </w:r>
      <w:r w:rsidRPr="244A9850">
        <w:rPr>
          <w:i/>
          <w:iCs/>
        </w:rPr>
        <w:t>IV aciklovir</w:t>
      </w:r>
      <w:r w:rsidRPr="244A9850">
        <w:t xml:space="preserve"> 10–15 mg/kg x 3, alternativt</w:t>
      </w:r>
      <w:r w:rsidRPr="244A9850">
        <w:rPr>
          <w:i/>
          <w:iCs/>
        </w:rPr>
        <w:t xml:space="preserve"> T valaciklovir</w:t>
      </w:r>
      <w:r w:rsidRPr="244A9850">
        <w:t xml:space="preserve"> 500mg </w:t>
      </w:r>
      <w:proofErr w:type="gramStart"/>
      <w:r w:rsidRPr="244A9850">
        <w:t>2-4</w:t>
      </w:r>
      <w:proofErr w:type="gramEnd"/>
      <w:r w:rsidRPr="244A9850">
        <w:t xml:space="preserve"> x 3. Behandlingstid 7 dagar</w:t>
      </w:r>
      <w:r>
        <w:br/>
      </w:r>
      <w:r w:rsidRPr="009160D5">
        <w:t>och</w:t>
      </w:r>
      <w:r>
        <w:br/>
      </w:r>
      <w:r w:rsidRPr="228ABBC2">
        <w:rPr>
          <w:i/>
          <w:iCs/>
        </w:rPr>
        <w:t>T prednisolon</w:t>
      </w:r>
      <w:r w:rsidRPr="228ABBC2">
        <w:t xml:space="preserve"> 10mg 6x1 i 5 dagar, därefter nedtrappning med 10 mg per dag. </w:t>
      </w:r>
    </w:p>
    <w:p w14:paraId="63A5A69D" w14:textId="77777777" w:rsidR="005D7BD2" w:rsidRDefault="005D7BD2" w:rsidP="005D7BD2">
      <w:pPr>
        <w:ind w:right="707"/>
      </w:pPr>
      <w:r w:rsidRPr="228ABBC2">
        <w:t>OBS! Patienter med bekräftat eller misstänkt Ramsay Hunts syndrom och hörselpåverkan och/eller vestibularispåverkan ska remitteras akut till ÖNH. Kontakta ÖNH-jour på telefon.</w:t>
      </w:r>
    </w:p>
    <w:p w14:paraId="64F5B94A" w14:textId="77777777" w:rsidR="005D7BD2" w:rsidRPr="009160D5" w:rsidRDefault="005D7BD2" w:rsidP="005D7BD2">
      <w:pPr>
        <w:pStyle w:val="Rubrik2"/>
        <w:ind w:right="707"/>
        <w:rPr>
          <w:color w:val="000000"/>
        </w:rPr>
      </w:pPr>
      <w:r w:rsidRPr="134049EB">
        <w:t>Uppföljning</w:t>
      </w:r>
    </w:p>
    <w:p w14:paraId="41D22712" w14:textId="77777777" w:rsidR="005D7BD2" w:rsidRDefault="005D7BD2" w:rsidP="005D7BD2">
      <w:pPr>
        <w:ind w:right="707"/>
      </w:pPr>
      <w:r w:rsidRPr="228ABBC2">
        <w:t xml:space="preserve">Patienter där prover skickats för serologi och/eller PCR, skall följas upp på telefontid inom 7 dagar. Vid säkerställd Bells pares-diagnos remitteras patienten till primärvården för uppföljning inom 2–4 veckor. Vid neuroborrelios eller Ramsay Hunts syndrom ska patienten följas upp med telefontid efter två månader på Infektion. Patienter som då har kvarstående pares remitteras till </w:t>
      </w:r>
      <w:r w:rsidRPr="228ABBC2">
        <w:rPr>
          <w:b/>
          <w:bCs/>
        </w:rPr>
        <w:t>ÖNH</w:t>
      </w:r>
      <w:r w:rsidRPr="228ABBC2">
        <w:t xml:space="preserve">. Vid kvarstående ögonbesvär – remiss till </w:t>
      </w:r>
      <w:r w:rsidRPr="228ABBC2">
        <w:rPr>
          <w:b/>
          <w:bCs/>
        </w:rPr>
        <w:t>Ögon</w:t>
      </w:r>
      <w:r w:rsidRPr="228ABBC2">
        <w:t>.</w:t>
      </w:r>
    </w:p>
    <w:p w14:paraId="3631B98D" w14:textId="77777777" w:rsidR="005D7BD2" w:rsidRPr="009160D5" w:rsidRDefault="005D7BD2" w:rsidP="005D7BD2">
      <w:pPr>
        <w:pStyle w:val="Rubrik2"/>
        <w:ind w:right="707"/>
      </w:pPr>
      <w:r w:rsidRPr="009160D5">
        <w:lastRenderedPageBreak/>
        <w:t>Övrig behandling</w:t>
      </w:r>
    </w:p>
    <w:p w14:paraId="2CA83229" w14:textId="77777777" w:rsidR="005D7BD2" w:rsidRPr="009160D5" w:rsidRDefault="005D7BD2" w:rsidP="005D7BD2">
      <w:pPr>
        <w:pStyle w:val="MellanrubrikVGR"/>
        <w:spacing w:after="0"/>
        <w:ind w:right="709"/>
      </w:pPr>
      <w:r w:rsidRPr="009160D5">
        <w:t>Vid ofullständig slutning av ögat</w:t>
      </w:r>
    </w:p>
    <w:p w14:paraId="4B9923DD" w14:textId="77777777" w:rsidR="005D7BD2" w:rsidRPr="0063113B" w:rsidRDefault="005D7BD2" w:rsidP="005D7BD2">
      <w:pPr>
        <w:ind w:right="707"/>
      </w:pPr>
      <w:r w:rsidRPr="244A9850">
        <w:t>Det är viktigt att skydda ögat, förskriv ögondroppar och ögonsalva, exempelvis:</w:t>
      </w:r>
      <w:r>
        <w:br/>
      </w:r>
      <w:r w:rsidRPr="244A9850">
        <w:t xml:space="preserve">Medellångverkande: </w:t>
      </w:r>
      <w:proofErr w:type="spellStart"/>
      <w:r w:rsidRPr="244A9850">
        <w:t>Artelac</w:t>
      </w:r>
      <w:proofErr w:type="spellEnd"/>
      <w:r w:rsidRPr="244A9850">
        <w:t xml:space="preserve"> ögondroppar 1–2 droppar 6–8 gånger dagligen</w:t>
      </w:r>
      <w:r>
        <w:br/>
      </w:r>
      <w:r w:rsidRPr="244A9850">
        <w:t xml:space="preserve">Långverkande: </w:t>
      </w:r>
      <w:proofErr w:type="spellStart"/>
      <w:r w:rsidRPr="244A9850">
        <w:t>Viscotears</w:t>
      </w:r>
      <w:proofErr w:type="spellEnd"/>
      <w:r w:rsidRPr="244A9850">
        <w:t xml:space="preserve"> </w:t>
      </w:r>
      <w:proofErr w:type="spellStart"/>
      <w:r w:rsidRPr="244A9850">
        <w:t>ögongel</w:t>
      </w:r>
      <w:proofErr w:type="spellEnd"/>
      <w:r w:rsidRPr="244A9850">
        <w:t xml:space="preserve"> 1–2 droppar till natten</w:t>
      </w:r>
    </w:p>
    <w:p w14:paraId="4D01AE60" w14:textId="77777777" w:rsidR="005D7BD2" w:rsidRPr="009160D5" w:rsidRDefault="005D7BD2" w:rsidP="005D7BD2">
      <w:pPr>
        <w:ind w:right="707"/>
      </w:pPr>
      <w:r w:rsidRPr="009160D5">
        <w:t>Till natten ge rekommendation att korstejpa i ögats laterala del (se bild), alt. fuktkammare som patienten köper själv på apotek.</w:t>
      </w:r>
    </w:p>
    <w:p w14:paraId="548B7197" w14:textId="77777777" w:rsidR="005D7BD2" w:rsidRPr="009160D5" w:rsidRDefault="005D7BD2" w:rsidP="005D7BD2">
      <w:pPr>
        <w:ind w:right="707"/>
        <w:rPr>
          <w:color w:val="000000"/>
        </w:rPr>
      </w:pPr>
      <w:r w:rsidRPr="009160D5">
        <w:rPr>
          <w:noProof/>
          <w:color w:val="000000"/>
        </w:rPr>
        <w:drawing>
          <wp:inline distT="0" distB="0" distL="0" distR="0" wp14:anchorId="104E5579" wp14:editId="2831CA24">
            <wp:extent cx="2047875" cy="1323975"/>
            <wp:effectExtent l="0" t="0" r="9525" b="9525"/>
            <wp:docPr id="1" name="Picture 1" descr="Close-up of a person's ey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lose-up of a person's eye&#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47875" cy="1323975"/>
                    </a:xfrm>
                    <a:prstGeom prst="rect">
                      <a:avLst/>
                    </a:prstGeom>
                    <a:noFill/>
                    <a:ln>
                      <a:noFill/>
                    </a:ln>
                  </pic:spPr>
                </pic:pic>
              </a:graphicData>
            </a:graphic>
          </wp:inline>
        </w:drawing>
      </w:r>
    </w:p>
    <w:p w14:paraId="04918A19" w14:textId="77777777" w:rsidR="005D7BD2" w:rsidRPr="009160D5" w:rsidRDefault="005D7BD2" w:rsidP="005D7BD2">
      <w:pPr>
        <w:ind w:right="707"/>
      </w:pPr>
      <w:r w:rsidRPr="009160D5">
        <w:t xml:space="preserve">Vid misstanke om </w:t>
      </w:r>
      <w:proofErr w:type="spellStart"/>
      <w:r w:rsidRPr="009160D5">
        <w:rPr>
          <w:u w:val="single"/>
        </w:rPr>
        <w:t>keratit</w:t>
      </w:r>
      <w:proofErr w:type="spellEnd"/>
      <w:r w:rsidRPr="009160D5">
        <w:t xml:space="preserve"> (rött öga, ökat tårflöde, nedsatt syn, blåsbildning vid nästipp), kontakt med </w:t>
      </w:r>
      <w:r w:rsidRPr="009160D5">
        <w:rPr>
          <w:b/>
          <w:bCs/>
        </w:rPr>
        <w:t>ögonläkare</w:t>
      </w:r>
      <w:r w:rsidRPr="009160D5">
        <w:t>.</w:t>
      </w:r>
    </w:p>
    <w:p w14:paraId="5E6B8532" w14:textId="77777777" w:rsidR="005D7BD2" w:rsidRPr="009160D5" w:rsidRDefault="005D7BD2" w:rsidP="005D7BD2">
      <w:pPr>
        <w:pStyle w:val="Rubrik2"/>
        <w:ind w:right="707"/>
      </w:pPr>
      <w:r w:rsidRPr="009160D5">
        <w:t>Differentialdiagnoser</w:t>
      </w:r>
    </w:p>
    <w:p w14:paraId="5DE1BE22" w14:textId="77777777" w:rsidR="005D7BD2" w:rsidRPr="009160D5" w:rsidRDefault="005D7BD2" w:rsidP="005D7BD2">
      <w:pPr>
        <w:ind w:right="707"/>
      </w:pPr>
      <w:r w:rsidRPr="134049EB">
        <w:t xml:space="preserve">Autoimmuna </w:t>
      </w:r>
      <w:proofErr w:type="spellStart"/>
      <w:r w:rsidRPr="134049EB">
        <w:t>neuropatier</w:t>
      </w:r>
      <w:proofErr w:type="spellEnd"/>
      <w:r w:rsidRPr="134049EB">
        <w:t xml:space="preserve"> - </w:t>
      </w:r>
      <w:proofErr w:type="spellStart"/>
      <w:r w:rsidRPr="134049EB">
        <w:t>neurosarkoidos</w:t>
      </w:r>
      <w:proofErr w:type="spellEnd"/>
      <w:r w:rsidRPr="134049EB">
        <w:t xml:space="preserve"> (vanligare med dubbelsidig pares), MS, </w:t>
      </w:r>
      <w:proofErr w:type="spellStart"/>
      <w:r w:rsidRPr="134049EB">
        <w:t>Guillan-Barrés</w:t>
      </w:r>
      <w:proofErr w:type="spellEnd"/>
      <w:r w:rsidRPr="134049EB">
        <w:t xml:space="preserve"> syndrom, kontakta </w:t>
      </w:r>
      <w:r w:rsidRPr="134049EB">
        <w:rPr>
          <w:b/>
          <w:bCs/>
        </w:rPr>
        <w:t>neurolog</w:t>
      </w:r>
      <w:r w:rsidRPr="134049EB">
        <w:t xml:space="preserve">. Vid misstänkt palpabel tumör i </w:t>
      </w:r>
      <w:proofErr w:type="spellStart"/>
      <w:r w:rsidRPr="134049EB">
        <w:t>parotiskörteln</w:t>
      </w:r>
      <w:proofErr w:type="spellEnd"/>
      <w:r w:rsidRPr="134049EB">
        <w:t xml:space="preserve">, akut mediaotit eller annat </w:t>
      </w:r>
      <w:proofErr w:type="spellStart"/>
      <w:r w:rsidRPr="134049EB">
        <w:t>öronengagemang</w:t>
      </w:r>
      <w:proofErr w:type="spellEnd"/>
      <w:r w:rsidRPr="134049EB">
        <w:t>, kontakta ÖNH.</w:t>
      </w:r>
    </w:p>
    <w:p w14:paraId="3847F891" w14:textId="77777777" w:rsidR="005D7BD2" w:rsidRPr="009160D5" w:rsidRDefault="005D7BD2" w:rsidP="005D7BD2">
      <w:pPr>
        <w:pStyle w:val="Rubrik2"/>
        <w:ind w:right="707"/>
      </w:pPr>
      <w:r w:rsidRPr="009160D5">
        <w:t>Prognos</w:t>
      </w:r>
    </w:p>
    <w:p w14:paraId="3C17A0D4" w14:textId="77777777" w:rsidR="005D7BD2" w:rsidRPr="009160D5" w:rsidRDefault="005D7BD2" w:rsidP="005D7BD2">
      <w:pPr>
        <w:ind w:right="707"/>
      </w:pPr>
      <w:r>
        <w:t>Majoriteten av patienterna med neuroborrelios och inkomplett pares (viss rörelseförmåga bevarad) får tillbaka normal funktion inom 4</w:t>
      </w:r>
      <w:r w:rsidRPr="244A9850">
        <w:rPr>
          <w:color w:val="000000" w:themeColor="text2"/>
        </w:rPr>
        <w:t>–</w:t>
      </w:r>
      <w:r>
        <w:t>6 veckor. Vid komplett pares (paralys) blir ca 50% återställda inom 6 veckor. Resterande 50% ser förbättring upp till 12 månader men det förekommer ofta restsymtom av olika grad, tex medrörelser (</w:t>
      </w:r>
      <w:proofErr w:type="spellStart"/>
      <w:r>
        <w:t>synkinesier</w:t>
      </w:r>
      <w:proofErr w:type="spellEnd"/>
      <w:r>
        <w:t xml:space="preserve">), smärtsamma kontraktioner, muskelatrofier och krokodiltårar. Vid inkomplett läkning remiss till </w:t>
      </w:r>
      <w:proofErr w:type="spellStart"/>
      <w:r>
        <w:t>facialisparesteamet</w:t>
      </w:r>
      <w:proofErr w:type="spellEnd"/>
      <w:r>
        <w:t xml:space="preserve">, plastikkirurgen SU. Patienter med Ramsay Hunts syndrom löper större risk att få bestående hörselnedsättning, </w:t>
      </w:r>
      <w:proofErr w:type="spellStart"/>
      <w:r>
        <w:t>vestibulärt</w:t>
      </w:r>
      <w:proofErr w:type="spellEnd"/>
      <w:r>
        <w:t xml:space="preserve"> bortfall och defektläkning av ansiktsförlamningen speciellt vid komplett pares.</w:t>
      </w:r>
    </w:p>
    <w:p w14:paraId="7181A9CC" w14:textId="77777777" w:rsidR="005D7BD2" w:rsidRPr="009160D5" w:rsidRDefault="005D7BD2" w:rsidP="005D7BD2">
      <w:pPr>
        <w:pStyle w:val="Rubrik2"/>
        <w:ind w:right="707"/>
      </w:pPr>
      <w:r w:rsidRPr="009160D5">
        <w:lastRenderedPageBreak/>
        <w:t>Referenser/kunskapsöversikt</w:t>
      </w:r>
    </w:p>
    <w:p w14:paraId="165BED93" w14:textId="77777777" w:rsidR="005D7BD2" w:rsidRPr="009160D5" w:rsidRDefault="005D7BD2" w:rsidP="005D7BD2">
      <w:pPr>
        <w:ind w:right="707"/>
        <w:rPr>
          <w:rFonts w:eastAsia="Calibri"/>
          <w:color w:val="000000"/>
        </w:rPr>
      </w:pPr>
      <w:r w:rsidRPr="244A9850">
        <w:rPr>
          <w:rFonts w:eastAsia="Calibri"/>
        </w:rPr>
        <w:t xml:space="preserve">Engström M, Berg T, </w:t>
      </w:r>
      <w:proofErr w:type="spellStart"/>
      <w:r w:rsidRPr="244A9850">
        <w:rPr>
          <w:rFonts w:eastAsia="Calibri"/>
        </w:rPr>
        <w:t>Stjernquist-Desatnik</w:t>
      </w:r>
      <w:proofErr w:type="spellEnd"/>
      <w:r w:rsidRPr="244A9850">
        <w:rPr>
          <w:rFonts w:eastAsia="Calibri"/>
        </w:rPr>
        <w:t xml:space="preserve"> A, et al. </w:t>
      </w:r>
      <w:r w:rsidRPr="244A9850">
        <w:rPr>
          <w:rFonts w:eastAsia="Calibri"/>
          <w:lang w:val="en-US"/>
        </w:rPr>
        <w:t xml:space="preserve">Prednisolone and valaciclovir in Bell’s palsy: a </w:t>
      </w:r>
      <w:proofErr w:type="spellStart"/>
      <w:r w:rsidRPr="244A9850">
        <w:rPr>
          <w:rFonts w:eastAsia="Calibri"/>
          <w:lang w:val="en-US"/>
        </w:rPr>
        <w:t>randomised</w:t>
      </w:r>
      <w:proofErr w:type="spellEnd"/>
      <w:r w:rsidRPr="244A9850">
        <w:rPr>
          <w:rFonts w:eastAsia="Calibri"/>
          <w:lang w:val="en-US"/>
        </w:rPr>
        <w:t xml:space="preserve">, double-blind, placebo-controlled, </w:t>
      </w:r>
      <w:proofErr w:type="spellStart"/>
      <w:r w:rsidRPr="244A9850">
        <w:rPr>
          <w:rFonts w:eastAsia="Calibri"/>
          <w:lang w:val="en-US"/>
        </w:rPr>
        <w:t>multicentre</w:t>
      </w:r>
      <w:proofErr w:type="spellEnd"/>
      <w:r w:rsidRPr="244A9850">
        <w:rPr>
          <w:rFonts w:eastAsia="Calibri"/>
          <w:lang w:val="en-US"/>
        </w:rPr>
        <w:t xml:space="preserve"> trial. </w:t>
      </w:r>
      <w:r w:rsidRPr="244A9850">
        <w:rPr>
          <w:rFonts w:eastAsia="Calibri"/>
        </w:rPr>
        <w:t xml:space="preserve">Lancet </w:t>
      </w:r>
      <w:proofErr w:type="spellStart"/>
      <w:r w:rsidRPr="244A9850">
        <w:rPr>
          <w:rFonts w:eastAsia="Calibri"/>
        </w:rPr>
        <w:t>Neurol</w:t>
      </w:r>
      <w:proofErr w:type="spellEnd"/>
      <w:r w:rsidRPr="244A9850">
        <w:rPr>
          <w:rFonts w:eastAsia="Calibri"/>
        </w:rPr>
        <w:t>. 2008;7:</w:t>
      </w:r>
      <w:proofErr w:type="gramStart"/>
      <w:r w:rsidRPr="244A9850">
        <w:rPr>
          <w:rFonts w:eastAsia="Calibri"/>
        </w:rPr>
        <w:t>993-1000</w:t>
      </w:r>
      <w:proofErr w:type="gramEnd"/>
      <w:r w:rsidRPr="244A9850">
        <w:rPr>
          <w:rFonts w:eastAsia="Calibri"/>
        </w:rPr>
        <w:t>.</w:t>
      </w:r>
    </w:p>
    <w:p w14:paraId="5FB5DA9F" w14:textId="77777777" w:rsidR="005D7BD2" w:rsidRPr="005924EB" w:rsidRDefault="005D7BD2" w:rsidP="005D7BD2">
      <w:pPr>
        <w:ind w:right="707"/>
        <w:rPr>
          <w:color w:val="000000"/>
          <w:lang w:val="en-US"/>
        </w:rPr>
      </w:pPr>
      <w:hyperlink r:id="rId18">
        <w:r w:rsidRPr="005924EB">
          <w:rPr>
            <w:rStyle w:val="Hyperlnk"/>
            <w:rFonts w:eastAsia="Calibri"/>
            <w:lang w:val="en-US"/>
          </w:rPr>
          <w:t>https://www.internetmedicin.se/behandlingsoversikter/infektion/facialispares-akut-idiopatisk-perifer-bells-pares-hos-vuxna/#</w:t>
        </w:r>
      </w:hyperlink>
    </w:p>
    <w:p w14:paraId="5E90E4C5" w14:textId="77777777" w:rsidR="005D7BD2" w:rsidRPr="005924EB" w:rsidRDefault="005D7BD2" w:rsidP="005D7BD2">
      <w:pPr>
        <w:ind w:right="707"/>
        <w:rPr>
          <w:rFonts w:eastAsia="Calibri"/>
          <w:color w:val="000000"/>
          <w:lang w:val="en-US"/>
        </w:rPr>
      </w:pPr>
      <w:hyperlink r:id="rId19" w:history="1">
        <w:r w:rsidRPr="005924EB">
          <w:rPr>
            <w:rStyle w:val="Hyperlnk"/>
            <w:rFonts w:eastAsia="Calibri"/>
            <w:lang w:val="en-US"/>
          </w:rPr>
          <w:t>https://viss.nu/download/18.d9ec095172e6db9637ea932/1600851653143/Sunnybrook_Facial_Grading_System.pdf</w:t>
        </w:r>
      </w:hyperlink>
    </w:p>
    <w:p w14:paraId="77A53FB1" w14:textId="77777777" w:rsidR="005D7BD2" w:rsidRPr="005924EB" w:rsidRDefault="005D7BD2" w:rsidP="005D7BD2">
      <w:pPr>
        <w:ind w:right="707"/>
        <w:rPr>
          <w:rFonts w:eastAsia="Calibri"/>
        </w:rPr>
      </w:pPr>
      <w:r w:rsidRPr="005924EB">
        <w:rPr>
          <w:rFonts w:eastAsia="Calibri"/>
        </w:rPr>
        <w:t>SILF Vårdprogram Bakteriella CNS-infektioner, SILF Vårdprogram Virala CNS-infektioner,</w:t>
      </w:r>
    </w:p>
    <w:p w14:paraId="1989593F" w14:textId="77777777" w:rsidR="005D7BD2" w:rsidRPr="005924EB" w:rsidRDefault="005D7BD2" w:rsidP="005D7BD2">
      <w:pPr>
        <w:ind w:right="707"/>
        <w:rPr>
          <w:rFonts w:eastAsia="Calibri"/>
          <w:color w:val="000000" w:themeColor="text2"/>
        </w:rPr>
      </w:pPr>
      <w:hyperlink r:id="rId20">
        <w:r w:rsidRPr="005924EB">
          <w:rPr>
            <w:rStyle w:val="Hyperlnk"/>
            <w:rFonts w:eastAsia="Calibri"/>
          </w:rPr>
          <w:t>https://infektion.net/kunskap-dokument/kunskap/vardprogram/</w:t>
        </w:r>
      </w:hyperlink>
    </w:p>
    <w:p w14:paraId="453187C0" w14:textId="77777777" w:rsidR="005D7BD2" w:rsidRPr="009160D5" w:rsidRDefault="005D7BD2" w:rsidP="005D7BD2">
      <w:pPr>
        <w:pStyle w:val="Rubrik2"/>
        <w:ind w:right="707"/>
      </w:pPr>
      <w:r w:rsidRPr="009160D5">
        <w:t>Uppföljning och utvärdering</w:t>
      </w:r>
    </w:p>
    <w:p w14:paraId="18319DA1" w14:textId="77777777" w:rsidR="005D7BD2" w:rsidRPr="009160D5" w:rsidRDefault="005D7BD2" w:rsidP="005D7BD2">
      <w:pPr>
        <w:ind w:right="707"/>
      </w:pPr>
      <w:r w:rsidRPr="009160D5">
        <w:t>Revision vartannat år.</w:t>
      </w:r>
    </w:p>
    <w:p w14:paraId="4278EAE7" w14:textId="77777777" w:rsidR="005D7BD2" w:rsidRPr="009160D5" w:rsidRDefault="005D7BD2" w:rsidP="005D7BD2">
      <w:pPr>
        <w:pStyle w:val="Rubrik2"/>
        <w:ind w:right="707"/>
      </w:pPr>
      <w:r w:rsidRPr="009160D5">
        <w:t>Granskare/arbetsgrupp</w:t>
      </w:r>
    </w:p>
    <w:p w14:paraId="33D86959" w14:textId="77777777" w:rsidR="005D7BD2" w:rsidRPr="00536A5A" w:rsidRDefault="005D7BD2" w:rsidP="005D7BD2">
      <w:pPr>
        <w:ind w:right="707"/>
      </w:pPr>
      <w:r w:rsidRPr="009160D5">
        <w:t xml:space="preserve">Daniel </w:t>
      </w:r>
      <w:proofErr w:type="spellStart"/>
      <w:r w:rsidRPr="009160D5">
        <w:t>Bremell</w:t>
      </w:r>
      <w:proofErr w:type="spellEnd"/>
      <w:r w:rsidRPr="009160D5">
        <w:t>, överläkare, sektionschef Infektion</w:t>
      </w:r>
      <w:r>
        <w:br/>
      </w:r>
      <w:r w:rsidRPr="009160D5">
        <w:t>Anna Grahn, överläkare, Infektion</w:t>
      </w:r>
      <w:r>
        <w:br/>
      </w:r>
      <w:r w:rsidRPr="009160D5">
        <w:t>Anna-Lena Roos, överläkare, ÖNH</w:t>
      </w:r>
    </w:p>
    <w:p w14:paraId="76B9F95B" w14:textId="24513497" w:rsidR="00536A5A" w:rsidRPr="00536A5A" w:rsidRDefault="00536A5A" w:rsidP="005D7BD2">
      <w:pPr>
        <w:spacing w:after="0" w:line="240" w:lineRule="auto"/>
        <w:ind w:left="0" w:right="0"/>
        <w:jc w:val="center"/>
      </w:pPr>
    </w:p>
    <w:sectPr w:rsidR="00536A5A" w:rsidRPr="00536A5A" w:rsidSect="009160D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475A90"/>
    <w:multiLevelType w:val="hybridMultilevel"/>
    <w:tmpl w:val="E34443B4"/>
    <w:lvl w:ilvl="0" w:tplc="FFFFFFFF">
      <w:start w:val="1"/>
      <w:numFmt w:val="lowerLetter"/>
      <w:lvlText w:val="%1)"/>
      <w:lvlJc w:val="left"/>
      <w:pPr>
        <w:ind w:left="1660" w:hanging="360"/>
      </w:pPr>
      <w:rPr>
        <w:rFonts w:hint="default"/>
      </w:rPr>
    </w:lvl>
    <w:lvl w:ilvl="1" w:tplc="FFFFFFFF" w:tentative="1">
      <w:start w:val="1"/>
      <w:numFmt w:val="lowerLetter"/>
      <w:lvlText w:val="%2."/>
      <w:lvlJc w:val="left"/>
      <w:pPr>
        <w:ind w:left="2380" w:hanging="360"/>
      </w:pPr>
    </w:lvl>
    <w:lvl w:ilvl="2" w:tplc="FFFFFFFF" w:tentative="1">
      <w:start w:val="1"/>
      <w:numFmt w:val="lowerRoman"/>
      <w:lvlText w:val="%3."/>
      <w:lvlJc w:val="right"/>
      <w:pPr>
        <w:ind w:left="3100" w:hanging="180"/>
      </w:pPr>
    </w:lvl>
    <w:lvl w:ilvl="3" w:tplc="FFFFFFFF" w:tentative="1">
      <w:start w:val="1"/>
      <w:numFmt w:val="decimal"/>
      <w:lvlText w:val="%4."/>
      <w:lvlJc w:val="left"/>
      <w:pPr>
        <w:ind w:left="3820" w:hanging="360"/>
      </w:pPr>
    </w:lvl>
    <w:lvl w:ilvl="4" w:tplc="FFFFFFFF" w:tentative="1">
      <w:start w:val="1"/>
      <w:numFmt w:val="lowerLetter"/>
      <w:lvlText w:val="%5."/>
      <w:lvlJc w:val="left"/>
      <w:pPr>
        <w:ind w:left="4540" w:hanging="360"/>
      </w:pPr>
    </w:lvl>
    <w:lvl w:ilvl="5" w:tplc="FFFFFFFF" w:tentative="1">
      <w:start w:val="1"/>
      <w:numFmt w:val="lowerRoman"/>
      <w:lvlText w:val="%6."/>
      <w:lvlJc w:val="right"/>
      <w:pPr>
        <w:ind w:left="5260" w:hanging="180"/>
      </w:pPr>
    </w:lvl>
    <w:lvl w:ilvl="6" w:tplc="FFFFFFFF" w:tentative="1">
      <w:start w:val="1"/>
      <w:numFmt w:val="decimal"/>
      <w:lvlText w:val="%7."/>
      <w:lvlJc w:val="left"/>
      <w:pPr>
        <w:ind w:left="5980" w:hanging="360"/>
      </w:pPr>
    </w:lvl>
    <w:lvl w:ilvl="7" w:tplc="FFFFFFFF" w:tentative="1">
      <w:start w:val="1"/>
      <w:numFmt w:val="lowerLetter"/>
      <w:lvlText w:val="%8."/>
      <w:lvlJc w:val="left"/>
      <w:pPr>
        <w:ind w:left="6700" w:hanging="360"/>
      </w:pPr>
    </w:lvl>
    <w:lvl w:ilvl="8" w:tplc="FFFFFFFF" w:tentative="1">
      <w:start w:val="1"/>
      <w:numFmt w:val="lowerRoman"/>
      <w:lvlText w:val="%9."/>
      <w:lvlJc w:val="right"/>
      <w:pPr>
        <w:ind w:left="7420" w:hanging="180"/>
      </w:p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CEC4EF78"/>
    <w:lvl w:ilvl="0" w:tplc="FFFFFFFF">
      <w:start w:val="1"/>
      <w:numFmt w:val="bullet"/>
      <w:pStyle w:val="Punktlista"/>
      <w:lvlText w:val=""/>
      <w:lvlJc w:val="left"/>
      <w:pPr>
        <w:ind w:left="1077" w:hanging="360"/>
      </w:pPr>
      <w:rPr>
        <w:rFonts w:ascii="Wingdings" w:hAnsi="Wingdings"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051993"/>
    <w:multiLevelType w:val="hybridMultilevel"/>
    <w:tmpl w:val="E18A14F8"/>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B9B8779C"/>
    <w:lvl w:ilvl="0" w:tplc="041D0017">
      <w:start w:val="1"/>
      <w:numFmt w:val="lowerLetter"/>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33109299">
    <w:abstractNumId w:val="19"/>
  </w:num>
  <w:num w:numId="2" w16cid:durableId="2054185442">
    <w:abstractNumId w:val="16"/>
  </w:num>
  <w:num w:numId="3" w16cid:durableId="421533707">
    <w:abstractNumId w:val="0"/>
  </w:num>
  <w:num w:numId="4" w16cid:durableId="2101638836">
    <w:abstractNumId w:val="6"/>
  </w:num>
  <w:num w:numId="5" w16cid:durableId="407769375">
    <w:abstractNumId w:val="17"/>
  </w:num>
  <w:num w:numId="6" w16cid:durableId="1333801596">
    <w:abstractNumId w:val="2"/>
  </w:num>
  <w:num w:numId="7" w16cid:durableId="672144079">
    <w:abstractNumId w:val="12"/>
  </w:num>
  <w:num w:numId="8" w16cid:durableId="985820698">
    <w:abstractNumId w:val="9"/>
  </w:num>
  <w:num w:numId="9" w16cid:durableId="233973524">
    <w:abstractNumId w:val="1"/>
  </w:num>
  <w:num w:numId="10" w16cid:durableId="382021585">
    <w:abstractNumId w:val="1"/>
  </w:num>
  <w:num w:numId="11" w16cid:durableId="370806873">
    <w:abstractNumId w:val="3"/>
  </w:num>
  <w:num w:numId="12" w16cid:durableId="495926567">
    <w:abstractNumId w:val="4"/>
  </w:num>
  <w:num w:numId="13" w16cid:durableId="1828784930">
    <w:abstractNumId w:val="15"/>
  </w:num>
  <w:num w:numId="14" w16cid:durableId="306280042">
    <w:abstractNumId w:val="10"/>
  </w:num>
  <w:num w:numId="15" w16cid:durableId="1699818939">
    <w:abstractNumId w:val="8"/>
  </w:num>
  <w:num w:numId="16" w16cid:durableId="1538354331">
    <w:abstractNumId w:val="14"/>
  </w:num>
  <w:num w:numId="17" w16cid:durableId="1068576373">
    <w:abstractNumId w:val="5"/>
  </w:num>
  <w:num w:numId="18" w16cid:durableId="625477058">
    <w:abstractNumId w:val="11"/>
  </w:num>
  <w:num w:numId="19" w16cid:durableId="178203599">
    <w:abstractNumId w:val="18"/>
  </w:num>
  <w:num w:numId="20" w16cid:durableId="284040046">
    <w:abstractNumId w:val="7"/>
  </w:num>
  <w:num w:numId="21" w16cid:durableId="1596609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A7293"/>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4E85"/>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7BD2"/>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9622F"/>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60D5"/>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5C53"/>
    <w:rsid w:val="00AA0B3A"/>
    <w:rsid w:val="00AA6EB4"/>
    <w:rsid w:val="00AA767D"/>
    <w:rsid w:val="00AB0CC9"/>
    <w:rsid w:val="00AC3E42"/>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3EFA"/>
    <w:rsid w:val="00E026BF"/>
    <w:rsid w:val="00E07B1B"/>
    <w:rsid w:val="00E11853"/>
    <w:rsid w:val="00E52A86"/>
    <w:rsid w:val="00E54B47"/>
    <w:rsid w:val="00E553BF"/>
    <w:rsid w:val="00E55D93"/>
    <w:rsid w:val="00E61294"/>
    <w:rsid w:val="00E63C1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88A4A2"/>
    <w:rsid w:val="01A1CCFF"/>
    <w:rsid w:val="01E421BF"/>
    <w:rsid w:val="024801E3"/>
    <w:rsid w:val="04153CF5"/>
    <w:rsid w:val="065C15C5"/>
    <w:rsid w:val="06D993FD"/>
    <w:rsid w:val="07F7E626"/>
    <w:rsid w:val="09D9CC85"/>
    <w:rsid w:val="0A22C51B"/>
    <w:rsid w:val="0C4197EF"/>
    <w:rsid w:val="0CC76A05"/>
    <w:rsid w:val="0DAFD7A3"/>
    <w:rsid w:val="0E0947BB"/>
    <w:rsid w:val="0E6727AA"/>
    <w:rsid w:val="0F31E06E"/>
    <w:rsid w:val="1008A929"/>
    <w:rsid w:val="11349891"/>
    <w:rsid w:val="1196BB90"/>
    <w:rsid w:val="11A4798A"/>
    <w:rsid w:val="12B2255E"/>
    <w:rsid w:val="134049EB"/>
    <w:rsid w:val="153F67F7"/>
    <w:rsid w:val="1704411C"/>
    <w:rsid w:val="17FD51F4"/>
    <w:rsid w:val="1ADD1D7F"/>
    <w:rsid w:val="1DF523FE"/>
    <w:rsid w:val="1E4458EA"/>
    <w:rsid w:val="1F7EFC03"/>
    <w:rsid w:val="1F90F45F"/>
    <w:rsid w:val="220C94BF"/>
    <w:rsid w:val="221FE0C7"/>
    <w:rsid w:val="228ABBC2"/>
    <w:rsid w:val="242B572D"/>
    <w:rsid w:val="244A9850"/>
    <w:rsid w:val="2506B1A1"/>
    <w:rsid w:val="2686052D"/>
    <w:rsid w:val="2769DF6B"/>
    <w:rsid w:val="280E27D9"/>
    <w:rsid w:val="28FEC850"/>
    <w:rsid w:val="299CC916"/>
    <w:rsid w:val="2D40947C"/>
    <w:rsid w:val="2D74F76C"/>
    <w:rsid w:val="2F253B86"/>
    <w:rsid w:val="2F2A70BB"/>
    <w:rsid w:val="30E55912"/>
    <w:rsid w:val="3111C7BB"/>
    <w:rsid w:val="32A31295"/>
    <w:rsid w:val="3344F8DB"/>
    <w:rsid w:val="34D68990"/>
    <w:rsid w:val="36712780"/>
    <w:rsid w:val="36FE3FB1"/>
    <w:rsid w:val="3A09ED52"/>
    <w:rsid w:val="3A409BC9"/>
    <w:rsid w:val="3BDD92BA"/>
    <w:rsid w:val="3BFA7B5C"/>
    <w:rsid w:val="3C50F04C"/>
    <w:rsid w:val="3C5A2B80"/>
    <w:rsid w:val="403007A9"/>
    <w:rsid w:val="406AB651"/>
    <w:rsid w:val="40FD1251"/>
    <w:rsid w:val="42AA9389"/>
    <w:rsid w:val="4A9BC289"/>
    <w:rsid w:val="4B0ED969"/>
    <w:rsid w:val="4BFCC9D3"/>
    <w:rsid w:val="4C8F844B"/>
    <w:rsid w:val="4F1A1778"/>
    <w:rsid w:val="5596198D"/>
    <w:rsid w:val="55B952E4"/>
    <w:rsid w:val="575925F4"/>
    <w:rsid w:val="5782ED9F"/>
    <w:rsid w:val="57BD4AD0"/>
    <w:rsid w:val="592D818D"/>
    <w:rsid w:val="59C60FF0"/>
    <w:rsid w:val="59D4EA84"/>
    <w:rsid w:val="5E7498FC"/>
    <w:rsid w:val="6267843F"/>
    <w:rsid w:val="63F03D1A"/>
    <w:rsid w:val="647B2B65"/>
    <w:rsid w:val="68DB6367"/>
    <w:rsid w:val="6B2CF8ED"/>
    <w:rsid w:val="74C349F6"/>
    <w:rsid w:val="774FC48C"/>
    <w:rsid w:val="788504BF"/>
    <w:rsid w:val="7F02D98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internetmedicin.se/oron-nas-och-halssjukdomar/facialispares-akut-idiopatisk-perifer-bells-pares-hos-vuxna"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hyperlink" Target="https://infektion.net/kunskap-dokument/kunskap/vardprogram/"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viss.nu/download/18.d9ec095172e6db9637ea932/1600851653143/Sunnybrook_Facial_Grading_System.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5</Pages>
  <Words>907</Words>
  <Characters>6348</Characters>
  <Application>Microsoft Office Word</Application>
  <DocSecurity>0</DocSecurity>
  <Lines>52</Lines>
  <Paragraphs>14</Paragraphs>
  <ScaleCrop>false</ScaleCrop>
  <Manager/>
  <Company/>
  <LinksUpToDate>false</LinksUpToDate>
  <CharactersWithSpaces>7241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perifer facialispares hos vuxna på Infektionsmottagningen</dc:title>
  <dc:subject/>
  <dc:creator>patrik.jens.johansson@vgregion.se</dc:creator>
  <keywords/>
  <lastModifiedBy>Carita Isaksson Kangassalo</lastModifiedBy>
  <revision>12</revision>
  <lastPrinted>2016-03-31T10:56:00.0000000Z</lastPrinted>
  <dcterms:created xsi:type="dcterms:W3CDTF">2022-05-13T10:00:00.0000000Z</dcterms:created>
  <dcterms:modified xsi:type="dcterms:W3CDTF">2025-11-11T08:00:00.0000000Z</dcterms:modified>
</coreProperties>
</file>