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963002" w14:paraId="061914D4" w14:textId="592F858E">
      <w:pPr>
        <w:pStyle w:val="Rubrik1"/>
      </w:pPr>
      <w:r>
        <w:t>Behandling med azatioprin (Imurel)</w:t>
      </w:r>
      <w:bookmarkStart w:name="_Toc321146591" w:id="0"/>
    </w:p>
    <w:p w:rsidR="009A32ED" w:rsidP="009A32ED" w:rsidRDefault="009A32ED" w14:paraId="11BC1DCA" w14:textId="77777777">
      <w:pPr>
        <w:pStyle w:val="Rubrik2"/>
        <w:ind w:right="-143"/>
      </w:pPr>
      <w:bookmarkStart w:name="_Toc100327184" w:id="1"/>
      <w:bookmarkStart w:name="_Toc166670095" w:id="2"/>
      <w:bookmarkEnd w:id="0"/>
      <w:r>
        <w:t>Förändringar sedan föregående version</w:t>
      </w:r>
      <w:bookmarkEnd w:id="1"/>
      <w:bookmarkEnd w:id="2"/>
    </w:p>
    <w:p w:rsidR="00963002" w:rsidP="00963002" w:rsidRDefault="00963002" w14:paraId="61A535ED" w14:textId="73A86FE5">
      <w:pPr>
        <w:ind w:right="-143"/>
        <w:rPr>
          <w:rStyle w:val="normaltextrun"/>
        </w:rPr>
      </w:pPr>
      <w:r w:rsidRPr="51888F1D" w:rsidR="75BE9A61">
        <w:rPr>
          <w:rStyle w:val="normaltextrun"/>
        </w:rPr>
        <w:t xml:space="preserve">Tillägg av uppmaning om cellprovskontroller. </w:t>
      </w:r>
    </w:p>
    <w:p w:rsidR="009A32ED" w:rsidP="009A32ED" w:rsidRDefault="009A32ED" w14:paraId="29B03EF5" w14:textId="77777777">
      <w:pPr>
        <w:pStyle w:val="Rubrik2"/>
        <w:ind w:right="-143"/>
      </w:pPr>
      <w:bookmarkStart w:name="_Toc100327186" w:id="3"/>
      <w:bookmarkStart w:name="_Toc166670097" w:id="4"/>
      <w:r>
        <w:t>Bakgrund och syfte</w:t>
      </w:r>
      <w:bookmarkEnd w:id="3"/>
      <w:bookmarkEnd w:id="4"/>
      <w:r>
        <w:t xml:space="preserve"> </w:t>
      </w:r>
    </w:p>
    <w:p w:rsidRPr="00023FF4" w:rsidR="009A32ED" w:rsidP="009A32ED" w:rsidRDefault="00963002" w14:paraId="696C096E" w14:textId="426CFEA8">
      <w:pPr>
        <w:ind w:right="-143"/>
      </w:pPr>
      <w:r w:rsidRPr="00963002">
        <w:t>Att säkerställa god och säker vård av patienter behandlade med azatioprin.</w:t>
      </w:r>
    </w:p>
    <w:p w:rsidRPr="00463A67" w:rsidR="009A32ED" w:rsidP="009A32ED" w:rsidRDefault="009A32ED" w14:paraId="37C7076C" w14:textId="77777777">
      <w:pPr>
        <w:pStyle w:val="Rubrik2"/>
        <w:ind w:right="-143"/>
      </w:pPr>
      <w:bookmarkStart w:name="_Toc100327192" w:id="5"/>
      <w:bookmarkStart w:name="_Toc166670098" w:id="6"/>
      <w:r w:rsidRPr="00463A67">
        <w:t>Utförande</w:t>
      </w:r>
      <w:bookmarkEnd w:id="5"/>
      <w:bookmarkEnd w:id="6"/>
    </w:p>
    <w:p w:rsidRPr="00457A6F" w:rsidR="00457A6F" w:rsidP="00457A6F" w:rsidRDefault="00457A6F" w14:paraId="211A3C85" w14:textId="325C05BB">
      <w:pPr>
        <w:ind w:right="-143"/>
        <w:rPr>
          <w:b/>
          <w:bCs/>
        </w:rPr>
      </w:pPr>
      <w:r w:rsidRPr="00457A6F">
        <w:rPr>
          <w:rFonts w:asciiTheme="majorHAnsi" w:hAnsiTheme="majorHAnsi" w:eastAsiaTheme="majorEastAsia" w:cstheme="majorBidi"/>
          <w:bCs/>
          <w:color w:val="000000" w:themeColor="text1"/>
          <w:sz w:val="36"/>
        </w:rPr>
        <w:t>Läkemedelsform</w:t>
      </w:r>
      <w:r>
        <w:rPr>
          <w:b/>
          <w:bCs/>
        </w:rPr>
        <w:br/>
      </w:r>
      <w:r w:rsidRPr="00457A6F">
        <w:t xml:space="preserve">Azatioprin: filmdragerad tablett á 25 mg, 50 mg, 75 mg och 100 mg. (Vid förskrivning av recept på 75 mg-tabletter och 100 mg-tabletter, sök </w:t>
      </w:r>
      <w:proofErr w:type="spellStart"/>
      <w:r w:rsidRPr="00457A6F">
        <w:t>azathioprin</w:t>
      </w:r>
      <w:proofErr w:type="spellEnd"/>
      <w:r w:rsidRPr="00457A6F">
        <w:t xml:space="preserve"> med h i aktuella ordinationer.)</w:t>
      </w:r>
    </w:p>
    <w:p w:rsidRPr="00457A6F" w:rsidR="00457A6F" w:rsidP="00457A6F" w:rsidRDefault="00457A6F" w14:paraId="561A536C" w14:textId="5B36E369">
      <w:pPr>
        <w:ind w:right="-143"/>
      </w:pPr>
      <w:r w:rsidRPr="00457A6F">
        <w:rPr>
          <w:rFonts w:asciiTheme="majorHAnsi" w:hAnsiTheme="majorHAnsi" w:eastAsiaTheme="majorEastAsia" w:cstheme="majorBidi"/>
          <w:bCs/>
          <w:color w:val="000000" w:themeColor="text1"/>
          <w:sz w:val="36"/>
        </w:rPr>
        <w:t>Verkningsmekanism</w:t>
      </w:r>
      <w:r>
        <w:rPr>
          <w:b/>
          <w:bCs/>
        </w:rPr>
        <w:br/>
      </w:r>
      <w:r w:rsidRPr="00457A6F">
        <w:t xml:space="preserve">Azatioprin är ett cytostatikum som har en hämmande inverkan på kroppens immunförsvar genom reglering av </w:t>
      </w:r>
      <w:proofErr w:type="spellStart"/>
      <w:r w:rsidRPr="00457A6F">
        <w:t>purinmetabolismen</w:t>
      </w:r>
      <w:proofErr w:type="spellEnd"/>
      <w:r w:rsidRPr="00457A6F">
        <w:t>.</w:t>
      </w:r>
    </w:p>
    <w:p w:rsidRPr="00457A6F" w:rsidR="00457A6F" w:rsidP="00457A6F" w:rsidRDefault="00457A6F" w14:paraId="3C0F0D20" w14:textId="5CBF03CE">
      <w:pPr>
        <w:ind w:right="-143"/>
      </w:pPr>
      <w:r w:rsidRPr="00457A6F">
        <w:rPr>
          <w:rFonts w:asciiTheme="majorHAnsi" w:hAnsiTheme="majorHAnsi" w:eastAsiaTheme="majorEastAsia" w:cstheme="majorBidi"/>
          <w:bCs/>
          <w:color w:val="000000" w:themeColor="text1"/>
          <w:sz w:val="36"/>
        </w:rPr>
        <w:t>Indikation</w:t>
      </w:r>
      <w:r>
        <w:rPr>
          <w:b/>
          <w:bCs/>
        </w:rPr>
        <w:br/>
      </w:r>
      <w:r w:rsidRPr="00457A6F">
        <w:t xml:space="preserve">Azatioprin används vid behandling av pemfigus, pemfigoid, lupus </w:t>
      </w:r>
      <w:proofErr w:type="spellStart"/>
      <w:r w:rsidRPr="00457A6F">
        <w:t>erytematosus</w:t>
      </w:r>
      <w:proofErr w:type="spellEnd"/>
      <w:r w:rsidRPr="00457A6F">
        <w:t xml:space="preserve"> (LE) och andra inflammatoriska hudsjukdomar. Det används också till reumatologiska sjukdomar, gastroenterologiska sjukdomar, hematologiska sjukdomar och för att förhindra avstötning av transplanterade organ. Azatioprin sätts oftast in i så kallat kortisonsparande syfte, det vill säga för att undvika långvarig behandling med höga kortisondoser. Azatioprin kombineras inte sällan med en låg dos </w:t>
      </w:r>
      <w:proofErr w:type="spellStart"/>
      <w:r w:rsidRPr="00457A6F">
        <w:t>prednisolon</w:t>
      </w:r>
      <w:proofErr w:type="spellEnd"/>
      <w:r w:rsidRPr="00457A6F">
        <w:t xml:space="preserve">. Förbättringen av symtomen kan ses efter </w:t>
      </w:r>
      <w:proofErr w:type="gramStart"/>
      <w:r w:rsidRPr="00457A6F">
        <w:t>2-4</w:t>
      </w:r>
      <w:proofErr w:type="gramEnd"/>
      <w:r w:rsidRPr="00457A6F">
        <w:t xml:space="preserve"> månader. Om man har god effekt av medicinen kan man fortsätta behandlingen under många år.</w:t>
      </w:r>
    </w:p>
    <w:p w:rsidRPr="00457A6F" w:rsidR="00457A6F" w:rsidP="00457A6F" w:rsidRDefault="00457A6F" w14:paraId="2877576C" w14:textId="1D81366E">
      <w:pPr>
        <w:ind w:right="-143"/>
      </w:pPr>
      <w:r w:rsidRPr="00457A6F">
        <w:rPr>
          <w:rFonts w:asciiTheme="majorHAnsi" w:hAnsiTheme="majorHAnsi" w:eastAsiaTheme="majorEastAsia" w:cstheme="majorBidi"/>
          <w:bCs/>
          <w:color w:val="000000" w:themeColor="text1"/>
          <w:sz w:val="36"/>
        </w:rPr>
        <w:t>Kontraindikationer</w:t>
      </w:r>
      <w:r>
        <w:rPr>
          <w:b/>
          <w:bCs/>
        </w:rPr>
        <w:br/>
      </w:r>
      <w:r w:rsidRPr="00457A6F">
        <w:t>Försiktighet vid leversjukdom och försämrad njurfunktion.</w:t>
      </w:r>
    </w:p>
    <w:p w:rsidRPr="00457A6F" w:rsidR="00457A6F" w:rsidP="00457A6F" w:rsidRDefault="00457A6F" w14:paraId="05619910" w14:textId="77777777">
      <w:pPr>
        <w:ind w:right="-143"/>
      </w:pPr>
      <w:r w:rsidRPr="00457A6F">
        <w:t>Avsaknad av TPMT-aktivitet eller nedsatt TPMT-aktivitet. (I vissa fall kan man dosjustera vid nedsatt aktivitet men på hudkliniken rekommenderar vi inte detta.)</w:t>
      </w:r>
    </w:p>
    <w:p w:rsidRPr="00457A6F" w:rsidR="00457A6F" w:rsidP="00457A6F" w:rsidRDefault="00457A6F" w14:paraId="1C5E98DE" w14:textId="78AED55E">
      <w:pPr>
        <w:ind w:right="-143"/>
      </w:pPr>
      <w:r w:rsidRPr="00457A6F">
        <w:t xml:space="preserve">Försiktighet rekommenderas hos patient med tidigare malignitet, exempelvis hudcancer eller </w:t>
      </w:r>
      <w:proofErr w:type="spellStart"/>
      <w:r w:rsidRPr="00457A6F">
        <w:t>cervixdysplasi</w:t>
      </w:r>
      <w:proofErr w:type="spellEnd"/>
      <w:r w:rsidRPr="00457A6F">
        <w:t>.</w:t>
      </w:r>
    </w:p>
    <w:p w:rsidR="009074BB" w:rsidP="00A771A9" w:rsidRDefault="00457A6F" w14:paraId="0FDFE273" w14:textId="0B6622A6">
      <w:pPr>
        <w:spacing w:after="0"/>
        <w:ind w:right="-143"/>
        <w:rPr>
          <w:b/>
          <w:bCs/>
        </w:rPr>
      </w:pPr>
      <w:r w:rsidRPr="00457A6F">
        <w:rPr>
          <w:rFonts w:asciiTheme="majorHAnsi" w:hAnsiTheme="majorHAnsi" w:eastAsiaTheme="majorEastAsia" w:cstheme="majorBidi"/>
          <w:bCs/>
          <w:color w:val="000000" w:themeColor="text1"/>
          <w:sz w:val="36"/>
        </w:rPr>
        <w:t>Biverkningar</w:t>
      </w:r>
    </w:p>
    <w:p w:rsidRPr="009074BB" w:rsidR="009074BB" w:rsidP="009074BB" w:rsidRDefault="009074BB" w14:paraId="3BB825DB" w14:textId="129A4F6A">
      <w:pPr>
        <w:pStyle w:val="Liststycke"/>
        <w:numPr>
          <w:ilvl w:val="0"/>
          <w:numId w:val="23"/>
        </w:numPr>
        <w:ind w:right="-143"/>
        <w:rPr>
          <w:b w:val="1"/>
          <w:bCs w:val="1"/>
        </w:rPr>
      </w:pPr>
      <w:r w:rsidR="009074BB">
        <w:rPr/>
        <w:t>Benmärgshä</w:t>
      </w:r>
      <w:r w:rsidR="009074BB">
        <w:rPr/>
        <w:t>mning med leukopeni, trombocytopeni och i sällsynta fall anemi som följd.</w:t>
      </w:r>
    </w:p>
    <w:p w:rsidR="723FC0B1" w:rsidP="1C5A5ADC" w:rsidRDefault="723FC0B1" w14:paraId="0E46E4A0" w14:textId="47ADB539">
      <w:pPr>
        <w:pStyle w:val="Liststycke"/>
        <w:numPr>
          <w:ilvl w:val="0"/>
          <w:numId w:val="23"/>
        </w:numPr>
        <w:ind w:right="-143"/>
        <w:rPr>
          <w:b w:val="0"/>
          <w:bCs w:val="0"/>
        </w:rPr>
      </w:pPr>
      <w:r w:rsidR="723FC0B1">
        <w:rPr>
          <w:b w:val="0"/>
          <w:bCs w:val="0"/>
        </w:rPr>
        <w:t>Ökad infektionsrisk.</w:t>
      </w:r>
    </w:p>
    <w:p w:rsidRPr="009074BB" w:rsidR="009074BB" w:rsidP="009074BB" w:rsidRDefault="00457A6F" w14:paraId="282BE7B6" w14:textId="7CA40747">
      <w:pPr>
        <w:pStyle w:val="Liststycke"/>
        <w:numPr>
          <w:ilvl w:val="0"/>
          <w:numId w:val="23"/>
        </w:numPr>
        <w:ind w:right="-143"/>
        <w:rPr>
          <w:b/>
          <w:bCs/>
        </w:rPr>
      </w:pPr>
      <w:r w:rsidR="00457A6F">
        <w:rPr/>
        <w:t xml:space="preserve">Illamående är vanligt tidigt under behandlingen och brukar vara övergående (efter </w:t>
      </w:r>
      <w:r w:rsidR="00457A6F">
        <w:rPr/>
        <w:t>2-3</w:t>
      </w:r>
      <w:r w:rsidR="00457A6F">
        <w:rPr/>
        <w:t xml:space="preserve"> veckor). Diarréer kan förekomma. Vid illamående/kräkningar kan dosen med fördel tas på kvällen eller delas upp under dygnet.</w:t>
      </w:r>
    </w:p>
    <w:p w:rsidRPr="009074BB" w:rsidR="009074BB" w:rsidP="009074BB" w:rsidRDefault="00457A6F" w14:paraId="0ED1ADCA" w14:textId="77777777">
      <w:pPr>
        <w:pStyle w:val="Liststycke"/>
        <w:numPr>
          <w:ilvl w:val="0"/>
          <w:numId w:val="23"/>
        </w:numPr>
        <w:ind w:right="-143"/>
        <w:rPr>
          <w:b/>
          <w:bCs/>
        </w:rPr>
      </w:pPr>
      <w:r w:rsidR="00457A6F">
        <w:rPr/>
        <w:t>Feber, frossa, muskelvärk och ledvärk.</w:t>
      </w:r>
    </w:p>
    <w:p w:rsidRPr="009074BB" w:rsidR="009074BB" w:rsidP="009074BB" w:rsidRDefault="00457A6F" w14:paraId="6C51A75C" w14:textId="77777777">
      <w:pPr>
        <w:pStyle w:val="Liststycke"/>
        <w:numPr>
          <w:ilvl w:val="0"/>
          <w:numId w:val="23"/>
        </w:numPr>
        <w:ind w:right="-143"/>
        <w:rPr>
          <w:b/>
          <w:bCs/>
        </w:rPr>
      </w:pPr>
      <w:r w:rsidR="00457A6F">
        <w:rPr/>
        <w:t>Leverpåverkan.</w:t>
      </w:r>
    </w:p>
    <w:p w:rsidRPr="009074BB" w:rsidR="009074BB" w:rsidP="009074BB" w:rsidRDefault="00457A6F" w14:paraId="550EEBA2" w14:textId="77777777">
      <w:pPr>
        <w:pStyle w:val="Liststycke"/>
        <w:numPr>
          <w:ilvl w:val="0"/>
          <w:numId w:val="23"/>
        </w:numPr>
        <w:ind w:right="-143"/>
        <w:rPr>
          <w:b/>
          <w:bCs/>
        </w:rPr>
      </w:pPr>
      <w:r w:rsidR="00457A6F">
        <w:rPr/>
        <w:t>Hudtumörer.</w:t>
      </w:r>
    </w:p>
    <w:p w:rsidRPr="009074BB" w:rsidR="009074BB" w:rsidP="009074BB" w:rsidRDefault="00457A6F" w14:paraId="3218CE03" w14:textId="77777777">
      <w:pPr>
        <w:pStyle w:val="Liststycke"/>
        <w:numPr>
          <w:ilvl w:val="0"/>
          <w:numId w:val="23"/>
        </w:numPr>
        <w:ind w:right="-143"/>
        <w:rPr>
          <w:b/>
          <w:bCs/>
        </w:rPr>
      </w:pPr>
      <w:r w:rsidR="00457A6F">
        <w:rPr/>
        <w:t>Cervixdysplasi.</w:t>
      </w:r>
    </w:p>
    <w:p w:rsidRPr="009074BB" w:rsidR="00457A6F" w:rsidP="009074BB" w:rsidRDefault="00457A6F" w14:paraId="07115012" w14:textId="084DF767">
      <w:pPr>
        <w:pStyle w:val="Liststycke"/>
        <w:numPr>
          <w:ilvl w:val="0"/>
          <w:numId w:val="23"/>
        </w:numPr>
        <w:ind w:right="-143"/>
        <w:rPr>
          <w:b/>
          <w:bCs/>
        </w:rPr>
      </w:pPr>
      <w:r w:rsidR="00457A6F">
        <w:rPr/>
        <w:t>Pankreatit. (Ovanligt, kommer framför allt under de första behandlingsmånaderna.)</w:t>
      </w:r>
    </w:p>
    <w:p w:rsidRPr="00457A6F" w:rsidR="00457A6F" w:rsidP="00457A6F" w:rsidRDefault="00457A6F" w14:paraId="3E3983BA" w14:textId="77777777">
      <w:pPr>
        <w:ind w:right="-143"/>
      </w:pPr>
      <w:r w:rsidRPr="00457A6F">
        <w:t>För ytterligare information, var god se FASS.</w:t>
      </w:r>
    </w:p>
    <w:p w:rsidRPr="00457A6F" w:rsidR="00457A6F" w:rsidP="00457A6F" w:rsidRDefault="00457A6F" w14:paraId="4258FEC9" w14:textId="6542F0E7">
      <w:pPr>
        <w:ind w:right="-143"/>
        <w:rPr>
          <w:b/>
          <w:bCs/>
        </w:rPr>
      </w:pPr>
      <w:r w:rsidRPr="00457A6F">
        <w:rPr>
          <w:rFonts w:asciiTheme="majorHAnsi" w:hAnsiTheme="majorHAnsi" w:eastAsiaTheme="majorEastAsia" w:cstheme="majorBidi"/>
          <w:bCs/>
          <w:color w:val="000000" w:themeColor="text1"/>
          <w:sz w:val="36"/>
        </w:rPr>
        <w:t>Interaktioner</w:t>
      </w:r>
      <w:r>
        <w:rPr>
          <w:b/>
          <w:bCs/>
        </w:rPr>
        <w:br/>
      </w:r>
      <w:r w:rsidRPr="00457A6F">
        <w:t xml:space="preserve">Azatioprin bör inte användas tillsammans med giktmedicin som innehåller </w:t>
      </w:r>
      <w:proofErr w:type="spellStart"/>
      <w:r w:rsidRPr="00457A6F">
        <w:t>allopurinol</w:t>
      </w:r>
      <w:proofErr w:type="spellEnd"/>
      <w:r w:rsidRPr="00457A6F">
        <w:t xml:space="preserve"> eller </w:t>
      </w:r>
      <w:proofErr w:type="spellStart"/>
      <w:r w:rsidRPr="00457A6F">
        <w:t>febuxostat</w:t>
      </w:r>
      <w:proofErr w:type="spellEnd"/>
      <w:r w:rsidRPr="00457A6F">
        <w:t xml:space="preserve"> och ej heller tillsammans med </w:t>
      </w:r>
      <w:proofErr w:type="spellStart"/>
      <w:r w:rsidRPr="00457A6F">
        <w:t>salazopyrin</w:t>
      </w:r>
      <w:proofErr w:type="spellEnd"/>
      <w:r w:rsidRPr="00457A6F">
        <w:t>/sulfasalazin eftersom kombination av dessa leder till markant ökad koncentration av azatioprin med risk för toxiska biverkningar. Om man ändå skulle behöva kombinera (</w:t>
      </w:r>
      <w:proofErr w:type="spellStart"/>
      <w:r w:rsidRPr="00457A6F">
        <w:t>gastroenterologen</w:t>
      </w:r>
      <w:proofErr w:type="spellEnd"/>
      <w:r w:rsidRPr="00457A6F">
        <w:t xml:space="preserve"> kombinerar ibland azatioprin med </w:t>
      </w:r>
      <w:proofErr w:type="spellStart"/>
      <w:r w:rsidRPr="00457A6F">
        <w:t>allopurinol</w:t>
      </w:r>
      <w:proofErr w:type="spellEnd"/>
      <w:r w:rsidRPr="00457A6F">
        <w:t>) ska man ha god kunskap om vad som kan hända och följa metaboliter i blodet.</w:t>
      </w:r>
    </w:p>
    <w:p w:rsidRPr="00457A6F" w:rsidR="00457A6F" w:rsidP="00457A6F" w:rsidRDefault="00457A6F" w14:paraId="270AFA97" w14:textId="29BAB536">
      <w:pPr>
        <w:ind w:right="-143"/>
        <w:rPr>
          <w:b/>
          <w:bCs/>
        </w:rPr>
      </w:pPr>
      <w:r w:rsidRPr="00457A6F">
        <w:rPr>
          <w:rFonts w:asciiTheme="majorHAnsi" w:hAnsiTheme="majorHAnsi" w:eastAsiaTheme="majorEastAsia" w:cstheme="majorBidi"/>
          <w:bCs/>
          <w:color w:val="000000" w:themeColor="text1"/>
          <w:sz w:val="36"/>
        </w:rPr>
        <w:t>Graviditet och amning</w:t>
      </w:r>
      <w:r>
        <w:rPr>
          <w:b/>
          <w:bCs/>
        </w:rPr>
        <w:br/>
      </w:r>
      <w:r w:rsidRPr="00457A6F">
        <w:t>Azatioprin kan ges under graviditet om det är nödvändigt men detta behöver avgöras i varje enskilt fall. Eventuellt kan dosminskning eller utsättning bli aktuellt. Läkemedlet passerar över i små mängder i bröstmjölken. Mer information kring rekommendation kring graviditet och amning finns på Svensk Reumatologisk Förenings hemsida. Om azatioprin används under graviditet/amning kan rekommendationerna kring vaccination av barnet med levande vaccin påverkas. Mer information om detta kan läsas på hemsidan ”Rikshandboken Barnhälsovård för professionen”. Män kan fortsätta med behandlingen vid planerad graviditet hos partner.</w:t>
      </w:r>
    </w:p>
    <w:p w:rsidRPr="00457A6F" w:rsidR="00457A6F" w:rsidP="00457A6F" w:rsidRDefault="00457A6F" w14:paraId="7E499487" w14:textId="165A77B4">
      <w:pPr>
        <w:ind w:right="-143"/>
        <w:rPr>
          <w:b/>
          <w:bCs/>
        </w:rPr>
      </w:pPr>
      <w:r w:rsidRPr="00457A6F">
        <w:rPr>
          <w:rFonts w:asciiTheme="majorHAnsi" w:hAnsiTheme="majorHAnsi" w:eastAsiaTheme="majorEastAsia" w:cstheme="majorBidi"/>
          <w:bCs/>
          <w:color w:val="000000" w:themeColor="text1"/>
          <w:sz w:val="36"/>
        </w:rPr>
        <w:t>Dosering</w:t>
      </w:r>
      <w:r>
        <w:rPr>
          <w:b/>
          <w:bCs/>
        </w:rPr>
        <w:br/>
      </w:r>
      <w:proofErr w:type="spellStart"/>
      <w:r w:rsidRPr="00457A6F">
        <w:t>Dosering</w:t>
      </w:r>
      <w:proofErr w:type="spellEnd"/>
      <w:r w:rsidRPr="00457A6F">
        <w:t xml:space="preserve"> styrs efter kroppsvikt, enligt FASS </w:t>
      </w:r>
      <w:proofErr w:type="gramStart"/>
      <w:r w:rsidRPr="00457A6F">
        <w:t>1-3</w:t>
      </w:r>
      <w:proofErr w:type="gramEnd"/>
      <w:r w:rsidRPr="00457A6F">
        <w:t xml:space="preserve"> mg/kg kroppsvikt per dag. I praktiken brukar man ge 150 mg/dag till en vuxen person men om patienten är äldre eller väger mindre än 70 kg kan man ge 100 mg per dag. Det kan vara en fördel att trappa upp dosen under ett par veckor för att se så att patienten tolererar läkemedlet. Hela dosen </w:t>
      </w:r>
      <w:r w:rsidRPr="00457A6F">
        <w:t>kan tas vid ett tillfälle per dygn eller uppdelat på morgon och kväll. Om patienten känner av illamående är kvällsdosering att föredra. Azatioprin kan tas tillsammans med mat eller på tom mage men bör alltid tas på samma sätt eftersom det finns risk att mat försämrar upptaget. Azatioprin ska tas minst en timme innan eller två timmar efter intag av mjölkprodukter, eftersom dessa försämrar upptaget. Det ska intas med rikligt med vatten.</w:t>
      </w:r>
    </w:p>
    <w:p w:rsidRPr="00457A6F" w:rsidR="00457A6F" w:rsidP="00457A6F" w:rsidRDefault="00457A6F" w14:paraId="67D40BD5" w14:textId="646394CC">
      <w:pPr>
        <w:ind w:right="-143"/>
        <w:rPr>
          <w:b/>
          <w:bCs/>
        </w:rPr>
      </w:pPr>
      <w:r w:rsidRPr="00457A6F">
        <w:rPr>
          <w:rFonts w:asciiTheme="majorHAnsi" w:hAnsiTheme="majorHAnsi" w:eastAsiaTheme="majorEastAsia" w:cstheme="majorBidi"/>
          <w:bCs/>
          <w:color w:val="000000" w:themeColor="text1"/>
          <w:sz w:val="36"/>
        </w:rPr>
        <w:t>Vaccinationer</w:t>
      </w:r>
      <w:r w:rsidR="00463A67">
        <w:rPr>
          <w:b/>
          <w:bCs/>
        </w:rPr>
        <w:br/>
      </w:r>
      <w:r w:rsidRPr="00457A6F">
        <w:t>Kontrollera med patienten att den gått igenom allmänna vaccinationsprogrammet. För övriga råd kring vaccination, läs</w:t>
      </w:r>
      <w:r w:rsidR="007756CF">
        <w:t xml:space="preserve"> patientinformation</w:t>
      </w:r>
      <w:r w:rsidRPr="00457A6F">
        <w:t xml:space="preserve"> </w:t>
      </w:r>
      <w:hyperlink w:history="1" r:id="rId12">
        <w:r w:rsidRPr="00457A6F">
          <w:rPr>
            <w:rStyle w:val="Hyperlnk"/>
          </w:rPr>
          <w:t>Vaccinering vid hudsjukdom och immunhämmande behandling (A5 folder) (vgregion.se)</w:t>
        </w:r>
      </w:hyperlink>
    </w:p>
    <w:p w:rsidR="006558BB" w:rsidP="006558BB" w:rsidRDefault="006558BB" w14:paraId="14015A29" w14:textId="7F9CCF4F">
      <w:pPr>
        <w:pStyle w:val="Rubrik2"/>
      </w:pPr>
      <w:bookmarkStart w:name="_Toc166670099" w:id="7"/>
      <w:r>
        <w:t>Provtagning och undersökning</w:t>
      </w:r>
      <w:bookmarkEnd w:id="7"/>
      <w:r>
        <w:t xml:space="preserve"> </w:t>
      </w:r>
    </w:p>
    <w:p w:rsidR="006558BB" w:rsidP="009A32ED" w:rsidRDefault="006558BB" w14:paraId="0C6D3648" w14:textId="2B4D64B6">
      <w:pPr>
        <w:pStyle w:val="Normalefterlista"/>
      </w:pPr>
      <w:r w:rsidRPr="006558BB">
        <w:rPr>
          <w:rFonts w:eastAsia="Times New Roman"/>
        </w:rPr>
        <w:t>Somatiskt rutinstatus före behandling och vid återbesök.</w:t>
      </w:r>
    </w:p>
    <w:p w:rsidRPr="006558BB" w:rsidR="006558BB" w:rsidP="00F0599D" w:rsidRDefault="006558BB" w14:paraId="50544EB0" w14:textId="51F99A6D">
      <w:pPr>
        <w:spacing w:after="0"/>
        <w:ind w:right="-143"/>
        <w:rPr>
          <w:rFonts w:asciiTheme="majorHAnsi" w:hAnsiTheme="majorHAnsi" w:eastAsiaTheme="majorEastAsia" w:cstheme="majorBidi"/>
          <w:bCs/>
          <w:color w:val="000000" w:themeColor="text1"/>
          <w:sz w:val="36"/>
        </w:rPr>
      </w:pPr>
      <w:r w:rsidRPr="006558BB">
        <w:rPr>
          <w:rFonts w:asciiTheme="majorHAnsi" w:hAnsiTheme="majorHAnsi" w:eastAsiaTheme="majorEastAsia" w:cstheme="majorBidi"/>
          <w:bCs/>
          <w:color w:val="000000" w:themeColor="text1"/>
          <w:sz w:val="36"/>
        </w:rPr>
        <w:t>Dessa prover tas inför behandlingsstart</w:t>
      </w:r>
    </w:p>
    <w:p w:rsidRPr="006558BB" w:rsidR="006558BB" w:rsidP="006558BB" w:rsidRDefault="006558BB" w14:paraId="4D5B9CAA" w14:textId="77777777">
      <w:pPr>
        <w:pStyle w:val="Punktlista"/>
        <w:ind w:left="993"/>
        <w:rPr>
          <w:rFonts w:eastAsia="MS Gothic"/>
        </w:rPr>
      </w:pPr>
      <w:r w:rsidRPr="006558BB">
        <w:rPr>
          <w:rFonts w:eastAsia="MS Gothic"/>
        </w:rPr>
        <w:t>Hb</w:t>
      </w:r>
    </w:p>
    <w:p w:rsidRPr="006558BB" w:rsidR="006558BB" w:rsidP="006558BB" w:rsidRDefault="006558BB" w14:paraId="4E9600B8" w14:textId="77777777">
      <w:pPr>
        <w:pStyle w:val="Punktlista"/>
        <w:ind w:left="993"/>
        <w:rPr>
          <w:rFonts w:eastAsia="MS Gothic"/>
        </w:rPr>
      </w:pPr>
      <w:r w:rsidRPr="006558BB">
        <w:rPr>
          <w:rFonts w:eastAsia="MS Gothic"/>
        </w:rPr>
        <w:t>LPK</w:t>
      </w:r>
    </w:p>
    <w:p w:rsidRPr="006558BB" w:rsidR="006558BB" w:rsidP="006558BB" w:rsidRDefault="006558BB" w14:paraId="6BA68050" w14:textId="77777777">
      <w:pPr>
        <w:pStyle w:val="Punktlista"/>
        <w:ind w:left="993"/>
        <w:rPr>
          <w:rFonts w:eastAsia="MS Gothic"/>
        </w:rPr>
      </w:pPr>
      <w:r w:rsidRPr="006558BB">
        <w:rPr>
          <w:rFonts w:eastAsia="MS Gothic"/>
        </w:rPr>
        <w:t>TPK</w:t>
      </w:r>
    </w:p>
    <w:p w:rsidRPr="006558BB" w:rsidR="006558BB" w:rsidP="006558BB" w:rsidRDefault="006558BB" w14:paraId="6D95655C" w14:textId="77777777">
      <w:pPr>
        <w:pStyle w:val="Punktlista"/>
        <w:ind w:left="993"/>
        <w:rPr>
          <w:rFonts w:eastAsia="MS Gothic"/>
        </w:rPr>
      </w:pPr>
      <w:r w:rsidRPr="006558BB">
        <w:rPr>
          <w:rFonts w:eastAsia="MS Gothic"/>
        </w:rPr>
        <w:t>ALAT</w:t>
      </w:r>
    </w:p>
    <w:p w:rsidRPr="006558BB" w:rsidR="006558BB" w:rsidP="006558BB" w:rsidRDefault="006558BB" w14:paraId="175E74A2" w14:textId="77777777">
      <w:pPr>
        <w:pStyle w:val="Punktlista"/>
        <w:ind w:left="993"/>
        <w:rPr>
          <w:rFonts w:eastAsia="MS Gothic"/>
        </w:rPr>
      </w:pPr>
      <w:r w:rsidRPr="006558BB">
        <w:rPr>
          <w:rFonts w:eastAsia="MS Gothic"/>
        </w:rPr>
        <w:t>Kreatinin</w:t>
      </w:r>
    </w:p>
    <w:p w:rsidRPr="006558BB" w:rsidR="006558BB" w:rsidP="006558BB" w:rsidRDefault="006558BB" w14:paraId="1DAD2838" w14:textId="77777777">
      <w:pPr>
        <w:pStyle w:val="Punktlista"/>
        <w:ind w:left="993"/>
        <w:rPr>
          <w:rFonts w:eastAsia="MS Gothic"/>
        </w:rPr>
      </w:pPr>
      <w:proofErr w:type="spellStart"/>
      <w:r w:rsidRPr="006558BB">
        <w:rPr>
          <w:rFonts w:eastAsia="MS Gothic"/>
        </w:rPr>
        <w:t>HbsAg</w:t>
      </w:r>
      <w:proofErr w:type="spellEnd"/>
      <w:r w:rsidRPr="006558BB">
        <w:rPr>
          <w:rFonts w:eastAsia="MS Gothic"/>
        </w:rPr>
        <w:t xml:space="preserve"> och anti-</w:t>
      </w:r>
      <w:proofErr w:type="spellStart"/>
      <w:r w:rsidRPr="006558BB">
        <w:rPr>
          <w:rFonts w:eastAsia="MS Gothic"/>
        </w:rPr>
        <w:t>Hbc</w:t>
      </w:r>
      <w:proofErr w:type="spellEnd"/>
    </w:p>
    <w:p w:rsidRPr="006558BB" w:rsidR="006558BB" w:rsidP="004D3B6B" w:rsidRDefault="006558BB" w14:paraId="131FFA66" w14:textId="13B5B7CE">
      <w:pPr>
        <w:pStyle w:val="Punktlista"/>
        <w:ind w:left="993"/>
        <w:rPr>
          <w:rFonts w:eastAsia="MS Gothic"/>
        </w:rPr>
      </w:pPr>
      <w:r w:rsidRPr="16C80B7E" w:rsidR="006558BB">
        <w:rPr>
          <w:rFonts w:eastAsia="MS Gothic"/>
        </w:rPr>
        <w:t>TP</w:t>
      </w:r>
      <w:r w:rsidRPr="16C80B7E" w:rsidR="72297D05">
        <w:rPr>
          <w:rFonts w:eastAsia="MS Gothic"/>
        </w:rPr>
        <w:t>M</w:t>
      </w:r>
      <w:r w:rsidRPr="16C80B7E" w:rsidR="006558BB">
        <w:rPr>
          <w:rFonts w:eastAsia="MS Gothic"/>
        </w:rPr>
        <w:t xml:space="preserve">T-aktivitet </w:t>
      </w:r>
      <w:r w:rsidRPr="16C80B7E" w:rsidR="006558BB">
        <w:rPr>
          <w:rFonts w:eastAsia="MS Gothic"/>
        </w:rPr>
        <w:t>(</w:t>
      </w:r>
      <w:r w:rsidRPr="16C80B7E" w:rsidR="006558BB">
        <w:rPr>
          <w:rFonts w:eastAsia="MS Gothic"/>
        </w:rPr>
        <w:t>=</w:t>
      </w:r>
      <w:r w:rsidRPr="16C80B7E" w:rsidR="004D3B6B">
        <w:rPr>
          <w:rFonts w:eastAsia="MS Gothic"/>
        </w:rPr>
        <w:t xml:space="preserve"> </w:t>
      </w:r>
      <w:r w:rsidRPr="16C80B7E" w:rsidR="006558BB">
        <w:rPr>
          <w:rFonts w:eastAsia="MS Gothic"/>
        </w:rPr>
        <w:t>tiopurinmetyltransferas</w:t>
      </w:r>
      <w:r w:rsidRPr="16C80B7E" w:rsidR="006558BB">
        <w:rPr>
          <w:rFonts w:eastAsia="MS Gothic"/>
        </w:rPr>
        <w:t>-aktivitet) - Remiss Klinisk Kemi 2 Metabolism</w:t>
      </w:r>
      <w:r w:rsidRPr="16C80B7E" w:rsidR="006558BB">
        <w:rPr>
          <w:rFonts w:eastAsia="MS Gothic"/>
          <w:i w:val="1"/>
          <w:iCs w:val="1"/>
        </w:rPr>
        <w:t>.</w:t>
      </w:r>
      <w:r w:rsidRPr="16C80B7E" w:rsidR="247CBEE5">
        <w:rPr>
          <w:rFonts w:eastAsia="MS Gothic"/>
          <w:i w:val="1"/>
          <w:iCs w:val="1"/>
        </w:rPr>
        <w:t xml:space="preserve"> </w:t>
      </w:r>
      <w:r w:rsidRPr="16C80B7E" w:rsidR="006558BB">
        <w:rPr>
          <w:rFonts w:eastAsia="MS Gothic"/>
        </w:rPr>
        <w:t xml:space="preserve">Analysen utförs på Enheten för </w:t>
      </w:r>
      <w:r w:rsidRPr="16C80B7E" w:rsidR="00BF60F6">
        <w:rPr>
          <w:rFonts w:eastAsia="MS Gothic"/>
        </w:rPr>
        <w:t>Enzym- och metallanalyser</w:t>
      </w:r>
      <w:r w:rsidRPr="16C80B7E" w:rsidR="006558BB">
        <w:rPr>
          <w:rFonts w:eastAsia="MS Gothic"/>
        </w:rPr>
        <w:t>, Klinisk Kemi, S</w:t>
      </w:r>
      <w:r w:rsidRPr="16C80B7E" w:rsidR="00B36EB1">
        <w:rPr>
          <w:rFonts w:eastAsia="MS Gothic"/>
        </w:rPr>
        <w:t>ahlgrenska sjukhuset</w:t>
      </w:r>
      <w:r w:rsidRPr="16C80B7E" w:rsidR="006558BB">
        <w:rPr>
          <w:rFonts w:eastAsia="MS Gothic"/>
        </w:rPr>
        <w:t>, telefon 342 24 25.</w:t>
      </w:r>
      <w:r>
        <w:br/>
      </w:r>
      <w:r w:rsidRPr="16C80B7E" w:rsidR="006558BB">
        <w:rPr>
          <w:rFonts w:eastAsia="MS Gothic"/>
        </w:rPr>
        <w:t xml:space="preserve">Cirka 10 % av befolkningen har låg aktivitet eller ingen aktivitet (1/300) av enzymet </w:t>
      </w:r>
      <w:r w:rsidRPr="16C80B7E" w:rsidR="006558BB">
        <w:rPr>
          <w:rFonts w:eastAsia="MS Gothic"/>
        </w:rPr>
        <w:t>tiopurinmetyltransferas</w:t>
      </w:r>
      <w:r w:rsidRPr="16C80B7E" w:rsidR="006558BB">
        <w:rPr>
          <w:rFonts w:eastAsia="MS Gothic"/>
        </w:rPr>
        <w:t xml:space="preserve"> och löper ökad risk att utveckla en benmärgshämning. Enzymaktiviteten ska alltid bestämmas inför behandlingsstart!</w:t>
      </w:r>
    </w:p>
    <w:p w:rsidRPr="006558BB" w:rsidR="006558BB" w:rsidP="00AE346C" w:rsidRDefault="006558BB" w14:paraId="4CD5CE01" w14:textId="58D6D436">
      <w:pPr>
        <w:spacing w:after="0"/>
        <w:ind w:right="-143"/>
        <w:rPr>
          <w:rFonts w:asciiTheme="majorHAnsi" w:hAnsiTheme="majorHAnsi" w:eastAsiaTheme="majorEastAsia" w:cstheme="majorBidi"/>
          <w:bCs/>
          <w:color w:val="000000" w:themeColor="text1"/>
          <w:sz w:val="36"/>
        </w:rPr>
      </w:pPr>
      <w:r w:rsidRPr="006558BB">
        <w:rPr>
          <w:rFonts w:asciiTheme="majorHAnsi" w:hAnsiTheme="majorHAnsi" w:eastAsiaTheme="majorEastAsia" w:cstheme="majorBidi"/>
          <w:bCs/>
          <w:color w:val="000000" w:themeColor="text1"/>
          <w:sz w:val="36"/>
        </w:rPr>
        <w:t>Dessa prover tas vid kontroller</w:t>
      </w:r>
    </w:p>
    <w:p w:rsidRPr="006558BB" w:rsidR="006558BB" w:rsidP="004D3B6B" w:rsidRDefault="006558BB" w14:paraId="414CE9FC" w14:textId="77777777">
      <w:pPr>
        <w:pStyle w:val="Punktlista"/>
        <w:ind w:left="993"/>
        <w:rPr>
          <w:rFonts w:eastAsia="MS Gothic"/>
        </w:rPr>
      </w:pPr>
      <w:r w:rsidRPr="006558BB">
        <w:rPr>
          <w:rFonts w:eastAsia="MS Gothic"/>
        </w:rPr>
        <w:t>Hb</w:t>
      </w:r>
    </w:p>
    <w:p w:rsidRPr="006558BB" w:rsidR="006558BB" w:rsidP="004D3B6B" w:rsidRDefault="006558BB" w14:paraId="3EB9386C" w14:textId="77777777">
      <w:pPr>
        <w:pStyle w:val="Punktlista"/>
        <w:ind w:left="993"/>
        <w:rPr>
          <w:rFonts w:eastAsia="MS Gothic"/>
        </w:rPr>
      </w:pPr>
      <w:r w:rsidRPr="006558BB">
        <w:rPr>
          <w:rFonts w:eastAsia="MS Gothic"/>
        </w:rPr>
        <w:t>LPK</w:t>
      </w:r>
    </w:p>
    <w:p w:rsidRPr="006558BB" w:rsidR="006558BB" w:rsidP="004D3B6B" w:rsidRDefault="006558BB" w14:paraId="62B652D6" w14:textId="77777777">
      <w:pPr>
        <w:pStyle w:val="Punktlista"/>
        <w:ind w:left="993"/>
        <w:rPr>
          <w:rFonts w:eastAsia="MS Gothic"/>
        </w:rPr>
      </w:pPr>
      <w:r w:rsidRPr="006558BB">
        <w:rPr>
          <w:rFonts w:eastAsia="MS Gothic"/>
        </w:rPr>
        <w:t>TPK</w:t>
      </w:r>
    </w:p>
    <w:p w:rsidRPr="006558BB" w:rsidR="006558BB" w:rsidP="004D3B6B" w:rsidRDefault="006558BB" w14:paraId="0794C026" w14:textId="77777777">
      <w:pPr>
        <w:pStyle w:val="Punktlista"/>
        <w:ind w:left="993"/>
        <w:rPr>
          <w:rFonts w:eastAsia="MS Gothic"/>
        </w:rPr>
      </w:pPr>
      <w:r w:rsidRPr="006558BB">
        <w:rPr>
          <w:rFonts w:eastAsia="MS Gothic"/>
        </w:rPr>
        <w:t>ALAT</w:t>
      </w:r>
    </w:p>
    <w:p w:rsidRPr="006558BB" w:rsidR="006558BB" w:rsidP="004D3B6B" w:rsidRDefault="006558BB" w14:paraId="33997272" w14:textId="39AC3BC4">
      <w:pPr>
        <w:pStyle w:val="Punktlista"/>
        <w:ind w:left="993"/>
        <w:rPr>
          <w:rFonts w:eastAsia="MS Gothic"/>
        </w:rPr>
      </w:pPr>
      <w:r w:rsidRPr="006558BB">
        <w:rPr>
          <w:rFonts w:eastAsia="MS Gothic"/>
        </w:rPr>
        <w:t>Kreatinin</w:t>
      </w:r>
    </w:p>
    <w:p w:rsidRPr="006558BB" w:rsidR="006558BB" w:rsidP="004D3B6B" w:rsidRDefault="006558BB" w14:paraId="20C85C41" w14:textId="2C79A4D9">
      <w:pPr>
        <w:ind w:right="-143"/>
        <w:rPr>
          <w:rFonts w:asciiTheme="majorHAnsi" w:hAnsiTheme="majorHAnsi" w:eastAsiaTheme="majorEastAsia" w:cstheme="majorBidi"/>
          <w:bCs/>
          <w:color w:val="000000" w:themeColor="text1"/>
          <w:sz w:val="36"/>
        </w:rPr>
      </w:pPr>
      <w:r w:rsidRPr="006558BB">
        <w:rPr>
          <w:rFonts w:asciiTheme="majorHAnsi" w:hAnsiTheme="majorHAnsi" w:eastAsiaTheme="majorEastAsia" w:cstheme="majorBidi"/>
          <w:bCs/>
          <w:color w:val="000000" w:themeColor="text1"/>
          <w:sz w:val="36"/>
        </w:rPr>
        <w:t>Provtagningsintervall under behandling</w:t>
      </w:r>
    </w:p>
    <w:p w:rsidR="002B17F6" w:rsidP="00E44034" w:rsidRDefault="006558BB" w14:paraId="05EDEAE8" w14:textId="77777777">
      <w:pPr>
        <w:pStyle w:val="Punktlista"/>
        <w:numPr>
          <w:ilvl w:val="0"/>
          <w:numId w:val="25"/>
        </w:numPr>
        <w:rPr>
          <w:rFonts w:eastAsia="MS Gothic"/>
        </w:rPr>
      </w:pPr>
      <w:r w:rsidRPr="006558BB">
        <w:rPr>
          <w:rFonts w:eastAsia="MS Gothic"/>
        </w:rPr>
        <w:t xml:space="preserve">Månad </w:t>
      </w:r>
      <w:proofErr w:type="gramStart"/>
      <w:r w:rsidRPr="006558BB">
        <w:rPr>
          <w:rFonts w:eastAsia="MS Gothic"/>
        </w:rPr>
        <w:t>0-3</w:t>
      </w:r>
      <w:proofErr w:type="gramEnd"/>
      <w:r w:rsidRPr="006558BB">
        <w:rPr>
          <w:rFonts w:eastAsia="MS Gothic"/>
        </w:rPr>
        <w:t>: var 14:e dag</w:t>
      </w:r>
    </w:p>
    <w:p w:rsidR="002B17F6" w:rsidP="00E44034" w:rsidRDefault="006558BB" w14:paraId="3A6BF8D0" w14:textId="77777777">
      <w:pPr>
        <w:pStyle w:val="Punktlista"/>
        <w:numPr>
          <w:ilvl w:val="0"/>
          <w:numId w:val="25"/>
        </w:numPr>
        <w:rPr>
          <w:rFonts w:eastAsia="MS Gothic"/>
        </w:rPr>
      </w:pPr>
      <w:r w:rsidRPr="002B17F6">
        <w:rPr>
          <w:rFonts w:eastAsia="MS Gothic"/>
        </w:rPr>
        <w:t xml:space="preserve">Månad </w:t>
      </w:r>
      <w:proofErr w:type="gramStart"/>
      <w:r w:rsidRPr="002B17F6">
        <w:rPr>
          <w:rFonts w:eastAsia="MS Gothic"/>
        </w:rPr>
        <w:t>4-6</w:t>
      </w:r>
      <w:proofErr w:type="gramEnd"/>
      <w:r w:rsidRPr="002B17F6">
        <w:rPr>
          <w:rFonts w:eastAsia="MS Gothic"/>
        </w:rPr>
        <w:t>: en gång per månad</w:t>
      </w:r>
    </w:p>
    <w:p w:rsidRPr="00E44034" w:rsidR="006F552D" w:rsidP="00E44034" w:rsidRDefault="006558BB" w14:paraId="58F17432" w14:textId="0FC3C919">
      <w:pPr>
        <w:pStyle w:val="Punktlista"/>
        <w:numPr>
          <w:ilvl w:val="0"/>
          <w:numId w:val="25"/>
        </w:numPr>
        <w:rPr>
          <w:rFonts w:eastAsia="MS Gothic"/>
        </w:rPr>
      </w:pPr>
      <w:r w:rsidRPr="002B17F6">
        <w:rPr>
          <w:rFonts w:eastAsia="MS Gothic"/>
        </w:rPr>
        <w:t>Månad 7 och framåt: var 3:e månad</w:t>
      </w:r>
    </w:p>
    <w:p w:rsidRPr="006558BB" w:rsidR="006558BB" w:rsidP="004D3B6B" w:rsidRDefault="006558BB" w14:paraId="538AC670" w14:textId="561DC9D2">
      <w:pPr>
        <w:ind w:right="-143"/>
        <w:rPr>
          <w:rFonts w:eastAsia="MS Gothic"/>
        </w:rPr>
      </w:pPr>
      <w:r w:rsidRPr="006558BB">
        <w:rPr>
          <w:rFonts w:asciiTheme="majorHAnsi" w:hAnsiTheme="majorHAnsi" w:eastAsiaTheme="majorEastAsia" w:cstheme="majorBidi"/>
          <w:bCs/>
          <w:color w:val="000000" w:themeColor="text1"/>
          <w:sz w:val="36"/>
        </w:rPr>
        <w:t>Återbesök</w:t>
      </w:r>
      <w:r>
        <w:rPr>
          <w:b/>
          <w:bCs/>
        </w:rPr>
        <w:br/>
      </w:r>
      <w:r w:rsidRPr="006558BB">
        <w:rPr>
          <w:rFonts w:eastAsia="MS Gothic"/>
        </w:rPr>
        <w:t xml:space="preserve">Uppföljning efter ca 4 månader efter behandlingsstart, därefter efter </w:t>
      </w:r>
      <w:proofErr w:type="gramStart"/>
      <w:r w:rsidRPr="006558BB">
        <w:rPr>
          <w:rFonts w:eastAsia="MS Gothic"/>
        </w:rPr>
        <w:t>6-12</w:t>
      </w:r>
      <w:proofErr w:type="gramEnd"/>
      <w:r w:rsidRPr="006558BB">
        <w:rPr>
          <w:rFonts w:eastAsia="MS Gothic"/>
        </w:rPr>
        <w:t xml:space="preserve"> månader och sedan individuell bedömning.</w:t>
      </w:r>
    </w:p>
    <w:p w:rsidRPr="00396FBD" w:rsidR="00396FBD" w:rsidP="00396FBD" w:rsidRDefault="00396FBD" w14:paraId="38BC8D51" w14:textId="77777777">
      <w:pPr>
        <w:pStyle w:val="Rubrik2"/>
        <w:ind w:right="-143"/>
        <w:rPr>
          <w:rFonts w:eastAsia="MS Gothic"/>
        </w:rPr>
      </w:pPr>
      <w:bookmarkStart w:name="_Toc166670100" w:id="8"/>
      <w:r w:rsidRPr="534702E5" w:rsidR="00396FBD">
        <w:rPr>
          <w:rFonts w:eastAsia="MS Gothic"/>
        </w:rPr>
        <w:t>Övrigt</w:t>
      </w:r>
      <w:bookmarkEnd w:id="8"/>
    </w:p>
    <w:p w:rsidRPr="00396FBD" w:rsidR="00396FBD" w:rsidP="00DA1E06" w:rsidRDefault="00396FBD" w14:paraId="35074C25" w14:textId="23CE5C3B">
      <w:pPr>
        <w:pStyle w:val="Punktlista"/>
        <w:ind w:left="993" w:right="565"/>
        <w:rPr>
          <w:rFonts w:eastAsia="MS Gothic"/>
        </w:rPr>
      </w:pPr>
      <w:r w:rsidRPr="00396FBD">
        <w:rPr>
          <w:rFonts w:eastAsia="MS Gothic"/>
        </w:rPr>
        <w:t xml:space="preserve">Patienten ska informeras om att höra av sig direkt vid tillkomst av </w:t>
      </w:r>
      <w:r w:rsidR="003D43FE">
        <w:rPr>
          <w:rFonts w:eastAsia="MS Gothic"/>
        </w:rPr>
        <w:t>o</w:t>
      </w:r>
      <w:r w:rsidRPr="00396FBD">
        <w:rPr>
          <w:rFonts w:eastAsia="MS Gothic"/>
        </w:rPr>
        <w:t>väntade blåmärken eller blödningar eller andra tecken på benmärgshämning.</w:t>
      </w:r>
    </w:p>
    <w:p w:rsidRPr="00396FBD" w:rsidR="00396FBD" w:rsidP="003D43FE" w:rsidRDefault="00396FBD" w14:paraId="6613B365" w14:textId="6B843E75">
      <w:pPr>
        <w:pStyle w:val="Punktlista"/>
        <w:ind w:left="993"/>
        <w:rPr>
          <w:rFonts w:eastAsia="MS Gothic"/>
        </w:rPr>
      </w:pPr>
      <w:r w:rsidRPr="534702E5" w:rsidR="00396FBD">
        <w:rPr>
          <w:rFonts w:eastAsia="MS Gothic"/>
        </w:rPr>
        <w:t>Patienten ska uppmanas söka vid nytillkomna buksmärtor, framför allt i början av behandlingen (på grund av liten risk för pankreatit).</w:t>
      </w:r>
    </w:p>
    <w:p w:rsidR="534702E5" w:rsidP="534702E5" w:rsidRDefault="534702E5" w14:paraId="6CD21EF8" w14:textId="6A6EBF35">
      <w:pPr>
        <w:pStyle w:val="Punktlista"/>
        <w:ind w:left="993"/>
        <w:rPr>
          <w:rFonts w:eastAsia="MS Gothic"/>
        </w:rPr>
      </w:pPr>
      <w:r w:rsidRPr="2CE9633F" w:rsidR="479F41BC">
        <w:rPr>
          <w:rFonts w:eastAsia="MS Gothic"/>
        </w:rPr>
        <w:t>Eftersom behandling med azatioprin ger ökad risk för hudtumörer ska råd om solskydd ges.</w:t>
      </w:r>
    </w:p>
    <w:p w:rsidR="479F41BC" w:rsidP="2CE9633F" w:rsidRDefault="479F41BC" w14:paraId="38D5F5AD" w14:textId="510FFCEE">
      <w:pPr>
        <w:pStyle w:val="Punktlista"/>
        <w:ind w:left="993"/>
        <w:rPr>
          <w:rFonts w:eastAsia="MS Gothic"/>
        </w:rPr>
      </w:pPr>
      <w:r w:rsidRPr="1AC856BF" w:rsidR="3116AE98">
        <w:rPr>
          <w:rFonts w:eastAsia="MS Gothic"/>
        </w:rPr>
        <w:t xml:space="preserve">På grund av risk för </w:t>
      </w:r>
      <w:r w:rsidRPr="1AC856BF" w:rsidR="3116AE98">
        <w:rPr>
          <w:rFonts w:eastAsia="MS Gothic"/>
        </w:rPr>
        <w:t>cervixdysplasi</w:t>
      </w:r>
      <w:r w:rsidRPr="1AC856BF" w:rsidR="101E8A40">
        <w:rPr>
          <w:rFonts w:eastAsia="MS Gothic"/>
        </w:rPr>
        <w:t xml:space="preserve"> </w:t>
      </w:r>
      <w:r w:rsidRPr="1AC856BF" w:rsidR="3116AE98">
        <w:rPr>
          <w:rFonts w:eastAsia="MS Gothic"/>
        </w:rPr>
        <w:t>ska</w:t>
      </w:r>
      <w:r w:rsidRPr="1AC856BF" w:rsidR="3116AE98">
        <w:rPr>
          <w:rFonts w:eastAsia="MS Gothic"/>
        </w:rPr>
        <w:t xml:space="preserve"> patienten </w:t>
      </w:r>
      <w:r w:rsidRPr="1AC856BF" w:rsidR="479F41BC">
        <w:rPr>
          <w:rFonts w:eastAsia="MS Gothic"/>
        </w:rPr>
        <w:t>uppmanas att gå på regelbundna cellprovskontroller</w:t>
      </w:r>
      <w:r w:rsidRPr="1AC856BF" w:rsidR="6D55DB59">
        <w:rPr>
          <w:rFonts w:eastAsia="MS Gothic"/>
        </w:rPr>
        <w:t>.</w:t>
      </w:r>
    </w:p>
    <w:p w:rsidRPr="00396FBD" w:rsidR="00396FBD" w:rsidP="003D43FE" w:rsidRDefault="00396FBD" w14:paraId="5C0FAA85" w14:textId="3C3DA314">
      <w:pPr>
        <w:pStyle w:val="Punktlista"/>
        <w:ind w:left="993"/>
        <w:rPr>
          <w:rFonts w:eastAsia="MS Gothic"/>
        </w:rPr>
      </w:pPr>
      <w:r w:rsidRPr="00396FBD">
        <w:rPr>
          <w:rFonts w:eastAsia="MS Gothic"/>
        </w:rPr>
        <w:t>Under pågående infektion bör man göra uppehåll med azatioprin, dock ej vid lindrigare infektion såsom lättare förkylning. Om patienten skulle få symptom som feber eller andra infektionstecken som inte förklaras av förkylning ska patienten kontakta sjukvården.</w:t>
      </w:r>
    </w:p>
    <w:p w:rsidRPr="00396FBD" w:rsidR="00396FBD" w:rsidP="003D43FE" w:rsidRDefault="00396FBD" w14:paraId="600DA7FA" w14:textId="77777777">
      <w:pPr>
        <w:pStyle w:val="Punktlista"/>
        <w:ind w:left="993"/>
        <w:rPr>
          <w:rFonts w:eastAsia="MS Gothic"/>
        </w:rPr>
      </w:pPr>
      <w:r w:rsidRPr="00396FBD">
        <w:rPr>
          <w:rFonts w:eastAsia="MS Gothic"/>
        </w:rPr>
        <w:t>Azatioprin kan bibehållas vid operation om operatören inte anger annat.</w:t>
      </w:r>
    </w:p>
    <w:p w:rsidRPr="00396FBD" w:rsidR="00396FBD" w:rsidP="00396FBD" w:rsidRDefault="00396FBD" w14:paraId="03C34681" w14:textId="77777777">
      <w:pPr>
        <w:pStyle w:val="Rubrik2"/>
        <w:ind w:right="-143"/>
        <w:rPr>
          <w:rFonts w:eastAsia="MS Gothic"/>
        </w:rPr>
      </w:pPr>
      <w:bookmarkStart w:name="_Toc166670101" w:id="9"/>
      <w:r w:rsidRPr="00396FBD">
        <w:rPr>
          <w:rFonts w:eastAsia="MS Gothic"/>
        </w:rPr>
        <w:t>Ansvar, uppföljning</w:t>
      </w:r>
      <w:bookmarkEnd w:id="9"/>
      <w:r w:rsidRPr="00396FBD">
        <w:rPr>
          <w:rFonts w:eastAsia="MS Gothic"/>
        </w:rPr>
        <w:t> </w:t>
      </w:r>
    </w:p>
    <w:p w:rsidR="006558BB" w:rsidP="00AE346C" w:rsidRDefault="00396FBD" w14:paraId="1F3A2099" w14:textId="4CE1DB56">
      <w:pPr>
        <w:pStyle w:val="Normalefterlista"/>
        <w:spacing w:before="0"/>
      </w:pPr>
      <w:r w:rsidRPr="00396FBD">
        <w:t xml:space="preserve">Verksamhetens läkare och annan berörd sjukvårdspersonal ska arbeta efter denna riktlinje. Rutinansvarig läkare ansvarar för att riktlinjen finns och linjechef ansvarar för att </w:t>
      </w:r>
      <w:r w:rsidR="00107BE4">
        <w:t>den</w:t>
      </w:r>
      <w:r w:rsidRPr="00396FBD">
        <w:t xml:space="preserve"> är känd. </w:t>
      </w:r>
      <w:r w:rsidR="00FB5059">
        <w:br/>
      </w:r>
      <w:r w:rsidRPr="00396FBD">
        <w:t>Vårdenhetsöverläkare ansvarar för uppföljning och revision. Medvetet avsteg från riktlinjen dokumenteras i Melior om riktlinjen är kopplad till patient. Övriga orsaker till avsteg från riktlinjen rapporteras i MedControl PRO. </w:t>
      </w:r>
    </w:p>
    <w:p w:rsidRPr="00A74A35" w:rsidR="009A32ED" w:rsidP="009A32ED" w:rsidRDefault="009A32ED" w14:paraId="2E317F63" w14:textId="16E13AC8">
      <w:pPr>
        <w:pStyle w:val="Rubrik2"/>
        <w:ind w:right="-143"/>
        <w:rPr>
          <w:color w:val="auto"/>
        </w:rPr>
      </w:pPr>
      <w:bookmarkStart w:name="_Toc100327193" w:id="10"/>
      <w:bookmarkStart w:name="_Toc166670102" w:id="11"/>
      <w:r w:rsidRPr="00A74A35">
        <w:rPr>
          <w:color w:val="auto"/>
        </w:rPr>
        <w:t>Relaterad information</w:t>
      </w:r>
      <w:bookmarkEnd w:id="10"/>
      <w:bookmarkEnd w:id="11"/>
    </w:p>
    <w:p w:rsidRPr="00396FBD" w:rsidR="00396FBD" w:rsidP="18E1A5DD" w:rsidRDefault="00396FBD" w14:paraId="7D3BD371" w14:textId="15B51628">
      <w:pPr>
        <w:pStyle w:val="Normal"/>
        <w:ind w:right="-143"/>
        <w:rPr>
          <w:rFonts w:ascii="Times New Roman" w:hAnsi="Times New Roman" w:eastAsia="Times New Roman" w:cs="Times New Roman"/>
          <w:noProof w:val="0"/>
          <w:sz w:val="24"/>
          <w:szCs w:val="24"/>
          <w:lang w:val="sv-SE"/>
        </w:rPr>
      </w:pPr>
      <w:r w:rsidR="00396FBD">
        <w:rPr/>
        <w:t xml:space="preserve">Remissblankett Klinisk Kemi 2 Metabola sjukdomar, ifyllbar </w:t>
      </w:r>
      <w:r w:rsidR="00396FBD">
        <w:rPr/>
        <w:t>pdf</w:t>
      </w:r>
      <w:r w:rsidR="008D370D">
        <w:rPr/>
        <w:t xml:space="preserve">, </w:t>
      </w:r>
      <w:r w:rsidR="00396FBD">
        <w:rPr/>
        <w:t xml:space="preserve">länk </w:t>
      </w:r>
      <w:hyperlink r:id="R59f2d697574f45ac">
        <w:r w:rsidRPr="6197EEDE" w:rsidR="1742919E">
          <w:rPr>
            <w:rStyle w:val="Hyperlnk"/>
            <w:rFonts w:ascii="Times New Roman" w:hAnsi="Times New Roman" w:eastAsia="Times New Roman" w:cs="Times New Roman"/>
            <w:noProof w:val="0"/>
            <w:sz w:val="24"/>
            <w:szCs w:val="24"/>
            <w:lang w:val="sv-SE"/>
          </w:rPr>
          <w:t>Klinisk kemi 2 Metabola sjukdomar</w:t>
        </w:r>
        <w:r w:rsidRPr="6197EEDE" w:rsidR="477AB307">
          <w:rPr>
            <w:rStyle w:val="Hyperlnk"/>
            <w:rFonts w:ascii="Times New Roman" w:hAnsi="Times New Roman" w:eastAsia="Times New Roman" w:cs="Times New Roman"/>
            <w:noProof w:val="0"/>
            <w:sz w:val="24"/>
            <w:szCs w:val="24"/>
            <w:lang w:val="sv-SE"/>
          </w:rPr>
          <w:t>.,</w:t>
        </w:r>
      </w:hyperlink>
      <w:r w:rsidRPr="6197EEDE" w:rsidR="477AB307">
        <w:rPr>
          <w:rFonts w:ascii="Times New Roman" w:hAnsi="Times New Roman" w:eastAsia="Times New Roman" w:cs="Times New Roman"/>
          <w:noProof w:val="0"/>
          <w:sz w:val="24"/>
          <w:szCs w:val="24"/>
          <w:lang w:val="sv-SE"/>
        </w:rPr>
        <w:t xml:space="preserve"> </w:t>
      </w:r>
      <w:hyperlink r:id="R9eec444833094c77">
        <w:r w:rsidRPr="6197EEDE" w:rsidR="477AB307">
          <w:rPr>
            <w:rStyle w:val="Hyperlnk"/>
            <w:rFonts w:ascii="Times New Roman" w:hAnsi="Times New Roman" w:eastAsia="Times New Roman" w:cs="Times New Roman"/>
            <w:noProof w:val="0"/>
            <w:sz w:val="24"/>
            <w:szCs w:val="24"/>
            <w:lang w:val="sv-SE"/>
          </w:rPr>
          <w:t>Genetisk analys av medfödda metabola sjukdomar - Labbutbud</w:t>
        </w:r>
      </w:hyperlink>
      <w:r w:rsidRPr="6197EEDE" w:rsidR="477AB307">
        <w:rPr>
          <w:rFonts w:ascii="Times New Roman" w:hAnsi="Times New Roman" w:eastAsia="Times New Roman" w:cs="Times New Roman"/>
          <w:noProof w:val="0"/>
          <w:sz w:val="24"/>
          <w:szCs w:val="24"/>
          <w:lang w:val="sv-SE"/>
        </w:rPr>
        <w:t xml:space="preserve"> </w:t>
      </w:r>
    </w:p>
    <w:p w:rsidR="00396FBD" w:rsidP="5294DFBA" w:rsidRDefault="00396FBD" w14:paraId="7B2B90DB" w14:textId="708C2CF6">
      <w:pPr>
        <w:pStyle w:val="Normal"/>
        <w:ind w:right="-143"/>
        <w:rPr>
          <w:rFonts w:ascii="Times New Roman" w:hAnsi="Times New Roman" w:eastAsia="Times New Roman" w:cs="Times New Roman"/>
          <w:noProof w:val="0"/>
          <w:sz w:val="24"/>
          <w:szCs w:val="24"/>
          <w:lang w:val="sv-SE"/>
        </w:rPr>
      </w:pPr>
      <w:r w:rsidR="00396FBD">
        <w:rPr/>
        <w:t xml:space="preserve">Patientinformation azatioprin (Imurel), </w:t>
      </w:r>
      <w:r w:rsidR="008D370D">
        <w:rPr/>
        <w:t>pdf</w:t>
      </w:r>
      <w:r w:rsidR="008D370D">
        <w:rPr/>
        <w:t xml:space="preserve">, </w:t>
      </w:r>
      <w:r w:rsidR="00396FBD">
        <w:rPr/>
        <w:t xml:space="preserve">länk </w:t>
      </w:r>
      <w:r>
        <w:br/>
      </w:r>
      <w:hyperlink r:id="R9f1c49070f6a4cf6">
        <w:r w:rsidRPr="5294DFBA" w:rsidR="7018FB04">
          <w:rPr>
            <w:rStyle w:val="Hyperlnk"/>
            <w:noProof w:val="0"/>
            <w:sz w:val="24"/>
            <w:szCs w:val="24"/>
            <w:lang w:val="sv-SE"/>
          </w:rPr>
          <w:t>Azatioprin (Imurel) patientinformation (vgregion.se)</w:t>
        </w:r>
      </w:hyperlink>
    </w:p>
    <w:p w:rsidRPr="00446B8E" w:rsidR="00C220CC" w:rsidP="00396FBD" w:rsidRDefault="00C220CC" w14:paraId="4B06A603" w14:textId="5523A479">
      <w:pPr>
        <w:ind w:right="-143"/>
      </w:pPr>
      <w:r w:rsidRPr="00396FBD">
        <w:t xml:space="preserve">Patientinformation </w:t>
      </w:r>
      <w:r>
        <w:t>vaccinering</w:t>
      </w:r>
      <w:r w:rsidR="00983F79">
        <w:t xml:space="preserve"> vid immunhämmande behandling</w:t>
      </w:r>
      <w:r w:rsidR="008D370D">
        <w:t xml:space="preserve">, </w:t>
      </w:r>
      <w:proofErr w:type="spellStart"/>
      <w:r w:rsidR="00983F79">
        <w:t>pdf</w:t>
      </w:r>
      <w:proofErr w:type="spellEnd"/>
      <w:r w:rsidR="00C663D9">
        <w:t>,</w:t>
      </w:r>
      <w:r w:rsidR="00983F79">
        <w:t xml:space="preserve"> länk</w:t>
      </w:r>
      <w:r w:rsidR="00983F79">
        <w:br/>
      </w:r>
      <w:hyperlink w:history="1" r:id="rId15">
        <w:r w:rsidRPr="00457A6F">
          <w:rPr>
            <w:rStyle w:val="Hyperlnk"/>
          </w:rPr>
          <w:t>Vaccinering vid hudsjukdom och immunhämmande behandling (A5 folder) (vgregion.se)</w:t>
        </w:r>
      </w:hyperlink>
      <w:r w:rsidR="00983F79">
        <w:t xml:space="preserve"> </w:t>
      </w:r>
    </w:p>
    <w:p w:rsidRPr="000D04ED" w:rsidR="009A32ED" w:rsidP="009A32ED" w:rsidRDefault="009A32ED" w14:paraId="188AE2C8" w14:textId="77777777">
      <w:pPr>
        <w:pStyle w:val="Rubrik2"/>
        <w:ind w:right="-143"/>
      </w:pPr>
      <w:bookmarkStart w:name="_Toc100327195" w:id="12"/>
      <w:bookmarkStart w:name="_Toc166670104" w:id="13"/>
      <w:r w:rsidRPr="000D04ED">
        <w:t>Källförteckning</w:t>
      </w:r>
      <w:bookmarkEnd w:id="12"/>
      <w:bookmarkEnd w:id="13"/>
    </w:p>
    <w:p w:rsidRPr="00396FBD" w:rsidR="003312BF" w:rsidP="00396FBD" w:rsidRDefault="00396FBD" w14:paraId="4CB787E5" w14:textId="23A1E4CF">
      <w:pPr>
        <w:ind w:right="-143"/>
      </w:pPr>
      <w:r w:rsidRPr="00396FBD">
        <w:t>Svensk Reumatologisk Förenings hemsida</w:t>
      </w:r>
      <w:r w:rsidR="00CE08B4">
        <w:t xml:space="preserve">, </w:t>
      </w:r>
      <w:hyperlink w:history="1" r:id="rId16">
        <w:r w:rsidRPr="00F406CB" w:rsidR="004C3250">
          <w:rPr>
            <w:rStyle w:val="Hyperlnk"/>
          </w:rPr>
          <w:t>https://svenskreumatologi.se/</w:t>
        </w:r>
      </w:hyperlink>
      <w:r w:rsidR="004C3250">
        <w:t xml:space="preserve"> </w:t>
      </w:r>
    </w:p>
    <w:p w:rsidR="00BE2788" w:rsidP="00D75E45" w:rsidRDefault="00BE2788" w14:paraId="1C96646F" w14:textId="3C8655A2">
      <w:pPr>
        <w:ind w:right="-143"/>
      </w:pPr>
      <w:r w:rsidR="00396FBD">
        <w:rPr/>
        <w:t>Svensk Gastroenterologisk Förenings hemsida</w:t>
      </w:r>
      <w:r w:rsidR="00CE08B4">
        <w:rPr/>
        <w:t xml:space="preserve">, </w:t>
      </w:r>
      <w:hyperlink r:id="R1c2e2d56fe6d423e">
        <w:r w:rsidRPr="5D015824" w:rsidR="00097F82">
          <w:rPr>
            <w:rStyle w:val="Hyperlnk"/>
          </w:rPr>
          <w:t>https://svenskgastroenterologi.se/#</w:t>
        </w:r>
      </w:hyperlink>
    </w:p>
    <w:sectPr w:rsidR="00BE2788" w:rsidSect="00B96AFF">
      <w:headerReference w:type="even" r:id="rId18"/>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268AB" w:rsidRDefault="007268AB" w14:paraId="67088814" w14:textId="77777777">
      <w:r>
        <w:separator/>
      </w:r>
    </w:p>
  </w:endnote>
  <w:endnote w:type="continuationSeparator" w:id="0">
    <w:p w:rsidR="007268AB" w:rsidRDefault="007268AB" w14:paraId="78482AC2" w14:textId="77777777">
      <w:r>
        <w:continuationSeparator/>
      </w:r>
    </w:p>
  </w:endnote>
  <w:endnote w:type="continuationNotice" w:id="1">
    <w:p w:rsidR="007268AB" w:rsidRDefault="007268AB" w14:paraId="4209341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E44034"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268AB" w:rsidRDefault="007268AB" w14:paraId="605C6EF9" w14:textId="77777777"/>
  </w:footnote>
  <w:footnote w:type="continuationSeparator" w:id="0">
    <w:p w:rsidR="007268AB" w:rsidRDefault="007268AB" w14:paraId="69E2436A" w14:textId="77777777">
      <w:r>
        <w:continuationSeparator/>
      </w:r>
    </w:p>
  </w:footnote>
  <w:footnote w:type="continuationNotice" w:id="1">
    <w:p w:rsidR="007268AB" w:rsidRDefault="007268AB" w14:paraId="6833399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533672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297DE3B">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A364EA3"/>
    <w:multiLevelType w:val="multilevel"/>
    <w:tmpl w:val="27CAFB5A"/>
    <w:lvl w:ilvl="0">
      <w:start w:val="1"/>
      <w:numFmt w:val="bullet"/>
      <w:lvlText w:val=""/>
      <w:lvlJc w:val="left"/>
      <w:pPr>
        <w:tabs>
          <w:tab w:val="num" w:pos="644"/>
        </w:tabs>
        <w:ind w:left="644" w:hanging="360"/>
      </w:pPr>
      <w:rPr>
        <w:rFonts w:hint="default" w:ascii="Symbol" w:hAnsi="Symbol"/>
        <w:sz w:val="20"/>
      </w:rPr>
    </w:lvl>
    <w:lvl w:ilvl="1" w:tentative="1">
      <w:start w:val="1"/>
      <w:numFmt w:val="bullet"/>
      <w:lvlText w:val=""/>
      <w:lvlJc w:val="left"/>
      <w:pPr>
        <w:tabs>
          <w:tab w:val="num" w:pos="1364"/>
        </w:tabs>
        <w:ind w:left="1364" w:hanging="360"/>
      </w:pPr>
      <w:rPr>
        <w:rFonts w:hint="default" w:ascii="Symbol" w:hAnsi="Symbol"/>
        <w:sz w:val="20"/>
      </w:rPr>
    </w:lvl>
    <w:lvl w:ilvl="2" w:tentative="1">
      <w:start w:val="1"/>
      <w:numFmt w:val="bullet"/>
      <w:lvlText w:val=""/>
      <w:lvlJc w:val="left"/>
      <w:pPr>
        <w:tabs>
          <w:tab w:val="num" w:pos="2084"/>
        </w:tabs>
        <w:ind w:left="2084" w:hanging="360"/>
      </w:pPr>
      <w:rPr>
        <w:rFonts w:hint="default" w:ascii="Symbol" w:hAnsi="Symbol"/>
        <w:sz w:val="20"/>
      </w:rPr>
    </w:lvl>
    <w:lvl w:ilvl="3" w:tentative="1">
      <w:start w:val="1"/>
      <w:numFmt w:val="bullet"/>
      <w:lvlText w:val=""/>
      <w:lvlJc w:val="left"/>
      <w:pPr>
        <w:tabs>
          <w:tab w:val="num" w:pos="2804"/>
        </w:tabs>
        <w:ind w:left="2804" w:hanging="360"/>
      </w:pPr>
      <w:rPr>
        <w:rFonts w:hint="default" w:ascii="Symbol" w:hAnsi="Symbol"/>
        <w:sz w:val="20"/>
      </w:rPr>
    </w:lvl>
    <w:lvl w:ilvl="4" w:tentative="1">
      <w:start w:val="1"/>
      <w:numFmt w:val="bullet"/>
      <w:lvlText w:val=""/>
      <w:lvlJc w:val="left"/>
      <w:pPr>
        <w:tabs>
          <w:tab w:val="num" w:pos="3524"/>
        </w:tabs>
        <w:ind w:left="3524" w:hanging="360"/>
      </w:pPr>
      <w:rPr>
        <w:rFonts w:hint="default" w:ascii="Symbol" w:hAnsi="Symbol"/>
        <w:sz w:val="20"/>
      </w:rPr>
    </w:lvl>
    <w:lvl w:ilvl="5" w:tentative="1">
      <w:start w:val="1"/>
      <w:numFmt w:val="bullet"/>
      <w:lvlText w:val=""/>
      <w:lvlJc w:val="left"/>
      <w:pPr>
        <w:tabs>
          <w:tab w:val="num" w:pos="4244"/>
        </w:tabs>
        <w:ind w:left="4244" w:hanging="360"/>
      </w:pPr>
      <w:rPr>
        <w:rFonts w:hint="default" w:ascii="Symbol" w:hAnsi="Symbol"/>
        <w:sz w:val="20"/>
      </w:rPr>
    </w:lvl>
    <w:lvl w:ilvl="6" w:tentative="1">
      <w:start w:val="1"/>
      <w:numFmt w:val="bullet"/>
      <w:lvlText w:val=""/>
      <w:lvlJc w:val="left"/>
      <w:pPr>
        <w:tabs>
          <w:tab w:val="num" w:pos="4964"/>
        </w:tabs>
        <w:ind w:left="4964" w:hanging="360"/>
      </w:pPr>
      <w:rPr>
        <w:rFonts w:hint="default" w:ascii="Symbol" w:hAnsi="Symbol"/>
        <w:sz w:val="20"/>
      </w:rPr>
    </w:lvl>
    <w:lvl w:ilvl="7" w:tentative="1">
      <w:start w:val="1"/>
      <w:numFmt w:val="bullet"/>
      <w:lvlText w:val=""/>
      <w:lvlJc w:val="left"/>
      <w:pPr>
        <w:tabs>
          <w:tab w:val="num" w:pos="5684"/>
        </w:tabs>
        <w:ind w:left="5684" w:hanging="360"/>
      </w:pPr>
      <w:rPr>
        <w:rFonts w:hint="default" w:ascii="Symbol" w:hAnsi="Symbol"/>
        <w:sz w:val="20"/>
      </w:rPr>
    </w:lvl>
    <w:lvl w:ilvl="8" w:tentative="1">
      <w:start w:val="1"/>
      <w:numFmt w:val="bullet"/>
      <w:lvlText w:val=""/>
      <w:lvlJc w:val="left"/>
      <w:pPr>
        <w:tabs>
          <w:tab w:val="num" w:pos="6404"/>
        </w:tabs>
        <w:ind w:left="6404" w:hanging="360"/>
      </w:pPr>
      <w:rPr>
        <w:rFonts w:hint="default" w:ascii="Symbol" w:hAnsi="Symbol"/>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1091AB7"/>
    <w:multiLevelType w:val="hybridMultilevel"/>
    <w:tmpl w:val="11DA436E"/>
    <w:lvl w:ilvl="0" w:tplc="2B92EEC8">
      <w:start w:val="11"/>
      <w:numFmt w:val="bullet"/>
      <w:lvlText w:val=""/>
      <w:lvlJc w:val="left"/>
      <w:pPr>
        <w:ind w:left="927" w:hanging="360"/>
      </w:pPr>
      <w:rPr>
        <w:rFonts w:hint="default" w:ascii="Symbol" w:hAnsi="Symbol" w:eastAsia="Times New Roman" w:cs="Times New Roman"/>
        <w:b w:val="0"/>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10" w15:restartNumberingAfterBreak="0">
    <w:nsid w:val="2F3C54DA"/>
    <w:multiLevelType w:val="multilevel"/>
    <w:tmpl w:val="0F0808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975" w:hanging="360"/>
      </w:pPr>
      <w:rPr>
        <w:rFonts w:hint="default" w:ascii="Symbol" w:hAnsi="Symbol"/>
      </w:rPr>
    </w:lvl>
    <w:lvl w:ilvl="1" w:tplc="041D0003" w:tentative="1">
      <w:start w:val="1"/>
      <w:numFmt w:val="bullet"/>
      <w:lvlText w:val="o"/>
      <w:lvlJc w:val="left"/>
      <w:pPr>
        <w:ind w:left="1695" w:hanging="360"/>
      </w:pPr>
      <w:rPr>
        <w:rFonts w:hint="default" w:ascii="Courier New" w:hAnsi="Courier New" w:cs="Courier New"/>
      </w:rPr>
    </w:lvl>
    <w:lvl w:ilvl="2" w:tplc="041D0005" w:tentative="1">
      <w:start w:val="1"/>
      <w:numFmt w:val="bullet"/>
      <w:lvlText w:val=""/>
      <w:lvlJc w:val="left"/>
      <w:pPr>
        <w:ind w:left="2415" w:hanging="360"/>
      </w:pPr>
      <w:rPr>
        <w:rFonts w:hint="default" w:ascii="Wingdings" w:hAnsi="Wingdings"/>
      </w:rPr>
    </w:lvl>
    <w:lvl w:ilvl="3" w:tplc="041D0001" w:tentative="1">
      <w:start w:val="1"/>
      <w:numFmt w:val="bullet"/>
      <w:lvlText w:val=""/>
      <w:lvlJc w:val="left"/>
      <w:pPr>
        <w:ind w:left="3135" w:hanging="360"/>
      </w:pPr>
      <w:rPr>
        <w:rFonts w:hint="default" w:ascii="Symbol" w:hAnsi="Symbol"/>
      </w:rPr>
    </w:lvl>
    <w:lvl w:ilvl="4" w:tplc="041D0003" w:tentative="1">
      <w:start w:val="1"/>
      <w:numFmt w:val="bullet"/>
      <w:lvlText w:val="o"/>
      <w:lvlJc w:val="left"/>
      <w:pPr>
        <w:ind w:left="3855" w:hanging="360"/>
      </w:pPr>
      <w:rPr>
        <w:rFonts w:hint="default" w:ascii="Courier New" w:hAnsi="Courier New" w:cs="Courier New"/>
      </w:rPr>
    </w:lvl>
    <w:lvl w:ilvl="5" w:tplc="041D0005" w:tentative="1">
      <w:start w:val="1"/>
      <w:numFmt w:val="bullet"/>
      <w:lvlText w:val=""/>
      <w:lvlJc w:val="left"/>
      <w:pPr>
        <w:ind w:left="4575" w:hanging="360"/>
      </w:pPr>
      <w:rPr>
        <w:rFonts w:hint="default" w:ascii="Wingdings" w:hAnsi="Wingdings"/>
      </w:rPr>
    </w:lvl>
    <w:lvl w:ilvl="6" w:tplc="041D0001" w:tentative="1">
      <w:start w:val="1"/>
      <w:numFmt w:val="bullet"/>
      <w:lvlText w:val=""/>
      <w:lvlJc w:val="left"/>
      <w:pPr>
        <w:ind w:left="5295" w:hanging="360"/>
      </w:pPr>
      <w:rPr>
        <w:rFonts w:hint="default" w:ascii="Symbol" w:hAnsi="Symbol"/>
      </w:rPr>
    </w:lvl>
    <w:lvl w:ilvl="7" w:tplc="041D0003" w:tentative="1">
      <w:start w:val="1"/>
      <w:numFmt w:val="bullet"/>
      <w:lvlText w:val="o"/>
      <w:lvlJc w:val="left"/>
      <w:pPr>
        <w:ind w:left="6015" w:hanging="360"/>
      </w:pPr>
      <w:rPr>
        <w:rFonts w:hint="default" w:ascii="Courier New" w:hAnsi="Courier New" w:cs="Courier New"/>
      </w:rPr>
    </w:lvl>
    <w:lvl w:ilvl="8" w:tplc="041D0005" w:tentative="1">
      <w:start w:val="1"/>
      <w:numFmt w:val="bullet"/>
      <w:lvlText w:val=""/>
      <w:lvlJc w:val="left"/>
      <w:pPr>
        <w:ind w:left="6735"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D3302D6"/>
    <w:multiLevelType w:val="hybridMultilevel"/>
    <w:tmpl w:val="47B0B85C"/>
    <w:lvl w:ilvl="0" w:tplc="7BE47454">
      <w:numFmt w:val="bullet"/>
      <w:lvlText w:val="-"/>
      <w:lvlJc w:val="left"/>
      <w:pPr>
        <w:ind w:left="927" w:hanging="360"/>
      </w:pPr>
      <w:rPr>
        <w:rFonts w:hint="default" w:ascii="Times New Roman" w:hAnsi="Times New Roman" w:eastAsia="MS Gothic" w:cs="Times New Roman"/>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19" w15:restartNumberingAfterBreak="0">
    <w:nsid w:val="6EE17672"/>
    <w:multiLevelType w:val="multilevel"/>
    <w:tmpl w:val="A7BE8DE6"/>
    <w:lvl w:ilvl="0">
      <w:start w:val="1"/>
      <w:numFmt w:val="bullet"/>
      <w:lvlText w:val=""/>
      <w:lvlJc w:val="left"/>
      <w:pPr>
        <w:tabs>
          <w:tab w:val="num" w:pos="644"/>
        </w:tabs>
        <w:ind w:left="644" w:hanging="360"/>
      </w:pPr>
      <w:rPr>
        <w:rFonts w:hint="default" w:ascii="Symbol" w:hAnsi="Symbol"/>
        <w:sz w:val="20"/>
      </w:rPr>
    </w:lvl>
    <w:lvl w:ilvl="1" w:tentative="1">
      <w:start w:val="1"/>
      <w:numFmt w:val="bullet"/>
      <w:lvlText w:val=""/>
      <w:lvlJc w:val="left"/>
      <w:pPr>
        <w:tabs>
          <w:tab w:val="num" w:pos="1364"/>
        </w:tabs>
        <w:ind w:left="1364" w:hanging="360"/>
      </w:pPr>
      <w:rPr>
        <w:rFonts w:hint="default" w:ascii="Symbol" w:hAnsi="Symbol"/>
        <w:sz w:val="20"/>
      </w:rPr>
    </w:lvl>
    <w:lvl w:ilvl="2" w:tentative="1">
      <w:start w:val="1"/>
      <w:numFmt w:val="bullet"/>
      <w:lvlText w:val=""/>
      <w:lvlJc w:val="left"/>
      <w:pPr>
        <w:tabs>
          <w:tab w:val="num" w:pos="2084"/>
        </w:tabs>
        <w:ind w:left="2084" w:hanging="360"/>
      </w:pPr>
      <w:rPr>
        <w:rFonts w:hint="default" w:ascii="Symbol" w:hAnsi="Symbol"/>
        <w:sz w:val="20"/>
      </w:rPr>
    </w:lvl>
    <w:lvl w:ilvl="3" w:tentative="1">
      <w:start w:val="1"/>
      <w:numFmt w:val="bullet"/>
      <w:lvlText w:val=""/>
      <w:lvlJc w:val="left"/>
      <w:pPr>
        <w:tabs>
          <w:tab w:val="num" w:pos="2804"/>
        </w:tabs>
        <w:ind w:left="2804" w:hanging="360"/>
      </w:pPr>
      <w:rPr>
        <w:rFonts w:hint="default" w:ascii="Symbol" w:hAnsi="Symbol"/>
        <w:sz w:val="20"/>
      </w:rPr>
    </w:lvl>
    <w:lvl w:ilvl="4" w:tentative="1">
      <w:start w:val="1"/>
      <w:numFmt w:val="bullet"/>
      <w:lvlText w:val=""/>
      <w:lvlJc w:val="left"/>
      <w:pPr>
        <w:tabs>
          <w:tab w:val="num" w:pos="3524"/>
        </w:tabs>
        <w:ind w:left="3524" w:hanging="360"/>
      </w:pPr>
      <w:rPr>
        <w:rFonts w:hint="default" w:ascii="Symbol" w:hAnsi="Symbol"/>
        <w:sz w:val="20"/>
      </w:rPr>
    </w:lvl>
    <w:lvl w:ilvl="5" w:tentative="1">
      <w:start w:val="1"/>
      <w:numFmt w:val="bullet"/>
      <w:lvlText w:val=""/>
      <w:lvlJc w:val="left"/>
      <w:pPr>
        <w:tabs>
          <w:tab w:val="num" w:pos="4244"/>
        </w:tabs>
        <w:ind w:left="4244" w:hanging="360"/>
      </w:pPr>
      <w:rPr>
        <w:rFonts w:hint="default" w:ascii="Symbol" w:hAnsi="Symbol"/>
        <w:sz w:val="20"/>
      </w:rPr>
    </w:lvl>
    <w:lvl w:ilvl="6" w:tentative="1">
      <w:start w:val="1"/>
      <w:numFmt w:val="bullet"/>
      <w:lvlText w:val=""/>
      <w:lvlJc w:val="left"/>
      <w:pPr>
        <w:tabs>
          <w:tab w:val="num" w:pos="4964"/>
        </w:tabs>
        <w:ind w:left="4964" w:hanging="360"/>
      </w:pPr>
      <w:rPr>
        <w:rFonts w:hint="default" w:ascii="Symbol" w:hAnsi="Symbol"/>
        <w:sz w:val="20"/>
      </w:rPr>
    </w:lvl>
    <w:lvl w:ilvl="7" w:tentative="1">
      <w:start w:val="1"/>
      <w:numFmt w:val="bullet"/>
      <w:lvlText w:val=""/>
      <w:lvlJc w:val="left"/>
      <w:pPr>
        <w:tabs>
          <w:tab w:val="num" w:pos="5684"/>
        </w:tabs>
        <w:ind w:left="5684" w:hanging="360"/>
      </w:pPr>
      <w:rPr>
        <w:rFonts w:hint="default" w:ascii="Symbol" w:hAnsi="Symbol"/>
        <w:sz w:val="20"/>
      </w:rPr>
    </w:lvl>
    <w:lvl w:ilvl="8" w:tentative="1">
      <w:start w:val="1"/>
      <w:numFmt w:val="bullet"/>
      <w:lvlText w:val=""/>
      <w:lvlJc w:val="left"/>
      <w:pPr>
        <w:tabs>
          <w:tab w:val="num" w:pos="6404"/>
        </w:tabs>
        <w:ind w:left="6404" w:hanging="360"/>
      </w:pPr>
      <w:rPr>
        <w:rFonts w:hint="default" w:ascii="Symbol" w:hAnsi="Symbol"/>
        <w:sz w:val="20"/>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4727D41"/>
    <w:multiLevelType w:val="hybridMultilevel"/>
    <w:tmpl w:val="DC7E88DC"/>
    <w:lvl w:ilvl="0" w:tplc="041D0005">
      <w:start w:val="1"/>
      <w:numFmt w:val="bullet"/>
      <w:lvlText w:val=""/>
      <w:lvlJc w:val="left"/>
      <w:pPr>
        <w:ind w:left="927" w:hanging="360"/>
      </w:pPr>
      <w:rPr>
        <w:rFonts w:hint="default" w:ascii="Wingdings" w:hAnsi="Wingdings"/>
      </w:rPr>
    </w:lvl>
    <w:lvl w:ilvl="1" w:tplc="FFFFFFFF" w:tentative="1">
      <w:start w:val="1"/>
      <w:numFmt w:val="bullet"/>
      <w:lvlText w:val="o"/>
      <w:lvlJc w:val="left"/>
      <w:pPr>
        <w:ind w:left="1647" w:hanging="360"/>
      </w:pPr>
      <w:rPr>
        <w:rFonts w:hint="default" w:ascii="Courier New" w:hAnsi="Courier New" w:cs="Courier New"/>
      </w:rPr>
    </w:lvl>
    <w:lvl w:ilvl="2" w:tplc="FFFFFFFF" w:tentative="1">
      <w:start w:val="1"/>
      <w:numFmt w:val="bullet"/>
      <w:lvlText w:val=""/>
      <w:lvlJc w:val="left"/>
      <w:pPr>
        <w:ind w:left="2367" w:hanging="360"/>
      </w:pPr>
      <w:rPr>
        <w:rFonts w:hint="default" w:ascii="Wingdings" w:hAnsi="Wingdings"/>
      </w:rPr>
    </w:lvl>
    <w:lvl w:ilvl="3" w:tplc="FFFFFFFF" w:tentative="1">
      <w:start w:val="1"/>
      <w:numFmt w:val="bullet"/>
      <w:lvlText w:val=""/>
      <w:lvlJc w:val="left"/>
      <w:pPr>
        <w:ind w:left="3087" w:hanging="360"/>
      </w:pPr>
      <w:rPr>
        <w:rFonts w:hint="default" w:ascii="Symbol" w:hAnsi="Symbol"/>
      </w:rPr>
    </w:lvl>
    <w:lvl w:ilvl="4" w:tplc="FFFFFFFF" w:tentative="1">
      <w:start w:val="1"/>
      <w:numFmt w:val="bullet"/>
      <w:lvlText w:val="o"/>
      <w:lvlJc w:val="left"/>
      <w:pPr>
        <w:ind w:left="3807" w:hanging="360"/>
      </w:pPr>
      <w:rPr>
        <w:rFonts w:hint="default" w:ascii="Courier New" w:hAnsi="Courier New" w:cs="Courier New"/>
      </w:rPr>
    </w:lvl>
    <w:lvl w:ilvl="5" w:tplc="FFFFFFFF" w:tentative="1">
      <w:start w:val="1"/>
      <w:numFmt w:val="bullet"/>
      <w:lvlText w:val=""/>
      <w:lvlJc w:val="left"/>
      <w:pPr>
        <w:ind w:left="4527" w:hanging="360"/>
      </w:pPr>
      <w:rPr>
        <w:rFonts w:hint="default" w:ascii="Wingdings" w:hAnsi="Wingdings"/>
      </w:rPr>
    </w:lvl>
    <w:lvl w:ilvl="6" w:tplc="FFFFFFFF" w:tentative="1">
      <w:start w:val="1"/>
      <w:numFmt w:val="bullet"/>
      <w:lvlText w:val=""/>
      <w:lvlJc w:val="left"/>
      <w:pPr>
        <w:ind w:left="5247" w:hanging="360"/>
      </w:pPr>
      <w:rPr>
        <w:rFonts w:hint="default" w:ascii="Symbol" w:hAnsi="Symbol"/>
      </w:rPr>
    </w:lvl>
    <w:lvl w:ilvl="7" w:tplc="FFFFFFFF" w:tentative="1">
      <w:start w:val="1"/>
      <w:numFmt w:val="bullet"/>
      <w:lvlText w:val="o"/>
      <w:lvlJc w:val="left"/>
      <w:pPr>
        <w:ind w:left="5967" w:hanging="360"/>
      </w:pPr>
      <w:rPr>
        <w:rFonts w:hint="default" w:ascii="Courier New" w:hAnsi="Courier New" w:cs="Courier New"/>
      </w:rPr>
    </w:lvl>
    <w:lvl w:ilvl="8" w:tplc="FFFFFFFF" w:tentative="1">
      <w:start w:val="1"/>
      <w:numFmt w:val="bullet"/>
      <w:lvlText w:val=""/>
      <w:lvlJc w:val="left"/>
      <w:pPr>
        <w:ind w:left="6687"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3"/>
  </w:num>
  <w:num w:numId="2" w16cid:durableId="1367871050">
    <w:abstractNumId w:val="17"/>
  </w:num>
  <w:num w:numId="3" w16cid:durableId="164058872">
    <w:abstractNumId w:val="0"/>
  </w:num>
  <w:num w:numId="4" w16cid:durableId="861477783">
    <w:abstractNumId w:val="7"/>
  </w:num>
  <w:num w:numId="5" w16cid:durableId="1280868239">
    <w:abstractNumId w:val="20"/>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2"/>
  </w:num>
  <w:num w:numId="15" w16cid:durableId="560679449">
    <w:abstractNumId w:val="8"/>
  </w:num>
  <w:num w:numId="16" w16cid:durableId="1420566503">
    <w:abstractNumId w:val="15"/>
  </w:num>
  <w:num w:numId="17" w16cid:durableId="256527698">
    <w:abstractNumId w:val="5"/>
  </w:num>
  <w:num w:numId="18" w16cid:durableId="1090539201">
    <w:abstractNumId w:val="13"/>
  </w:num>
  <w:num w:numId="19" w16cid:durableId="1846439597">
    <w:abstractNumId w:val="22"/>
  </w:num>
  <w:num w:numId="20" w16cid:durableId="498664057">
    <w:abstractNumId w:val="6"/>
  </w:num>
  <w:num w:numId="21" w16cid:durableId="409230085">
    <w:abstractNumId w:val="10"/>
  </w:num>
  <w:num w:numId="22" w16cid:durableId="1114055887">
    <w:abstractNumId w:val="19"/>
  </w:num>
  <w:num w:numId="23" w16cid:durableId="1157064604">
    <w:abstractNumId w:val="9"/>
  </w:num>
  <w:num w:numId="24" w16cid:durableId="1469319149">
    <w:abstractNumId w:val="18"/>
  </w:num>
  <w:num w:numId="25" w16cid:durableId="2010675917">
    <w:abstractNumId w:val="2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7F82"/>
    <w:rsid w:val="000A611A"/>
    <w:rsid w:val="000B12D9"/>
    <w:rsid w:val="000B4536"/>
    <w:rsid w:val="000B4926"/>
    <w:rsid w:val="000B7715"/>
    <w:rsid w:val="000E463B"/>
    <w:rsid w:val="000E5A7E"/>
    <w:rsid w:val="000F43A3"/>
    <w:rsid w:val="000F7681"/>
    <w:rsid w:val="00103031"/>
    <w:rsid w:val="001044FE"/>
    <w:rsid w:val="00107BE4"/>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1E31"/>
    <w:rsid w:val="00294791"/>
    <w:rsid w:val="002A1C4F"/>
    <w:rsid w:val="002A7450"/>
    <w:rsid w:val="002B0B30"/>
    <w:rsid w:val="002B0C78"/>
    <w:rsid w:val="002B17F6"/>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2BF"/>
    <w:rsid w:val="00337F99"/>
    <w:rsid w:val="003410BD"/>
    <w:rsid w:val="0034307B"/>
    <w:rsid w:val="00345EB1"/>
    <w:rsid w:val="00350CC4"/>
    <w:rsid w:val="00360E0D"/>
    <w:rsid w:val="0036357D"/>
    <w:rsid w:val="0036594C"/>
    <w:rsid w:val="00367D19"/>
    <w:rsid w:val="00371BED"/>
    <w:rsid w:val="00384019"/>
    <w:rsid w:val="003854F1"/>
    <w:rsid w:val="0039118E"/>
    <w:rsid w:val="00396FBD"/>
    <w:rsid w:val="00397F54"/>
    <w:rsid w:val="003A0D43"/>
    <w:rsid w:val="003B2A4B"/>
    <w:rsid w:val="003D099E"/>
    <w:rsid w:val="003D21A2"/>
    <w:rsid w:val="003D29D2"/>
    <w:rsid w:val="003D43FE"/>
    <w:rsid w:val="003D6694"/>
    <w:rsid w:val="003D6DF1"/>
    <w:rsid w:val="003E0705"/>
    <w:rsid w:val="003E2FF7"/>
    <w:rsid w:val="003F1013"/>
    <w:rsid w:val="003F1ACF"/>
    <w:rsid w:val="00404948"/>
    <w:rsid w:val="00406BEA"/>
    <w:rsid w:val="00413A60"/>
    <w:rsid w:val="004230F7"/>
    <w:rsid w:val="00425392"/>
    <w:rsid w:val="0043167E"/>
    <w:rsid w:val="0043409A"/>
    <w:rsid w:val="00446255"/>
    <w:rsid w:val="00451935"/>
    <w:rsid w:val="00457A6F"/>
    <w:rsid w:val="00460ED0"/>
    <w:rsid w:val="00463A67"/>
    <w:rsid w:val="00465651"/>
    <w:rsid w:val="00470CE7"/>
    <w:rsid w:val="00470F4F"/>
    <w:rsid w:val="00472482"/>
    <w:rsid w:val="004735F1"/>
    <w:rsid w:val="00480DC7"/>
    <w:rsid w:val="004876F6"/>
    <w:rsid w:val="0049236A"/>
    <w:rsid w:val="00492718"/>
    <w:rsid w:val="004A355D"/>
    <w:rsid w:val="004A4970"/>
    <w:rsid w:val="004A57D3"/>
    <w:rsid w:val="004B2183"/>
    <w:rsid w:val="004B2A01"/>
    <w:rsid w:val="004C3250"/>
    <w:rsid w:val="004C3536"/>
    <w:rsid w:val="004D3B6B"/>
    <w:rsid w:val="004D4719"/>
    <w:rsid w:val="004D7BA3"/>
    <w:rsid w:val="004F4518"/>
    <w:rsid w:val="004F4C62"/>
    <w:rsid w:val="00501433"/>
    <w:rsid w:val="00511CC4"/>
    <w:rsid w:val="00531E60"/>
    <w:rsid w:val="00540E40"/>
    <w:rsid w:val="00541D07"/>
    <w:rsid w:val="00544BAB"/>
    <w:rsid w:val="00545D38"/>
    <w:rsid w:val="00545F31"/>
    <w:rsid w:val="005578FA"/>
    <w:rsid w:val="00565129"/>
    <w:rsid w:val="00565CD0"/>
    <w:rsid w:val="00567820"/>
    <w:rsid w:val="0057277B"/>
    <w:rsid w:val="00575F40"/>
    <w:rsid w:val="005770AD"/>
    <w:rsid w:val="00581414"/>
    <w:rsid w:val="00582490"/>
    <w:rsid w:val="00597E28"/>
    <w:rsid w:val="005A54ED"/>
    <w:rsid w:val="005A5D5B"/>
    <w:rsid w:val="005A6081"/>
    <w:rsid w:val="005A627D"/>
    <w:rsid w:val="005C0045"/>
    <w:rsid w:val="005C026B"/>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8BB"/>
    <w:rsid w:val="0065595B"/>
    <w:rsid w:val="00656DCD"/>
    <w:rsid w:val="00660269"/>
    <w:rsid w:val="00665F89"/>
    <w:rsid w:val="00673C92"/>
    <w:rsid w:val="006753EC"/>
    <w:rsid w:val="00685193"/>
    <w:rsid w:val="00686561"/>
    <w:rsid w:val="006949DB"/>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52D"/>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6CF"/>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869"/>
    <w:rsid w:val="008A3DEA"/>
    <w:rsid w:val="008A4EB9"/>
    <w:rsid w:val="008A74C0"/>
    <w:rsid w:val="008B1694"/>
    <w:rsid w:val="008C4B27"/>
    <w:rsid w:val="008C7F0C"/>
    <w:rsid w:val="008C7F2A"/>
    <w:rsid w:val="008D370D"/>
    <w:rsid w:val="008D4B13"/>
    <w:rsid w:val="008E36F8"/>
    <w:rsid w:val="008E46B2"/>
    <w:rsid w:val="008E682C"/>
    <w:rsid w:val="008E78A1"/>
    <w:rsid w:val="008F589F"/>
    <w:rsid w:val="00906238"/>
    <w:rsid w:val="009074BB"/>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3002"/>
    <w:rsid w:val="00971D93"/>
    <w:rsid w:val="00973660"/>
    <w:rsid w:val="00983772"/>
    <w:rsid w:val="00983F79"/>
    <w:rsid w:val="009A07DC"/>
    <w:rsid w:val="009A32ED"/>
    <w:rsid w:val="009B1F6B"/>
    <w:rsid w:val="009C0D12"/>
    <w:rsid w:val="009C192E"/>
    <w:rsid w:val="009C2E3E"/>
    <w:rsid w:val="009C6C0C"/>
    <w:rsid w:val="009D6819"/>
    <w:rsid w:val="009D6D1C"/>
    <w:rsid w:val="009E0CF9"/>
    <w:rsid w:val="009E531B"/>
    <w:rsid w:val="009E6C56"/>
    <w:rsid w:val="009E6E71"/>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1A9"/>
    <w:rsid w:val="00A81198"/>
    <w:rsid w:val="00A81E48"/>
    <w:rsid w:val="00A82035"/>
    <w:rsid w:val="00A90D77"/>
    <w:rsid w:val="00A92E07"/>
    <w:rsid w:val="00AA0B3A"/>
    <w:rsid w:val="00AA6EB4"/>
    <w:rsid w:val="00AA767D"/>
    <w:rsid w:val="00AB0CC9"/>
    <w:rsid w:val="00AC3FF6"/>
    <w:rsid w:val="00AD73EC"/>
    <w:rsid w:val="00AD7AD5"/>
    <w:rsid w:val="00AE346C"/>
    <w:rsid w:val="00AE5BC7"/>
    <w:rsid w:val="00AF5AAF"/>
    <w:rsid w:val="00B046D8"/>
    <w:rsid w:val="00B13F4C"/>
    <w:rsid w:val="00B16219"/>
    <w:rsid w:val="00B16C59"/>
    <w:rsid w:val="00B33FDD"/>
    <w:rsid w:val="00B34658"/>
    <w:rsid w:val="00B359CC"/>
    <w:rsid w:val="00B36107"/>
    <w:rsid w:val="00B36EB1"/>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524"/>
    <w:rsid w:val="00BC48A6"/>
    <w:rsid w:val="00BE2788"/>
    <w:rsid w:val="00BE7978"/>
    <w:rsid w:val="00BF60F6"/>
    <w:rsid w:val="00C01F0D"/>
    <w:rsid w:val="00C07DDB"/>
    <w:rsid w:val="00C220CC"/>
    <w:rsid w:val="00C4115D"/>
    <w:rsid w:val="00C43BDD"/>
    <w:rsid w:val="00C47778"/>
    <w:rsid w:val="00C5011E"/>
    <w:rsid w:val="00C50EE5"/>
    <w:rsid w:val="00C5240A"/>
    <w:rsid w:val="00C5398F"/>
    <w:rsid w:val="00C556F5"/>
    <w:rsid w:val="00C663D9"/>
    <w:rsid w:val="00C70E19"/>
    <w:rsid w:val="00C72574"/>
    <w:rsid w:val="00C7430C"/>
    <w:rsid w:val="00C85DA1"/>
    <w:rsid w:val="00C9071C"/>
    <w:rsid w:val="00C908FF"/>
    <w:rsid w:val="00C97BD3"/>
    <w:rsid w:val="00CA39EF"/>
    <w:rsid w:val="00CA521F"/>
    <w:rsid w:val="00CA5C3F"/>
    <w:rsid w:val="00CB0493"/>
    <w:rsid w:val="00CB17FF"/>
    <w:rsid w:val="00CB1ED7"/>
    <w:rsid w:val="00CB7A00"/>
    <w:rsid w:val="00CC167C"/>
    <w:rsid w:val="00CC52D9"/>
    <w:rsid w:val="00CD6647"/>
    <w:rsid w:val="00CE08B4"/>
    <w:rsid w:val="00CE4B73"/>
    <w:rsid w:val="00CF70BB"/>
    <w:rsid w:val="00D074DB"/>
    <w:rsid w:val="00D139CF"/>
    <w:rsid w:val="00D20779"/>
    <w:rsid w:val="00D37E7F"/>
    <w:rsid w:val="00D47AD7"/>
    <w:rsid w:val="00D51529"/>
    <w:rsid w:val="00D67C88"/>
    <w:rsid w:val="00D75E45"/>
    <w:rsid w:val="00D85218"/>
    <w:rsid w:val="00D915B1"/>
    <w:rsid w:val="00DA1E06"/>
    <w:rsid w:val="00DA299D"/>
    <w:rsid w:val="00DA65C4"/>
    <w:rsid w:val="00DC3E07"/>
    <w:rsid w:val="00DC506E"/>
    <w:rsid w:val="00DE4447"/>
    <w:rsid w:val="00DE5DA2"/>
    <w:rsid w:val="00DE63C6"/>
    <w:rsid w:val="00DF0033"/>
    <w:rsid w:val="00E026BF"/>
    <w:rsid w:val="00E07B1B"/>
    <w:rsid w:val="00E11853"/>
    <w:rsid w:val="00E207C6"/>
    <w:rsid w:val="00E44034"/>
    <w:rsid w:val="00E52A86"/>
    <w:rsid w:val="00E54B47"/>
    <w:rsid w:val="00E553BF"/>
    <w:rsid w:val="00E55D93"/>
    <w:rsid w:val="00E61294"/>
    <w:rsid w:val="00E7237C"/>
    <w:rsid w:val="00E77C46"/>
    <w:rsid w:val="00E86CE8"/>
    <w:rsid w:val="00E90E82"/>
    <w:rsid w:val="00E96852"/>
    <w:rsid w:val="00E97554"/>
    <w:rsid w:val="00EA00CB"/>
    <w:rsid w:val="00EA1BAA"/>
    <w:rsid w:val="00EA3FCD"/>
    <w:rsid w:val="00EA42A0"/>
    <w:rsid w:val="00EB6714"/>
    <w:rsid w:val="00EC0A68"/>
    <w:rsid w:val="00EC3C32"/>
    <w:rsid w:val="00EC5006"/>
    <w:rsid w:val="00ED49C3"/>
    <w:rsid w:val="00ED6CE8"/>
    <w:rsid w:val="00ED7AA6"/>
    <w:rsid w:val="00EE2A56"/>
    <w:rsid w:val="00EE3818"/>
    <w:rsid w:val="00EF242D"/>
    <w:rsid w:val="00F0599D"/>
    <w:rsid w:val="00F22264"/>
    <w:rsid w:val="00F2564D"/>
    <w:rsid w:val="00F30079"/>
    <w:rsid w:val="00F35B05"/>
    <w:rsid w:val="00F413D9"/>
    <w:rsid w:val="00F5135F"/>
    <w:rsid w:val="00F51F78"/>
    <w:rsid w:val="00F7170D"/>
    <w:rsid w:val="00F86F47"/>
    <w:rsid w:val="00F90B64"/>
    <w:rsid w:val="00FB2F0F"/>
    <w:rsid w:val="00FB5059"/>
    <w:rsid w:val="00FB5086"/>
    <w:rsid w:val="00FB5411"/>
    <w:rsid w:val="00FB6392"/>
    <w:rsid w:val="00FC4F36"/>
    <w:rsid w:val="00FD3C70"/>
    <w:rsid w:val="00FD6820"/>
    <w:rsid w:val="00FE12D8"/>
    <w:rsid w:val="00FF7C02"/>
    <w:rsid w:val="014BC8D3"/>
    <w:rsid w:val="0195F79B"/>
    <w:rsid w:val="024801E3"/>
    <w:rsid w:val="101E8A40"/>
    <w:rsid w:val="16C80B7E"/>
    <w:rsid w:val="1742919E"/>
    <w:rsid w:val="18E1A5DD"/>
    <w:rsid w:val="1A1D37BC"/>
    <w:rsid w:val="1AC856BF"/>
    <w:rsid w:val="1C5A5ADC"/>
    <w:rsid w:val="21529606"/>
    <w:rsid w:val="247CBEE5"/>
    <w:rsid w:val="2CE9633F"/>
    <w:rsid w:val="2DD33A0B"/>
    <w:rsid w:val="3116AE98"/>
    <w:rsid w:val="3717F929"/>
    <w:rsid w:val="384EEEC6"/>
    <w:rsid w:val="477AB307"/>
    <w:rsid w:val="479F41BC"/>
    <w:rsid w:val="49014935"/>
    <w:rsid w:val="51888F1D"/>
    <w:rsid w:val="5294DFBA"/>
    <w:rsid w:val="534702E5"/>
    <w:rsid w:val="5D015824"/>
    <w:rsid w:val="6197EEDE"/>
    <w:rsid w:val="647B2B65"/>
    <w:rsid w:val="6B2CF8ED"/>
    <w:rsid w:val="6D55DB59"/>
    <w:rsid w:val="7018FB04"/>
    <w:rsid w:val="70D1B031"/>
    <w:rsid w:val="72297D05"/>
    <w:rsid w:val="723FC0B1"/>
    <w:rsid w:val="75BE9A61"/>
    <w:rsid w:val="7D9DBBD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DFE0F21-ABC3-4126-81AB-58A33487944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paragraph" w:customStyle="1">
    <w:name w:val="paragraph"/>
    <w:basedOn w:val="Normal"/>
    <w:rsid w:val="00963002"/>
    <w:pPr>
      <w:spacing w:before="100" w:beforeAutospacing="1" w:after="100" w:afterAutospacing="1" w:line="240" w:lineRule="auto"/>
      <w:ind w:left="0" w:right="0"/>
    </w:pPr>
  </w:style>
  <w:style w:type="character" w:styleId="normaltextrun" w:customStyle="1">
    <w:name w:val="normaltextrun"/>
    <w:basedOn w:val="Standardstycketeckensnitt"/>
    <w:rsid w:val="00963002"/>
  </w:style>
  <w:style w:type="character" w:styleId="Olstomnmnande">
    <w:name w:val="Unresolved Mention"/>
    <w:basedOn w:val="Standardstycketeckensnitt"/>
    <w:uiPriority w:val="99"/>
    <w:semiHidden/>
    <w:unhideWhenUsed/>
    <w:rsid w:val="00457A6F"/>
    <w:rPr>
      <w:color w:val="605E5C"/>
      <w:shd w:val="clear" w:color="auto" w:fill="E1DFDD"/>
    </w:rPr>
  </w:style>
  <w:style w:type="character" w:styleId="AnvndHyperlnk">
    <w:name w:val="FollowedHyperlink"/>
    <w:basedOn w:val="Standardstycketeckensnitt"/>
    <w:uiPriority w:val="99"/>
    <w:semiHidden/>
    <w:unhideWhenUsed/>
    <w:rsid w:val="00457A6F"/>
    <w:rPr>
      <w:color w:val="9EA2A2" w:themeColor="followedHyperlink"/>
      <w:u w:val="single"/>
    </w:rPr>
  </w:style>
  <w:style w:type="character" w:styleId="eop" w:customStyle="1">
    <w:name w:val="eop"/>
    <w:basedOn w:val="Standardstycketeckensnitt"/>
    <w:rsid w:val="00F300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6594485">
      <w:bodyDiv w:val="1"/>
      <w:marLeft w:val="0"/>
      <w:marRight w:val="0"/>
      <w:marTop w:val="0"/>
      <w:marBottom w:val="0"/>
      <w:divBdr>
        <w:top w:val="none" w:sz="0" w:space="0" w:color="auto"/>
        <w:left w:val="none" w:sz="0" w:space="0" w:color="auto"/>
        <w:bottom w:val="none" w:sz="0" w:space="0" w:color="auto"/>
        <w:right w:val="none" w:sz="0" w:space="0" w:color="auto"/>
      </w:divBdr>
    </w:div>
    <w:div w:id="694234426">
      <w:bodyDiv w:val="1"/>
      <w:marLeft w:val="0"/>
      <w:marRight w:val="0"/>
      <w:marTop w:val="0"/>
      <w:marBottom w:val="0"/>
      <w:divBdr>
        <w:top w:val="none" w:sz="0" w:space="0" w:color="auto"/>
        <w:left w:val="none" w:sz="0" w:space="0" w:color="auto"/>
        <w:bottom w:val="none" w:sz="0" w:space="0" w:color="auto"/>
        <w:right w:val="none" w:sz="0" w:space="0" w:color="auto"/>
      </w:divBdr>
      <w:divsChild>
        <w:div w:id="1578830526">
          <w:marLeft w:val="0"/>
          <w:marRight w:val="0"/>
          <w:marTop w:val="0"/>
          <w:marBottom w:val="0"/>
          <w:divBdr>
            <w:top w:val="none" w:sz="0" w:space="0" w:color="auto"/>
            <w:left w:val="none" w:sz="0" w:space="0" w:color="auto"/>
            <w:bottom w:val="none" w:sz="0" w:space="0" w:color="auto"/>
            <w:right w:val="none" w:sz="0" w:space="0" w:color="auto"/>
          </w:divBdr>
          <w:divsChild>
            <w:div w:id="507788852">
              <w:marLeft w:val="0"/>
              <w:marRight w:val="0"/>
              <w:marTop w:val="0"/>
              <w:marBottom w:val="0"/>
              <w:divBdr>
                <w:top w:val="none" w:sz="0" w:space="0" w:color="auto"/>
                <w:left w:val="none" w:sz="0" w:space="0" w:color="auto"/>
                <w:bottom w:val="none" w:sz="0" w:space="0" w:color="auto"/>
                <w:right w:val="none" w:sz="0" w:space="0" w:color="auto"/>
              </w:divBdr>
            </w:div>
          </w:divsChild>
        </w:div>
        <w:div w:id="1550074386">
          <w:marLeft w:val="0"/>
          <w:marRight w:val="0"/>
          <w:marTop w:val="0"/>
          <w:marBottom w:val="0"/>
          <w:divBdr>
            <w:top w:val="none" w:sz="0" w:space="0" w:color="auto"/>
            <w:left w:val="none" w:sz="0" w:space="0" w:color="auto"/>
            <w:bottom w:val="none" w:sz="0" w:space="0" w:color="auto"/>
            <w:right w:val="none" w:sz="0" w:space="0" w:color="auto"/>
          </w:divBdr>
          <w:divsChild>
            <w:div w:id="620232966">
              <w:marLeft w:val="0"/>
              <w:marRight w:val="0"/>
              <w:marTop w:val="0"/>
              <w:marBottom w:val="0"/>
              <w:divBdr>
                <w:top w:val="none" w:sz="0" w:space="0" w:color="auto"/>
                <w:left w:val="none" w:sz="0" w:space="0" w:color="auto"/>
                <w:bottom w:val="none" w:sz="0" w:space="0" w:color="auto"/>
                <w:right w:val="none" w:sz="0" w:space="0" w:color="auto"/>
              </w:divBdr>
            </w:div>
          </w:divsChild>
        </w:div>
        <w:div w:id="946619237">
          <w:marLeft w:val="0"/>
          <w:marRight w:val="0"/>
          <w:marTop w:val="0"/>
          <w:marBottom w:val="0"/>
          <w:divBdr>
            <w:top w:val="none" w:sz="0" w:space="0" w:color="auto"/>
            <w:left w:val="none" w:sz="0" w:space="0" w:color="auto"/>
            <w:bottom w:val="none" w:sz="0" w:space="0" w:color="auto"/>
            <w:right w:val="none" w:sz="0" w:space="0" w:color="auto"/>
          </w:divBdr>
          <w:divsChild>
            <w:div w:id="1513842049">
              <w:marLeft w:val="0"/>
              <w:marRight w:val="0"/>
              <w:marTop w:val="0"/>
              <w:marBottom w:val="0"/>
              <w:divBdr>
                <w:top w:val="none" w:sz="0" w:space="0" w:color="auto"/>
                <w:left w:val="none" w:sz="0" w:space="0" w:color="auto"/>
                <w:bottom w:val="none" w:sz="0" w:space="0" w:color="auto"/>
                <w:right w:val="none" w:sz="0" w:space="0" w:color="auto"/>
              </w:divBdr>
            </w:div>
          </w:divsChild>
        </w:div>
        <w:div w:id="743837448">
          <w:marLeft w:val="0"/>
          <w:marRight w:val="0"/>
          <w:marTop w:val="0"/>
          <w:marBottom w:val="0"/>
          <w:divBdr>
            <w:top w:val="none" w:sz="0" w:space="0" w:color="auto"/>
            <w:left w:val="none" w:sz="0" w:space="0" w:color="auto"/>
            <w:bottom w:val="none" w:sz="0" w:space="0" w:color="auto"/>
            <w:right w:val="none" w:sz="0" w:space="0" w:color="auto"/>
          </w:divBdr>
          <w:divsChild>
            <w:div w:id="482089073">
              <w:marLeft w:val="0"/>
              <w:marRight w:val="0"/>
              <w:marTop w:val="0"/>
              <w:marBottom w:val="0"/>
              <w:divBdr>
                <w:top w:val="none" w:sz="0" w:space="0" w:color="auto"/>
                <w:left w:val="none" w:sz="0" w:space="0" w:color="auto"/>
                <w:bottom w:val="none" w:sz="0" w:space="0" w:color="auto"/>
                <w:right w:val="none" w:sz="0" w:space="0" w:color="auto"/>
              </w:divBdr>
            </w:div>
          </w:divsChild>
        </w:div>
        <w:div w:id="2120103708">
          <w:marLeft w:val="0"/>
          <w:marRight w:val="0"/>
          <w:marTop w:val="0"/>
          <w:marBottom w:val="0"/>
          <w:divBdr>
            <w:top w:val="none" w:sz="0" w:space="0" w:color="auto"/>
            <w:left w:val="none" w:sz="0" w:space="0" w:color="auto"/>
            <w:bottom w:val="none" w:sz="0" w:space="0" w:color="auto"/>
            <w:right w:val="none" w:sz="0" w:space="0" w:color="auto"/>
          </w:divBdr>
          <w:divsChild>
            <w:div w:id="800655120">
              <w:marLeft w:val="0"/>
              <w:marRight w:val="0"/>
              <w:marTop w:val="0"/>
              <w:marBottom w:val="0"/>
              <w:divBdr>
                <w:top w:val="none" w:sz="0" w:space="0" w:color="auto"/>
                <w:left w:val="none" w:sz="0" w:space="0" w:color="auto"/>
                <w:bottom w:val="none" w:sz="0" w:space="0" w:color="auto"/>
                <w:right w:val="none" w:sz="0" w:space="0" w:color="auto"/>
              </w:divBdr>
            </w:div>
          </w:divsChild>
        </w:div>
        <w:div w:id="677512134">
          <w:marLeft w:val="0"/>
          <w:marRight w:val="0"/>
          <w:marTop w:val="0"/>
          <w:marBottom w:val="0"/>
          <w:divBdr>
            <w:top w:val="none" w:sz="0" w:space="0" w:color="auto"/>
            <w:left w:val="none" w:sz="0" w:space="0" w:color="auto"/>
            <w:bottom w:val="none" w:sz="0" w:space="0" w:color="auto"/>
            <w:right w:val="none" w:sz="0" w:space="0" w:color="auto"/>
          </w:divBdr>
          <w:divsChild>
            <w:div w:id="1325091246">
              <w:marLeft w:val="0"/>
              <w:marRight w:val="0"/>
              <w:marTop w:val="0"/>
              <w:marBottom w:val="0"/>
              <w:divBdr>
                <w:top w:val="none" w:sz="0" w:space="0" w:color="auto"/>
                <w:left w:val="none" w:sz="0" w:space="0" w:color="auto"/>
                <w:bottom w:val="none" w:sz="0" w:space="0" w:color="auto"/>
                <w:right w:val="none" w:sz="0" w:space="0" w:color="auto"/>
              </w:divBdr>
            </w:div>
          </w:divsChild>
        </w:div>
        <w:div w:id="819619035">
          <w:marLeft w:val="0"/>
          <w:marRight w:val="0"/>
          <w:marTop w:val="0"/>
          <w:marBottom w:val="0"/>
          <w:divBdr>
            <w:top w:val="none" w:sz="0" w:space="0" w:color="auto"/>
            <w:left w:val="none" w:sz="0" w:space="0" w:color="auto"/>
            <w:bottom w:val="none" w:sz="0" w:space="0" w:color="auto"/>
            <w:right w:val="none" w:sz="0" w:space="0" w:color="auto"/>
          </w:divBdr>
          <w:divsChild>
            <w:div w:id="1447918995">
              <w:marLeft w:val="0"/>
              <w:marRight w:val="0"/>
              <w:marTop w:val="0"/>
              <w:marBottom w:val="0"/>
              <w:divBdr>
                <w:top w:val="none" w:sz="0" w:space="0" w:color="auto"/>
                <w:left w:val="none" w:sz="0" w:space="0" w:color="auto"/>
                <w:bottom w:val="none" w:sz="0" w:space="0" w:color="auto"/>
                <w:right w:val="none" w:sz="0" w:space="0" w:color="auto"/>
              </w:divBdr>
            </w:div>
          </w:divsChild>
        </w:div>
        <w:div w:id="1110392824">
          <w:marLeft w:val="0"/>
          <w:marRight w:val="0"/>
          <w:marTop w:val="0"/>
          <w:marBottom w:val="0"/>
          <w:divBdr>
            <w:top w:val="none" w:sz="0" w:space="0" w:color="auto"/>
            <w:left w:val="none" w:sz="0" w:space="0" w:color="auto"/>
            <w:bottom w:val="none" w:sz="0" w:space="0" w:color="auto"/>
            <w:right w:val="none" w:sz="0" w:space="0" w:color="auto"/>
          </w:divBdr>
          <w:divsChild>
            <w:div w:id="97907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3829-1037340901-1104/surrogate/Vaccinering%20vid%20hudsjukdom%20och%20immunh%c3%a4mmande%20behandling%20(A5%20folder).pdf" TargetMode="External" Id="rId12" /><Relationship Type="http://schemas.openxmlformats.org/officeDocument/2006/relationships/theme" Target="theme/theme1.xml" Id="rId25" /><Relationship Type="http://schemas.openxmlformats.org/officeDocument/2006/relationships/hyperlink" Target="https://svenskreumatologi.se/"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u3829-1037340901-1104/surrogate/Vaccinering%20vid%20hudsjukdom%20och%20immunh%c3%a4mmande%20behandling%20(A5%20folder).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eader" Target="header3.xml" Id="rId22" /><Relationship Type="http://schemas.openxmlformats.org/officeDocument/2006/relationships/hyperlink" Target="https://mellanarkiv-offentlig.vgregion.se/alfresco/s/archive/stream/public/v1/source/available/sofia/su3829-1037340901-1123/surrogate/Azatioprin%20(Imurel)%20patientinformation.pdf" TargetMode="External" Id="R9f1c49070f6a4cf6" /><Relationship Type="http://schemas.openxmlformats.org/officeDocument/2006/relationships/hyperlink" Target="https://labbutbud.vgregion.se/api/file/DOK-332599" TargetMode="External" Id="R59f2d697574f45ac" /><Relationship Type="http://schemas.openxmlformats.org/officeDocument/2006/relationships/hyperlink" Target="https://labbutbud.vgregion.se/katalog/genetisk-analys-av-medfodda-metabola-sjukdomar-md-5655" TargetMode="External" Id="R9eec444833094c77" /><Relationship Type="http://schemas.openxmlformats.org/officeDocument/2006/relationships/hyperlink" Target="https://svenskgastroenterologi.se/" TargetMode="External" Id="R1c2e2d56fe6d423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Behandling med azatioprin (Imurel)</dc:title>
  <dc:subject/>
  <dc:creator/>
  <keywords/>
  <lastModifiedBy>Jenny Karsna</lastModifiedBy>
  <revision>18</revision>
  <dcterms:created xsi:type="dcterms:W3CDTF">2024-01-25T08:46:00.0000000Z</dcterms:created>
  <dcterms:modified xsi:type="dcterms:W3CDTF">2026-05-18T12:29:34.0000000Z</dcterms:modified>
</coreProperties>
</file>