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093B1E" w14:textId="77777777" w:rsidR="00940526" w:rsidRDefault="00940526" w:rsidP="00C67090">
      <w:pPr>
        <w:pStyle w:val="Rubrik2"/>
        <w:ind w:right="-2"/>
        <w:sectPr w:rsidR="00940526" w:rsidSect="0094052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D2B649C" w14:textId="3CA5BEC4" w:rsidR="002846E2" w:rsidRDefault="002846E2" w:rsidP="002846E2">
      <w:pPr>
        <w:pStyle w:val="Rubrik1"/>
        <w:ind w:left="567" w:right="-143"/>
      </w:pPr>
      <w:bookmarkStart w:id="1" w:name="_Hlk114563369"/>
      <w:r>
        <w:t>Kolkicin - behandling</w:t>
      </w:r>
    </w:p>
    <w:p w14:paraId="61510A15" w14:textId="77777777" w:rsidR="00814A76" w:rsidRDefault="00814A76" w:rsidP="00814A76">
      <w:pPr>
        <w:pStyle w:val="Rubrik2"/>
        <w:ind w:left="567" w:right="-143"/>
      </w:pPr>
      <w:bookmarkStart w:id="2" w:name="_Toc107998749"/>
      <w:bookmarkStart w:id="3" w:name="_Hlk114563406"/>
      <w:bookmarkEnd w:id="1"/>
      <w:r>
        <w:t>Förändringar sedan föregående version</w:t>
      </w:r>
      <w:bookmarkEnd w:id="2"/>
    </w:p>
    <w:p w14:paraId="7CFCB266" w14:textId="405813A0" w:rsidR="00814A76" w:rsidRPr="00A27A43" w:rsidRDefault="00814A76" w:rsidP="3CF1BADF">
      <w:pPr>
        <w:ind w:left="567" w:right="-143"/>
      </w:pPr>
      <w:r w:rsidRPr="3CF1BADF">
        <w:t>Inga ändringar jämfört med förra versionen</w:t>
      </w:r>
      <w:r w:rsidR="6BEFC12A" w:rsidRPr="3CF1BADF">
        <w:t>.</w:t>
      </w:r>
    </w:p>
    <w:p w14:paraId="294DBF70" w14:textId="7EC40600" w:rsidR="00FD7EC3" w:rsidRDefault="00FD7EC3" w:rsidP="004A3DD1">
      <w:pPr>
        <w:pStyle w:val="Rubrik2"/>
        <w:spacing w:after="0"/>
        <w:ind w:left="567" w:right="-143"/>
      </w:pPr>
      <w:bookmarkStart w:id="4" w:name="_Hlk114563423"/>
      <w:bookmarkEnd w:id="3"/>
      <w:r>
        <w:t>Bakgrund och syfte</w:t>
      </w:r>
      <w:bookmarkStart w:id="5" w:name="_Toc72840807"/>
      <w:r>
        <w:t xml:space="preserve"> </w:t>
      </w:r>
      <w:bookmarkEnd w:id="5"/>
    </w:p>
    <w:bookmarkEnd w:id="4"/>
    <w:p w14:paraId="204E018E" w14:textId="39BCEE22" w:rsidR="00940526" w:rsidRDefault="00940526" w:rsidP="00DF131A">
      <w:pPr>
        <w:ind w:left="567"/>
      </w:pPr>
      <w:r w:rsidRPr="00940526">
        <w:t>Information om kolkicinbehandling.</w:t>
      </w:r>
    </w:p>
    <w:p w14:paraId="7C082330" w14:textId="647613B0" w:rsidR="00DF131A" w:rsidRPr="006176A6" w:rsidRDefault="00DF131A" w:rsidP="006176A6">
      <w:pPr>
        <w:pStyle w:val="Rubrik2"/>
        <w:ind w:left="567" w:right="-143"/>
        <w:rPr>
          <w:color w:val="auto"/>
        </w:rPr>
      </w:pPr>
      <w:bookmarkStart w:id="6" w:name="_Toc107998757"/>
      <w:bookmarkStart w:id="7" w:name="_Hlk114563476"/>
      <w:r w:rsidRPr="00065A6B">
        <w:rPr>
          <w:color w:val="auto"/>
        </w:rPr>
        <w:t>Utförande</w:t>
      </w:r>
      <w:bookmarkEnd w:id="6"/>
      <w:bookmarkEnd w:id="7"/>
    </w:p>
    <w:p w14:paraId="4628E9ED" w14:textId="77777777" w:rsidR="000235E6" w:rsidRDefault="00940526" w:rsidP="00303E48">
      <w:pPr>
        <w:pStyle w:val="MellanrubrikVGR"/>
        <w:spacing w:after="0"/>
        <w:ind w:left="567"/>
        <w:rPr>
          <w:b w:val="0"/>
          <w:sz w:val="36"/>
          <w:szCs w:val="36"/>
        </w:rPr>
      </w:pPr>
      <w:r w:rsidRPr="38AE83BF">
        <w:rPr>
          <w:b w:val="0"/>
          <w:sz w:val="36"/>
          <w:szCs w:val="36"/>
        </w:rPr>
        <w:t>Läkemedelsform</w:t>
      </w:r>
    </w:p>
    <w:p w14:paraId="346BB212" w14:textId="0C58F386" w:rsidR="00940526" w:rsidRPr="000235E6" w:rsidRDefault="00940526" w:rsidP="006176A6">
      <w:pPr>
        <w:spacing w:after="0"/>
        <w:ind w:left="567" w:right="-2"/>
        <w:rPr>
          <w:color w:val="FF0000"/>
        </w:rPr>
      </w:pPr>
      <w:r>
        <w:t>Tabl</w:t>
      </w:r>
      <w:r w:rsidR="7BEE7095">
        <w:t>ett</w:t>
      </w:r>
      <w:r>
        <w:t xml:space="preserve"> </w:t>
      </w:r>
      <w:r w:rsidR="67BCFA71">
        <w:t>Kolkicin</w:t>
      </w:r>
      <w:r>
        <w:t xml:space="preserve"> </w:t>
      </w:r>
      <w:bookmarkStart w:id="8" w:name="_Hlk82592529"/>
      <w:r>
        <w:t>á</w:t>
      </w:r>
      <w:bookmarkEnd w:id="8"/>
      <w:r>
        <w:t xml:space="preserve"> 500 mikrog (finns flera generika) alt. kapsel Kolkicin APL á 0,25 mg.</w:t>
      </w:r>
    </w:p>
    <w:p w14:paraId="48554695" w14:textId="77777777" w:rsidR="000235E6" w:rsidRDefault="00940526" w:rsidP="00303E48">
      <w:pPr>
        <w:pStyle w:val="MellanrubrikVGR"/>
        <w:spacing w:after="0"/>
        <w:ind w:left="567"/>
        <w:rPr>
          <w:rFonts w:ascii="Arial" w:hAnsi="Arial" w:cs="Arial"/>
          <w:b w:val="0"/>
          <w:sz w:val="23"/>
          <w:szCs w:val="23"/>
        </w:rPr>
      </w:pPr>
      <w:r w:rsidRPr="38AE83BF">
        <w:rPr>
          <w:b w:val="0"/>
          <w:sz w:val="36"/>
          <w:szCs w:val="36"/>
        </w:rPr>
        <w:t>Verkningsmekanism</w:t>
      </w:r>
    </w:p>
    <w:p w14:paraId="3850EF99" w14:textId="3574694B" w:rsidR="00940526" w:rsidRPr="006176A6" w:rsidRDefault="00940526" w:rsidP="006176A6">
      <w:pPr>
        <w:spacing w:after="0"/>
        <w:ind w:left="567" w:right="-2"/>
      </w:pPr>
      <w:r w:rsidRPr="000235E6">
        <w:t>Kolkicin har en antiinflammatorisk effekt.</w:t>
      </w:r>
    </w:p>
    <w:p w14:paraId="57C6C5C0" w14:textId="2D4B24F8" w:rsidR="000235E6" w:rsidRDefault="00940526" w:rsidP="00303E48">
      <w:pPr>
        <w:pStyle w:val="MellanrubrikVGR"/>
        <w:spacing w:after="0"/>
        <w:ind w:left="567"/>
        <w:rPr>
          <w:rFonts w:ascii="Arial" w:hAnsi="Arial" w:cs="Arial"/>
          <w:sz w:val="23"/>
          <w:szCs w:val="23"/>
        </w:rPr>
      </w:pPr>
      <w:r w:rsidRPr="38AE83BF">
        <w:rPr>
          <w:b w:val="0"/>
          <w:sz w:val="36"/>
          <w:szCs w:val="36"/>
        </w:rPr>
        <w:t>Indikation</w:t>
      </w:r>
    </w:p>
    <w:p w14:paraId="111AA219" w14:textId="3AC4ACC1" w:rsidR="00940526" w:rsidRPr="00006B39" w:rsidRDefault="00006B39" w:rsidP="00006B39">
      <w:pPr>
        <w:spacing w:after="0"/>
        <w:ind w:left="567" w:right="-2"/>
      </w:pPr>
      <w:r w:rsidRPr="00006B39">
        <w:t>Framför allt</w:t>
      </w:r>
      <w:r w:rsidR="00940526" w:rsidRPr="00006B39">
        <w:t xml:space="preserve"> gikt och familjär medelhavsfeber, men preparatet kan även användas som alternativ vid olika huddiagnoser, </w:t>
      </w:r>
      <w:r w:rsidR="004A3DD1" w:rsidRPr="00006B39">
        <w:t>till exempel</w:t>
      </w:r>
      <w:r w:rsidR="00940526" w:rsidRPr="00006B39">
        <w:t xml:space="preserve"> Behçets sjukdom och urtikariell vaskulit.</w:t>
      </w:r>
    </w:p>
    <w:p w14:paraId="644AA1D1" w14:textId="77777777" w:rsidR="00006B39" w:rsidRDefault="00940526" w:rsidP="00303E48">
      <w:pPr>
        <w:pStyle w:val="MellanrubrikVGR"/>
        <w:spacing w:after="0"/>
        <w:ind w:left="567"/>
        <w:rPr>
          <w:rFonts w:ascii="Arial" w:hAnsi="Arial" w:cs="Arial"/>
          <w:b w:val="0"/>
          <w:sz w:val="23"/>
          <w:szCs w:val="23"/>
        </w:rPr>
      </w:pPr>
      <w:r w:rsidRPr="38AE83BF">
        <w:rPr>
          <w:b w:val="0"/>
          <w:sz w:val="36"/>
          <w:szCs w:val="36"/>
        </w:rPr>
        <w:t>Kontraindikationer</w:t>
      </w:r>
    </w:p>
    <w:p w14:paraId="45C94D75" w14:textId="48F9EA17" w:rsidR="00940526" w:rsidRPr="00940526" w:rsidRDefault="00940526" w:rsidP="00006B39">
      <w:pPr>
        <w:spacing w:after="0"/>
        <w:ind w:left="567" w:right="-2"/>
        <w:rPr>
          <w:rFonts w:ascii="Arial" w:hAnsi="Arial" w:cs="Arial"/>
          <w:sz w:val="23"/>
          <w:szCs w:val="23"/>
        </w:rPr>
      </w:pPr>
      <w:r w:rsidRPr="00006B39">
        <w:t>Benmärgspåverkan. Leversvikt. Grav gastrointestinal störning, grav hjärtsvikt, grav njursvikt. Överkänslighet. Graviditet. Amning.</w:t>
      </w:r>
    </w:p>
    <w:p w14:paraId="2DB1B6CE" w14:textId="77777777" w:rsidR="00006B39" w:rsidRPr="00006B39" w:rsidRDefault="00940526" w:rsidP="00303E48">
      <w:pPr>
        <w:pStyle w:val="MellanrubrikVGR"/>
        <w:spacing w:after="0"/>
        <w:ind w:left="567"/>
      </w:pPr>
      <w:r w:rsidRPr="38AE83BF">
        <w:rPr>
          <w:b w:val="0"/>
          <w:color w:val="000000" w:themeColor="text2"/>
          <w:sz w:val="36"/>
          <w:szCs w:val="36"/>
        </w:rPr>
        <w:t>Varningar och försiktighet</w:t>
      </w:r>
    </w:p>
    <w:p w14:paraId="6C5C34D3" w14:textId="28A499B5" w:rsidR="00940526" w:rsidRPr="00940526" w:rsidRDefault="00940526" w:rsidP="00006B39">
      <w:pPr>
        <w:ind w:left="567" w:right="-2"/>
      </w:pPr>
      <w:r>
        <w:t>Vid nedsatt lever- eller njurfunktion minskar clearance av kolkicin, vilket ökar risken för toxicitet. För övrigt, se Fass.</w:t>
      </w:r>
      <w:r>
        <w:br/>
        <w:t xml:space="preserve">                                                                                                                                         Kolkicin-behandling har associerats med låga B12-nivåer, vilket troligen beror på nedsatt absorption av B12 från magtarm-kanalen.    </w:t>
      </w:r>
    </w:p>
    <w:p w14:paraId="09EDFC59" w14:textId="09C04757" w:rsidR="00940526" w:rsidRPr="00AB64D1" w:rsidRDefault="00940526" w:rsidP="00AB64D1">
      <w:pPr>
        <w:ind w:left="567" w:right="-2"/>
      </w:pPr>
      <w:r w:rsidRPr="00940526">
        <w:lastRenderedPageBreak/>
        <w:t>Kolkicin kan tas med eller utan mat, men grapefruktjuice bör undvikas.</w:t>
      </w:r>
    </w:p>
    <w:p w14:paraId="7178156A" w14:textId="77777777" w:rsidR="00AB64D1" w:rsidRDefault="00940526" w:rsidP="00FD7E25">
      <w:pPr>
        <w:pStyle w:val="MellanrubrikVGR"/>
        <w:spacing w:after="0"/>
        <w:ind w:left="567"/>
      </w:pPr>
      <w:r w:rsidRPr="38AE83BF">
        <w:rPr>
          <w:b w:val="0"/>
          <w:color w:val="000000" w:themeColor="text2"/>
          <w:sz w:val="36"/>
          <w:szCs w:val="36"/>
        </w:rPr>
        <w:t>Interaktion</w:t>
      </w:r>
    </w:p>
    <w:p w14:paraId="409AA823" w14:textId="2F574765" w:rsidR="00940526" w:rsidRPr="00AB64D1" w:rsidRDefault="00940526" w:rsidP="00FD7E25">
      <w:pPr>
        <w:ind w:left="567" w:right="-2"/>
      </w:pPr>
      <w:r w:rsidRPr="00940526">
        <w:t>Ökad toxicitet av kolkicin ses vid samtidig behandling med andra läkemedel</w:t>
      </w:r>
      <w:r w:rsidR="00FD7E25">
        <w:t xml:space="preserve"> </w:t>
      </w:r>
      <w:r w:rsidRPr="00940526">
        <w:t xml:space="preserve">som hämmar metaboliserande enzym i gruppen CYP3A. Interaktion finns beskrivet för ett flertal andra mediciner, </w:t>
      </w:r>
      <w:r w:rsidR="001465A1" w:rsidRPr="00940526">
        <w:t>till exempel</w:t>
      </w:r>
      <w:r w:rsidRPr="00940526">
        <w:t xml:space="preserve"> vissa hjärtmediciner, statiner och fibrater, vissa antibiotika, </w:t>
      </w:r>
      <w:r w:rsidR="001465A1">
        <w:t>hiv</w:t>
      </w:r>
      <w:r w:rsidRPr="00940526">
        <w:t>-läkemedel, svampmediciner, t</w:t>
      </w:r>
      <w:r w:rsidR="00EA75CF">
        <w:t>ill exempel</w:t>
      </w:r>
      <w:r w:rsidRPr="00940526">
        <w:t xml:space="preserve"> </w:t>
      </w:r>
      <w:r w:rsidRPr="00940526">
        <w:rPr>
          <w:bCs/>
          <w:iCs/>
        </w:rPr>
        <w:t>klaritromycin, erytromycin, verapamil, flukonazol, ketokonazol, itrakonazol, cyklosporin</w:t>
      </w:r>
      <w:r w:rsidRPr="00940526">
        <w:t>.</w:t>
      </w:r>
    </w:p>
    <w:p w14:paraId="436223C5" w14:textId="77777777" w:rsidR="00AB64D1" w:rsidRDefault="00940526" w:rsidP="00C67090">
      <w:pPr>
        <w:pStyle w:val="MellanrubrikVGR"/>
        <w:spacing w:after="0"/>
        <w:ind w:left="567"/>
        <w:rPr>
          <w:rFonts w:ascii="Arial" w:hAnsi="Arial" w:cs="Arial"/>
          <w:sz w:val="23"/>
          <w:szCs w:val="23"/>
        </w:rPr>
      </w:pPr>
      <w:r w:rsidRPr="38AE83BF">
        <w:rPr>
          <w:b w:val="0"/>
          <w:color w:val="000000" w:themeColor="text2"/>
          <w:sz w:val="36"/>
          <w:szCs w:val="36"/>
        </w:rPr>
        <w:t>Biverkningar</w:t>
      </w:r>
    </w:p>
    <w:p w14:paraId="5C95DD78" w14:textId="64683B5A" w:rsidR="00940526" w:rsidRPr="00AB64D1" w:rsidRDefault="004711A1" w:rsidP="00AB64D1">
      <w:pPr>
        <w:ind w:left="567" w:right="-2"/>
      </w:pPr>
      <w:r>
        <w:t>B</w:t>
      </w:r>
      <w:r w:rsidRPr="00940526">
        <w:t>land annat</w:t>
      </w:r>
      <w:r w:rsidR="00940526" w:rsidRPr="00940526">
        <w:t xml:space="preserve"> diarré, illamående, huvudvärk, buksmärtor, sveda i halsen, muskelvärk och neuropati (reversibelt vid utsättning). Framför allt vid högre doser kan </w:t>
      </w:r>
      <w:r w:rsidR="00C67090" w:rsidRPr="00940526">
        <w:t>till exempel</w:t>
      </w:r>
      <w:r w:rsidR="00940526" w:rsidRPr="00940526">
        <w:t xml:space="preserve"> benmärgsdepression, CNS-påverkan samt lever- och njurpåverkan ses. </w:t>
      </w:r>
    </w:p>
    <w:p w14:paraId="6A8541B7" w14:textId="77777777" w:rsidR="00AB64D1" w:rsidRDefault="00940526" w:rsidP="00C67090">
      <w:pPr>
        <w:pStyle w:val="MellanrubrikVGR"/>
        <w:spacing w:after="0"/>
        <w:ind w:left="567"/>
        <w:rPr>
          <w:rFonts w:ascii="Arial" w:hAnsi="Arial" w:cs="Arial"/>
          <w:b w:val="0"/>
          <w:sz w:val="23"/>
          <w:szCs w:val="23"/>
        </w:rPr>
      </w:pPr>
      <w:r w:rsidRPr="38AE83BF">
        <w:rPr>
          <w:b w:val="0"/>
          <w:color w:val="000000" w:themeColor="text2"/>
          <w:sz w:val="36"/>
          <w:szCs w:val="36"/>
        </w:rPr>
        <w:t>Dosering</w:t>
      </w:r>
    </w:p>
    <w:p w14:paraId="7C5E20FA" w14:textId="1536F05C" w:rsidR="00940526" w:rsidRPr="00940526" w:rsidRDefault="00940526" w:rsidP="00AB64D1">
      <w:pPr>
        <w:ind w:left="567" w:right="-2"/>
      </w:pPr>
      <w:r w:rsidRPr="00940526">
        <w:t xml:space="preserve">Vanligtvis 0.5–2 mg/dag uppdelat på 1 till 3 doser. </w:t>
      </w:r>
    </w:p>
    <w:p w14:paraId="7D5D754E" w14:textId="27277FF8" w:rsidR="00940526" w:rsidRPr="00AB64D1" w:rsidRDefault="00D95310" w:rsidP="00AB64D1">
      <w:pPr>
        <w:ind w:left="567" w:right="-2"/>
      </w:pPr>
      <w:r>
        <w:t>T</w:t>
      </w:r>
      <w:r w:rsidRPr="00940526">
        <w:t>ill exempel</w:t>
      </w:r>
      <w:r w:rsidR="00940526" w:rsidRPr="00940526">
        <w:t xml:space="preserve"> vid urtikariell vaskulit startdos 0,5–1 mg/dag, dosen kan ökas vid behov efter 2–4 veckor upp till 1,5 mg/dag, fördelat på 2 doser. </w:t>
      </w:r>
    </w:p>
    <w:p w14:paraId="57B7A27B" w14:textId="77777777" w:rsidR="00AB64D1" w:rsidRPr="00AB64D1" w:rsidRDefault="00940526" w:rsidP="00C67090">
      <w:pPr>
        <w:pStyle w:val="MellanrubrikVGR"/>
        <w:spacing w:after="0"/>
        <w:ind w:left="567"/>
        <w:rPr>
          <w:b w:val="0"/>
          <w:color w:val="000000" w:themeColor="text2"/>
          <w:sz w:val="36"/>
          <w:szCs w:val="36"/>
        </w:rPr>
      </w:pPr>
      <w:r w:rsidRPr="38AE83BF">
        <w:rPr>
          <w:b w:val="0"/>
          <w:color w:val="000000" w:themeColor="text2"/>
          <w:sz w:val="36"/>
          <w:szCs w:val="36"/>
        </w:rPr>
        <w:t>Provtagning inför behandling</w:t>
      </w:r>
    </w:p>
    <w:p w14:paraId="056A32AB" w14:textId="1D4769EE" w:rsidR="00940526" w:rsidRPr="00940526" w:rsidRDefault="00940526" w:rsidP="00AB64D1">
      <w:pPr>
        <w:ind w:left="567"/>
      </w:pPr>
      <w:r w:rsidRPr="00940526">
        <w:t xml:space="preserve">Hb, LPK, TPK, ALAT, Krea, B-12. </w:t>
      </w:r>
    </w:p>
    <w:p w14:paraId="1AE44854" w14:textId="3F4005FC" w:rsidR="00940526" w:rsidRPr="00AB64D1" w:rsidRDefault="00940526" w:rsidP="00AB64D1">
      <w:pPr>
        <w:ind w:left="567"/>
      </w:pPr>
      <w:r w:rsidRPr="00940526">
        <w:t>Prover tas var 3:e månad.</w:t>
      </w:r>
    </w:p>
    <w:p w14:paraId="42B78A1E" w14:textId="77777777" w:rsidR="00940526" w:rsidRPr="00940526" w:rsidRDefault="00940526" w:rsidP="00C67090">
      <w:pPr>
        <w:spacing w:after="0"/>
        <w:ind w:left="567" w:right="140"/>
        <w:rPr>
          <w:rFonts w:asciiTheme="majorHAnsi" w:eastAsiaTheme="majorEastAsia" w:hAnsiTheme="majorHAnsi" w:cstheme="majorBidi"/>
          <w:color w:val="000000" w:themeColor="text2"/>
          <w:sz w:val="40"/>
          <w:szCs w:val="40"/>
        </w:rPr>
      </w:pPr>
      <w:r w:rsidRPr="38AE83BF">
        <w:rPr>
          <w:rFonts w:asciiTheme="majorHAnsi" w:eastAsiaTheme="majorEastAsia" w:hAnsiTheme="majorHAnsi" w:cstheme="majorBidi"/>
          <w:color w:val="000000" w:themeColor="text2"/>
          <w:sz w:val="40"/>
          <w:szCs w:val="40"/>
        </w:rPr>
        <w:t>Ansvar</w:t>
      </w:r>
    </w:p>
    <w:p w14:paraId="7727C6D9" w14:textId="4B5E8AF7" w:rsidR="00940526" w:rsidRPr="00C67090" w:rsidRDefault="00940526" w:rsidP="00C67090">
      <w:pPr>
        <w:spacing w:after="0"/>
        <w:ind w:left="567" w:right="140"/>
        <w:rPr>
          <w:rFonts w:ascii="Arial" w:hAnsi="Arial" w:cs="Arial"/>
          <w:b/>
          <w:bCs/>
        </w:rPr>
      </w:pPr>
      <w:r>
        <w:t>Personal vid Verksamhet</w:t>
      </w:r>
      <w:r w:rsidR="62AF488B">
        <w:t xml:space="preserve"> H</w:t>
      </w:r>
      <w:r>
        <w:t>ud- och könssjukvård. Personer som nyanställs vid enheten ska vid introduktion få information om rutinens innehåll. För uppföljningen av följsamhet ansvarar enhetens VÖL och VEC.</w:t>
      </w:r>
      <w:r>
        <w:br/>
      </w:r>
      <w:r>
        <w:br/>
      </w:r>
      <w:r w:rsidRPr="0730723C">
        <w:rPr>
          <w:rFonts w:asciiTheme="majorHAnsi" w:eastAsiaTheme="majorEastAsia" w:hAnsiTheme="majorHAnsi" w:cstheme="majorBidi"/>
          <w:color w:val="000000" w:themeColor="text2"/>
          <w:sz w:val="40"/>
          <w:szCs w:val="40"/>
        </w:rPr>
        <w:t>Uppföljning, utvärdering och revision</w:t>
      </w:r>
    </w:p>
    <w:p w14:paraId="622B2D1A" w14:textId="14BF26C5" w:rsidR="00940526" w:rsidRPr="009A1E7E" w:rsidRDefault="00940526" w:rsidP="009A1E7E">
      <w:pPr>
        <w:ind w:left="567" w:right="140"/>
      </w:pPr>
      <w:r w:rsidRPr="00940526">
        <w:t>Rutinen uppdateras vid behov eller vartannat år. Medvetet avsteg från rutinen dokumenteras i Melior om rutinen är kopplad till patient.</w:t>
      </w:r>
    </w:p>
    <w:p w14:paraId="437A0DD3" w14:textId="77777777" w:rsidR="009A1E7E" w:rsidRPr="000D04ED" w:rsidRDefault="009A1E7E" w:rsidP="009A1E7E">
      <w:pPr>
        <w:pStyle w:val="Rubrik2"/>
        <w:ind w:left="567" w:right="-143"/>
      </w:pPr>
      <w:bookmarkStart w:id="9" w:name="_Toc107998760"/>
      <w:r w:rsidRPr="000D04ED">
        <w:t>Källförteckning</w:t>
      </w:r>
      <w:bookmarkEnd w:id="9"/>
    </w:p>
    <w:p w14:paraId="7427D45E" w14:textId="77777777" w:rsidR="00940526" w:rsidRPr="00940526" w:rsidRDefault="00940526" w:rsidP="00A55447">
      <w:pPr>
        <w:spacing w:after="0"/>
        <w:ind w:left="567" w:right="-2"/>
        <w:rPr>
          <w:lang w:val="en-US"/>
        </w:rPr>
      </w:pPr>
      <w:r w:rsidRPr="38AE83BF">
        <w:t xml:space="preserve">Wallace SL, Singer JZ, Duncan GJ, Wigley FM, Kuncl RW. </w:t>
      </w:r>
      <w:r w:rsidRPr="38AE83BF">
        <w:rPr>
          <w:lang w:val="en-US"/>
        </w:rPr>
        <w:t>Renal function predicts</w:t>
      </w:r>
    </w:p>
    <w:p w14:paraId="370B2045" w14:textId="77777777" w:rsidR="00940526" w:rsidRPr="00940526" w:rsidRDefault="00940526" w:rsidP="00A55447">
      <w:pPr>
        <w:spacing w:after="0"/>
        <w:ind w:left="567" w:right="-2"/>
        <w:rPr>
          <w:lang w:val="en-US"/>
        </w:rPr>
      </w:pPr>
      <w:r w:rsidRPr="38AE83BF">
        <w:rPr>
          <w:lang w:val="en-US"/>
        </w:rPr>
        <w:t>colchicine toxicity: guidelines for the prophylactic use of colchicine in gout. J</w:t>
      </w:r>
    </w:p>
    <w:p w14:paraId="32E71CA5" w14:textId="68F0F84D" w:rsidR="00940526" w:rsidRPr="00F46555" w:rsidRDefault="00940526" w:rsidP="00A55447">
      <w:pPr>
        <w:spacing w:after="0"/>
        <w:ind w:left="567" w:right="-2"/>
        <w:rPr>
          <w:sz w:val="20"/>
          <w:szCs w:val="20"/>
          <w:lang w:val="en-US"/>
        </w:rPr>
      </w:pPr>
      <w:r w:rsidRPr="38AE83BF">
        <w:rPr>
          <w:lang w:val="en-US"/>
        </w:rPr>
        <w:t xml:space="preserve">Rheumatol. 1991;18(2):264-9. </w:t>
      </w:r>
      <w:r w:rsidR="00453F5C" w:rsidRPr="00C67090">
        <w:rPr>
          <w:lang w:val="en-GB"/>
        </w:rPr>
        <w:t xml:space="preserve">Länk html </w:t>
      </w:r>
      <w:hyperlink r:id="rId17">
        <w:r w:rsidR="00453F5C" w:rsidRPr="00C67090">
          <w:rPr>
            <w:rStyle w:val="Hyperlnk"/>
            <w:lang w:val="en-GB"/>
          </w:rPr>
          <w:t>https://europepmc.org/article/med/2023222</w:t>
        </w:r>
      </w:hyperlink>
      <w:r w:rsidR="00EA5ACE">
        <w:rPr>
          <w:rStyle w:val="Hyperlnk"/>
          <w:lang w:val="en-GB"/>
        </w:rPr>
        <w:br/>
      </w:r>
    </w:p>
    <w:p w14:paraId="6742A328" w14:textId="77777777" w:rsidR="00940526" w:rsidRPr="00940526" w:rsidRDefault="00940526" w:rsidP="00A55447">
      <w:pPr>
        <w:spacing w:after="0"/>
        <w:ind w:left="567" w:right="-2"/>
        <w:rPr>
          <w:lang w:val="en-US"/>
        </w:rPr>
      </w:pPr>
      <w:r w:rsidRPr="00940526">
        <w:rPr>
          <w:lang w:val="en-US"/>
        </w:rPr>
        <w:t>Saenz A, Ausejo M, Shea B, Wells G, Welch V, Tugwell P. Pharmacotherapy for</w:t>
      </w:r>
    </w:p>
    <w:p w14:paraId="027A1EBC" w14:textId="7F729BA7" w:rsidR="00940526" w:rsidRPr="00F46555" w:rsidRDefault="00940526" w:rsidP="00A55447">
      <w:pPr>
        <w:spacing w:after="0"/>
        <w:ind w:left="567" w:right="-2"/>
        <w:rPr>
          <w:sz w:val="20"/>
          <w:szCs w:val="20"/>
        </w:rPr>
      </w:pPr>
      <w:r w:rsidRPr="00940526">
        <w:lastRenderedPageBreak/>
        <w:t xml:space="preserve">Behcet's syndrome. Cochrane Database Syst Rev. 2000;(2). </w:t>
      </w:r>
      <w:r w:rsidR="00543ED4">
        <w:t xml:space="preserve">Länk pfd </w:t>
      </w:r>
      <w:hyperlink r:id="rId18" w:history="1">
        <w:r w:rsidR="00543ED4" w:rsidRPr="002A594D">
          <w:rPr>
            <w:rStyle w:val="Hyperlnk"/>
          </w:rPr>
          <w:t>https://www.cochranelibrary.com/cdsr/doi/10.1002/14651858.CD001084/epdf/full</w:t>
        </w:r>
      </w:hyperlink>
      <w:r w:rsidR="00543ED4">
        <w:t xml:space="preserve"> </w:t>
      </w:r>
      <w:r w:rsidR="00EA5ACE">
        <w:br/>
      </w:r>
    </w:p>
    <w:p w14:paraId="21F9C6AD" w14:textId="6ACA5545" w:rsidR="00940526" w:rsidRPr="00F46555" w:rsidRDefault="00940526" w:rsidP="00A55447">
      <w:pPr>
        <w:spacing w:after="0"/>
        <w:ind w:left="567" w:right="-2"/>
        <w:rPr>
          <w:sz w:val="20"/>
          <w:szCs w:val="20"/>
        </w:rPr>
      </w:pPr>
      <w:r w:rsidRPr="00940526">
        <w:t xml:space="preserve">Dasgeb B, Kornreich D, McGuinn K, Okon L, Brownell I, Sackett DL. </w:t>
      </w:r>
      <w:r w:rsidRPr="00940526">
        <w:rPr>
          <w:lang w:val="en-US"/>
        </w:rPr>
        <w:t xml:space="preserve">Colchicine: an ancient drug with novel applications. Br J Dermatol. </w:t>
      </w:r>
      <w:r w:rsidRPr="00C67090">
        <w:t>2017;178(2):350-6.</w:t>
      </w:r>
      <w:r w:rsidR="00A82260" w:rsidRPr="00C67090">
        <w:t xml:space="preserve"> Länk pfd</w:t>
      </w:r>
      <w:r w:rsidR="00A82260">
        <w:rPr>
          <w:color w:val="0000FF"/>
          <w:u w:val="single"/>
        </w:rPr>
        <w:t xml:space="preserve"> </w:t>
      </w:r>
      <w:hyperlink r:id="rId19" w:history="1">
        <w:r w:rsidR="00A82260" w:rsidRPr="00A82260">
          <w:rPr>
            <w:rStyle w:val="Hyperlnk"/>
          </w:rPr>
          <w:t>https://onlinelibrary.wiley.com/doi/epdf/10.1111/bjd.15896</w:t>
        </w:r>
      </w:hyperlink>
      <w:r w:rsidR="00EA5ACE">
        <w:rPr>
          <w:rStyle w:val="Hyperlnk"/>
        </w:rPr>
        <w:br/>
      </w:r>
    </w:p>
    <w:p w14:paraId="06478D0E" w14:textId="6F361ECA" w:rsidR="00940526" w:rsidRPr="00F46555" w:rsidRDefault="00940526" w:rsidP="00A55447">
      <w:pPr>
        <w:spacing w:after="0"/>
        <w:ind w:left="567" w:right="-2"/>
        <w:rPr>
          <w:sz w:val="20"/>
          <w:szCs w:val="20"/>
        </w:rPr>
      </w:pPr>
      <w:r w:rsidRPr="000F614A">
        <w:rPr>
          <w:lang w:val="en-GB"/>
        </w:rPr>
        <w:t xml:space="preserve">Robinson KP, Chan JJ. </w:t>
      </w:r>
      <w:r w:rsidRPr="00940526">
        <w:rPr>
          <w:lang w:val="en-US"/>
        </w:rPr>
        <w:t xml:space="preserve">Colchicine in dermatology: A review. </w:t>
      </w:r>
      <w:r w:rsidRPr="00C67090">
        <w:t>Australas J Dermatol. 2018;59(4):278-85</w:t>
      </w:r>
      <w:r w:rsidR="00A741DC" w:rsidRPr="00C67090">
        <w:t xml:space="preserve">. Länk </w:t>
      </w:r>
      <w:r w:rsidR="004F371A" w:rsidRPr="00C67090">
        <w:t xml:space="preserve">pdf </w:t>
      </w:r>
      <w:hyperlink r:id="rId20" w:history="1">
        <w:r w:rsidR="004F371A" w:rsidRPr="00C67090">
          <w:rPr>
            <w:rStyle w:val="Hyperlnk"/>
          </w:rPr>
          <w:t>https://onlinelibrary.wiley.com/doi/epdf/10.1111/ajd.12795</w:t>
        </w:r>
      </w:hyperlink>
      <w:r w:rsidR="00EA5ACE">
        <w:rPr>
          <w:rStyle w:val="Hyperlnk"/>
        </w:rPr>
        <w:br/>
      </w:r>
    </w:p>
    <w:p w14:paraId="01FB1108" w14:textId="0A482CCA" w:rsidR="00940526" w:rsidRPr="00F46555" w:rsidRDefault="00940526" w:rsidP="00A55447">
      <w:pPr>
        <w:spacing w:after="0"/>
        <w:ind w:left="567" w:right="-2"/>
        <w:rPr>
          <w:sz w:val="20"/>
          <w:szCs w:val="20"/>
        </w:rPr>
      </w:pPr>
      <w:r w:rsidRPr="00C67090">
        <w:rPr>
          <w:lang w:val="en-GB"/>
        </w:rPr>
        <w:t>Karadag O, Bolek EC. Management of Bechet’s syndrome.</w:t>
      </w:r>
      <w:r w:rsidRPr="00940526">
        <w:rPr>
          <w:bCs/>
          <w:kern w:val="36"/>
          <w:lang w:val="en-US"/>
        </w:rPr>
        <w:t xml:space="preserve"> Rheumatology (Oxford). 2020 May 1</w:t>
      </w:r>
      <w:r w:rsidRPr="00940526">
        <w:rPr>
          <w:lang w:val="en-US"/>
        </w:rPr>
        <w:t>;59(Suppl 3):iii108-iii117</w:t>
      </w:r>
      <w:r w:rsidR="00384D19">
        <w:rPr>
          <w:lang w:val="en-US"/>
        </w:rPr>
        <w:t xml:space="preserve">. </w:t>
      </w:r>
      <w:r w:rsidR="00384D19" w:rsidRPr="00C67090">
        <w:t xml:space="preserve">Länk </w:t>
      </w:r>
      <w:r w:rsidR="009E2D86" w:rsidRPr="00C67090">
        <w:t>pdf</w:t>
      </w:r>
      <w:r w:rsidR="00384D19" w:rsidRPr="00C67090">
        <w:t xml:space="preserve"> </w:t>
      </w:r>
      <w:hyperlink r:id="rId21" w:history="1">
        <w:r w:rsidR="00384D19">
          <w:rPr>
            <w:rStyle w:val="Hyperlnk"/>
          </w:rPr>
          <w:t>OP-BRHE200087 108..117 (silverchair.com)</w:t>
        </w:r>
      </w:hyperlink>
      <w:r w:rsidR="00FC19A1">
        <w:rPr>
          <w:color w:val="0000FF"/>
          <w:u w:val="single"/>
        </w:rPr>
        <w:t xml:space="preserve"> </w:t>
      </w:r>
      <w:r w:rsidR="00EA5ACE">
        <w:rPr>
          <w:color w:val="0000FF"/>
          <w:u w:val="single"/>
        </w:rPr>
        <w:br/>
      </w:r>
    </w:p>
    <w:p w14:paraId="17C90333" w14:textId="0350B2AB" w:rsidR="00940526" w:rsidRPr="00F46555" w:rsidRDefault="00940526" w:rsidP="00A55447">
      <w:pPr>
        <w:spacing w:after="0"/>
        <w:ind w:left="567" w:right="-2"/>
        <w:rPr>
          <w:sz w:val="20"/>
          <w:szCs w:val="20"/>
        </w:rPr>
      </w:pPr>
      <w:r w:rsidRPr="00C67090">
        <w:t xml:space="preserve">Riktlinjer från Svensk Reumatologisk förening, </w:t>
      </w:r>
      <w:r w:rsidR="001B54DF">
        <w:t xml:space="preserve">länk </w:t>
      </w:r>
      <w:r w:rsidR="00673832">
        <w:t xml:space="preserve">html </w:t>
      </w:r>
      <w:hyperlink r:id="rId22" w:history="1">
        <w:r w:rsidR="000A7ABA">
          <w:rPr>
            <w:rStyle w:val="Hyperlnk"/>
          </w:rPr>
          <w:t>riktlinjer.svenskreumatologi.se</w:t>
        </w:r>
      </w:hyperlink>
      <w:r w:rsidR="00EA5ACE">
        <w:br/>
      </w:r>
    </w:p>
    <w:p w14:paraId="158C8437" w14:textId="49E30444" w:rsidR="00940526" w:rsidRPr="00F46555" w:rsidRDefault="00940526" w:rsidP="00A55447">
      <w:pPr>
        <w:spacing w:after="0"/>
        <w:ind w:left="567" w:right="-2"/>
        <w:rPr>
          <w:color w:val="0000FF"/>
          <w:sz w:val="20"/>
          <w:szCs w:val="20"/>
          <w:u w:val="single"/>
          <w:lang w:val="en-GB"/>
        </w:rPr>
      </w:pPr>
      <w:r w:rsidRPr="38AE83BF">
        <w:rPr>
          <w:lang w:val="en-US"/>
        </w:rPr>
        <w:t>Mayo Clinic, länk</w:t>
      </w:r>
      <w:r w:rsidR="000846A9" w:rsidRPr="38AE83BF">
        <w:rPr>
          <w:lang w:val="en-US"/>
        </w:rPr>
        <w:t xml:space="preserve"> html </w:t>
      </w:r>
      <w:hyperlink r:id="rId23">
        <w:r w:rsidR="000846A9" w:rsidRPr="38AE83BF">
          <w:rPr>
            <w:rStyle w:val="Hyperlnk"/>
            <w:lang w:val="en-US"/>
          </w:rPr>
          <w:t>https://www.mayoclinic.org/</w:t>
        </w:r>
      </w:hyperlink>
      <w:r w:rsidR="00EA5ACE">
        <w:rPr>
          <w:rStyle w:val="Hyperlnk"/>
          <w:lang w:val="en-US"/>
        </w:rPr>
        <w:br/>
      </w:r>
    </w:p>
    <w:p w14:paraId="4AB8DD70" w14:textId="25277CC0" w:rsidR="00940526" w:rsidRPr="00F46555" w:rsidRDefault="00940526" w:rsidP="00A55447">
      <w:pPr>
        <w:spacing w:after="0"/>
        <w:ind w:left="567" w:right="-2"/>
        <w:rPr>
          <w:sz w:val="20"/>
          <w:szCs w:val="20"/>
          <w:lang w:val="en-GB"/>
        </w:rPr>
      </w:pPr>
      <w:r w:rsidRPr="00940526">
        <w:rPr>
          <w:lang w:val="en-US"/>
        </w:rPr>
        <w:t>UpTo Date, länk</w:t>
      </w:r>
      <w:r w:rsidR="00A96DF5">
        <w:rPr>
          <w:lang w:val="en-US"/>
        </w:rPr>
        <w:t xml:space="preserve"> html </w:t>
      </w:r>
      <w:hyperlink r:id="rId24" w:history="1">
        <w:r w:rsidR="00A96DF5" w:rsidRPr="00A96DF5">
          <w:rPr>
            <w:rStyle w:val="Hyperlnk"/>
            <w:lang w:val="en-US"/>
          </w:rPr>
          <w:t>https://www.uptodate.com/contents/search</w:t>
        </w:r>
      </w:hyperlink>
      <w:r w:rsidR="00A96DF5" w:rsidRPr="00C67090">
        <w:rPr>
          <w:lang w:val="en-GB"/>
        </w:rPr>
        <w:t xml:space="preserve"> </w:t>
      </w:r>
      <w:r w:rsidR="00EA5ACE">
        <w:rPr>
          <w:lang w:val="en-GB"/>
        </w:rPr>
        <w:br/>
      </w:r>
    </w:p>
    <w:p w14:paraId="6644D46F" w14:textId="524250E3" w:rsidR="00940526" w:rsidRPr="00C670D2" w:rsidRDefault="00940526" w:rsidP="00A55447">
      <w:pPr>
        <w:spacing w:after="0"/>
        <w:ind w:left="567" w:right="-2"/>
      </w:pPr>
      <w:r>
        <w:t>FASS Vårdpersonal</w:t>
      </w:r>
      <w:r w:rsidR="003F13FC">
        <w:t>, länk html</w:t>
      </w:r>
      <w:r w:rsidR="4B5B3588">
        <w:t xml:space="preserve"> </w:t>
      </w:r>
      <w:hyperlink r:id="rId25">
        <w:r w:rsidR="4B5B3588" w:rsidRPr="4756F4B6">
          <w:rPr>
            <w:rStyle w:val="Hyperlnk"/>
          </w:rPr>
          <w:t>FASS Vårdpersonal - Startsida</w:t>
        </w:r>
      </w:hyperlink>
    </w:p>
    <w:bookmarkEnd w:id="0"/>
    <w:sectPr w:rsidR="00940526" w:rsidRPr="00C670D2" w:rsidSect="000F614A">
      <w:type w:val="continuous"/>
      <w:pgSz w:w="11900" w:h="16840"/>
      <w:pgMar w:top="1418" w:right="1694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2478C67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 w14:anchorId="626898A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78274411">
    <w:abstractNumId w:val="17"/>
  </w:num>
  <w:num w:numId="2" w16cid:durableId="1729918554">
    <w:abstractNumId w:val="14"/>
  </w:num>
  <w:num w:numId="3" w16cid:durableId="1142962273">
    <w:abstractNumId w:val="0"/>
  </w:num>
  <w:num w:numId="4" w16cid:durableId="1495877738">
    <w:abstractNumId w:val="6"/>
  </w:num>
  <w:num w:numId="5" w16cid:durableId="918909629">
    <w:abstractNumId w:val="15"/>
  </w:num>
  <w:num w:numId="6" w16cid:durableId="2009359634">
    <w:abstractNumId w:val="2"/>
  </w:num>
  <w:num w:numId="7" w16cid:durableId="843516199">
    <w:abstractNumId w:val="11"/>
  </w:num>
  <w:num w:numId="8" w16cid:durableId="1303729725">
    <w:abstractNumId w:val="8"/>
  </w:num>
  <w:num w:numId="9" w16cid:durableId="1457021709">
    <w:abstractNumId w:val="1"/>
  </w:num>
  <w:num w:numId="10" w16cid:durableId="886184543">
    <w:abstractNumId w:val="1"/>
  </w:num>
  <w:num w:numId="11" w16cid:durableId="2138182940">
    <w:abstractNumId w:val="3"/>
  </w:num>
  <w:num w:numId="12" w16cid:durableId="899973118">
    <w:abstractNumId w:val="4"/>
  </w:num>
  <w:num w:numId="13" w16cid:durableId="402871929">
    <w:abstractNumId w:val="13"/>
  </w:num>
  <w:num w:numId="14" w16cid:durableId="2129425955">
    <w:abstractNumId w:val="9"/>
  </w:num>
  <w:num w:numId="15" w16cid:durableId="1557935936">
    <w:abstractNumId w:val="7"/>
  </w:num>
  <w:num w:numId="16" w16cid:durableId="1851216950">
    <w:abstractNumId w:val="12"/>
  </w:num>
  <w:num w:numId="17" w16cid:durableId="58286529">
    <w:abstractNumId w:val="5"/>
  </w:num>
  <w:num w:numId="18" w16cid:durableId="768812538">
    <w:abstractNumId w:val="10"/>
  </w:num>
  <w:num w:numId="19" w16cid:durableId="66377767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B39"/>
    <w:rsid w:val="00006D2A"/>
    <w:rsid w:val="00010D47"/>
    <w:rsid w:val="00016CF0"/>
    <w:rsid w:val="000235E6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46A9"/>
    <w:rsid w:val="0009062C"/>
    <w:rsid w:val="00095368"/>
    <w:rsid w:val="000954C4"/>
    <w:rsid w:val="000A4C35"/>
    <w:rsid w:val="000A611A"/>
    <w:rsid w:val="000A7ABA"/>
    <w:rsid w:val="000B12D9"/>
    <w:rsid w:val="000B4536"/>
    <w:rsid w:val="000B7715"/>
    <w:rsid w:val="000E463B"/>
    <w:rsid w:val="000E5A7E"/>
    <w:rsid w:val="000F43A3"/>
    <w:rsid w:val="000F614A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65A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54DF"/>
    <w:rsid w:val="001B762C"/>
    <w:rsid w:val="001C4D0A"/>
    <w:rsid w:val="001C5FEF"/>
    <w:rsid w:val="00211487"/>
    <w:rsid w:val="00211D91"/>
    <w:rsid w:val="00217DEC"/>
    <w:rsid w:val="00235B57"/>
    <w:rsid w:val="0024733E"/>
    <w:rsid w:val="00250F24"/>
    <w:rsid w:val="002523C5"/>
    <w:rsid w:val="0025380B"/>
    <w:rsid w:val="00254036"/>
    <w:rsid w:val="0025703A"/>
    <w:rsid w:val="00262F3D"/>
    <w:rsid w:val="00263281"/>
    <w:rsid w:val="002651D6"/>
    <w:rsid w:val="0026551F"/>
    <w:rsid w:val="00280A85"/>
    <w:rsid w:val="00284119"/>
    <w:rsid w:val="002846E2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798E"/>
    <w:rsid w:val="002E263F"/>
    <w:rsid w:val="002E6F81"/>
    <w:rsid w:val="002F08BA"/>
    <w:rsid w:val="002F2CFF"/>
    <w:rsid w:val="002F568B"/>
    <w:rsid w:val="002F7818"/>
    <w:rsid w:val="00303E4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4D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3FC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3F5C"/>
    <w:rsid w:val="00460ED0"/>
    <w:rsid w:val="00465651"/>
    <w:rsid w:val="00470CE7"/>
    <w:rsid w:val="00470F4F"/>
    <w:rsid w:val="004711A1"/>
    <w:rsid w:val="00472482"/>
    <w:rsid w:val="00480DC7"/>
    <w:rsid w:val="004876F6"/>
    <w:rsid w:val="0049236A"/>
    <w:rsid w:val="00492718"/>
    <w:rsid w:val="004A355D"/>
    <w:rsid w:val="004A3DD1"/>
    <w:rsid w:val="004A4970"/>
    <w:rsid w:val="004B2183"/>
    <w:rsid w:val="004B2A01"/>
    <w:rsid w:val="004C2559"/>
    <w:rsid w:val="004D7BA3"/>
    <w:rsid w:val="004F371A"/>
    <w:rsid w:val="004F4518"/>
    <w:rsid w:val="004F4C62"/>
    <w:rsid w:val="00501433"/>
    <w:rsid w:val="00511CC4"/>
    <w:rsid w:val="00531E60"/>
    <w:rsid w:val="00536A5A"/>
    <w:rsid w:val="00541D07"/>
    <w:rsid w:val="00543ED4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6A6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832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7A6A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2115"/>
    <w:rsid w:val="007D4241"/>
    <w:rsid w:val="007D4317"/>
    <w:rsid w:val="007D4EA3"/>
    <w:rsid w:val="007F1CFF"/>
    <w:rsid w:val="007F5DD5"/>
    <w:rsid w:val="00814A76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0526"/>
    <w:rsid w:val="00942257"/>
    <w:rsid w:val="00943AE0"/>
    <w:rsid w:val="009471BF"/>
    <w:rsid w:val="00950E4E"/>
    <w:rsid w:val="009529BD"/>
    <w:rsid w:val="009533B4"/>
    <w:rsid w:val="00971D93"/>
    <w:rsid w:val="009A1E7E"/>
    <w:rsid w:val="009B1F6B"/>
    <w:rsid w:val="009C0D12"/>
    <w:rsid w:val="009C192E"/>
    <w:rsid w:val="009D6819"/>
    <w:rsid w:val="009D6D1C"/>
    <w:rsid w:val="009E0CF9"/>
    <w:rsid w:val="009E2D86"/>
    <w:rsid w:val="009E531B"/>
    <w:rsid w:val="009E6C56"/>
    <w:rsid w:val="009E7DCF"/>
    <w:rsid w:val="009F4A56"/>
    <w:rsid w:val="009F4E65"/>
    <w:rsid w:val="00A006A5"/>
    <w:rsid w:val="00A05942"/>
    <w:rsid w:val="00A07BEC"/>
    <w:rsid w:val="00A232E7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447"/>
    <w:rsid w:val="00A65FD4"/>
    <w:rsid w:val="00A741DC"/>
    <w:rsid w:val="00A81198"/>
    <w:rsid w:val="00A81E48"/>
    <w:rsid w:val="00A82035"/>
    <w:rsid w:val="00A82260"/>
    <w:rsid w:val="00A90D77"/>
    <w:rsid w:val="00A92E07"/>
    <w:rsid w:val="00A96DF5"/>
    <w:rsid w:val="00AA0B3A"/>
    <w:rsid w:val="00AA6EB4"/>
    <w:rsid w:val="00AA767D"/>
    <w:rsid w:val="00AB0CC9"/>
    <w:rsid w:val="00AB64D1"/>
    <w:rsid w:val="00AC3FF6"/>
    <w:rsid w:val="00AD07F2"/>
    <w:rsid w:val="00AD73EC"/>
    <w:rsid w:val="00AD7F2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0C16"/>
    <w:rsid w:val="00B75EDE"/>
    <w:rsid w:val="00B763F7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7090"/>
    <w:rsid w:val="00C670D2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2676"/>
    <w:rsid w:val="00D85218"/>
    <w:rsid w:val="00D911DE"/>
    <w:rsid w:val="00D915B1"/>
    <w:rsid w:val="00D95310"/>
    <w:rsid w:val="00DA299D"/>
    <w:rsid w:val="00DA65C4"/>
    <w:rsid w:val="00DD2BE0"/>
    <w:rsid w:val="00DE4447"/>
    <w:rsid w:val="00DE5DA2"/>
    <w:rsid w:val="00DF0033"/>
    <w:rsid w:val="00DF131A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5ACE"/>
    <w:rsid w:val="00EA75CF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2BEA"/>
    <w:rsid w:val="00F46555"/>
    <w:rsid w:val="00F5135F"/>
    <w:rsid w:val="00F51F78"/>
    <w:rsid w:val="00F86F47"/>
    <w:rsid w:val="00F90B64"/>
    <w:rsid w:val="00FB2F0F"/>
    <w:rsid w:val="00FB5086"/>
    <w:rsid w:val="00FB5411"/>
    <w:rsid w:val="00FB6392"/>
    <w:rsid w:val="00FC19A1"/>
    <w:rsid w:val="00FD3C70"/>
    <w:rsid w:val="00FD6820"/>
    <w:rsid w:val="00FD7E25"/>
    <w:rsid w:val="00FD7EC3"/>
    <w:rsid w:val="00FE12D8"/>
    <w:rsid w:val="00FF7C02"/>
    <w:rsid w:val="024801E3"/>
    <w:rsid w:val="0730723C"/>
    <w:rsid w:val="1BB251BB"/>
    <w:rsid w:val="27A49D02"/>
    <w:rsid w:val="2BD51FFC"/>
    <w:rsid w:val="2D280919"/>
    <w:rsid w:val="2E543405"/>
    <w:rsid w:val="386BA3C9"/>
    <w:rsid w:val="38AE83BF"/>
    <w:rsid w:val="3A4561EA"/>
    <w:rsid w:val="3CF1BADF"/>
    <w:rsid w:val="4756F4B6"/>
    <w:rsid w:val="4B5B3588"/>
    <w:rsid w:val="572DC01B"/>
    <w:rsid w:val="62AF488B"/>
    <w:rsid w:val="63B65EF6"/>
    <w:rsid w:val="647B2B65"/>
    <w:rsid w:val="67BCFA71"/>
    <w:rsid w:val="69BAC052"/>
    <w:rsid w:val="6B2CF8ED"/>
    <w:rsid w:val="6BEFC12A"/>
    <w:rsid w:val="7A4D4727"/>
    <w:rsid w:val="7BEE7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3F13F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cochranelibrary.com/cdsr/doi/10.1002/14651858.CD001084/epdf/full" TargetMode="External" Id="rId18" /><Relationship Type="http://schemas.openxmlformats.org/officeDocument/2006/relationships/fontTable" Target="fontTable.xml" Id="rId26" /><Relationship Type="http://schemas.openxmlformats.org/officeDocument/2006/relationships/hyperlink" Target="https://watermark.silverchair.com/keaa086.pdf?token=AQECAHi208BE49Ooan9kkhW_Ercy7Dm3ZL_9Cf3qfKAc485ysgAAAwwwggMIBgkqhkiG9w0BBwagggL5MIIC9QIBADCCAu4GCSqGSIb3DQEHATAeBglghkgBZQMEAS4wEQQMpQysXKud5EyMU287AgEQgIICvyFJoijFv8x-DuNtNKAiN7jUSHB_Ca24UV6lUxRanGvrf-Zv5d9dF0hCEJniLPM1bhcJv3B5QxcbP7C8BU7tEec7X6o7YjEw4mIzBPDmf17j1MSBxMlLZKp9tbfKkoIqDX7PxPo4QDJ0WDQNUKPhEdAHPyA2HkdCAfx6nQq9sgcZAkqk-RfTD-FwuPi6EEwNhRpZzxe5J20QhNuL7fcHy0fyP_A8DI45i5c6bPmuZVXn7Dba8GSJsA0P7Y6JH2w4vqVgATfOQS2TTJDWvhcCZDcftRNifNcsGeUpUNLRLlDi6Ie2whghXcHjgixrkC_SelzO0U3FQvSK1f9FXjz4_woxaIvWFZ8ukyiL0hTJg5k9w6_clsm2kgqZWLzoG6UgEuZQOKhZbJ5xReE4-Dz3MwGctyFfTrdnC7G3Tw1pHYpt-umZE1CSPdQ-vbdVAzy8zVQQ3mwmfzaXBaaXQ5EaOLnhMLNTMIwOY6GIxQkAyiMerBQ1uyaytpQBitwvXVRz6h9AQcaqi5zjNIu_VGDhSJQDrPrzfFqzYnMPnX6dWJHWEnCxR8Y9RuzRbE_809g1Dx_p9Qm-zw55WdQHTD1wslwy94Nmzkzym_l-MV4PraD_q8PkWuJWmiAtlpCsb8ATOc3p1Btwv6tWpS09FMbs6X1-bEiLPAOIt04dAnTytyN4j6PJELF_hhmnet0P8A5dpNkjDVZV1uAocALNxBrPLvnNPTkn3e8-S6CvVBi28drwOFz0lYwtie4o1xT7rl_2uOq_Kv96yzXHw3Yky0ZX99e5ymEqAC9XPLr5iwJEW4WGmhZiD59-OOXhZJwWnGtoCXGQUYBd6d4uXuXkZ2m8M3uKPvod0IyWh7-FfFbCEtuuu_dcl4_h3fOO29bin-i8VFX9L5O6VsVUoNaEe0y0VfktCpNAO7DSErvFaEj2pMc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europepmc.org/article/med/2023222" TargetMode="External" Id="rId17" /><Relationship Type="http://schemas.openxmlformats.org/officeDocument/2006/relationships/hyperlink" Target="https://www.fass.se/LIF/startpage;jsessionid=node01uxv1icvut7cefpq12ykyea8o11825.node0?userType=0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onlinelibrary.wiley.com/doi/epdf/10.1111/ajd.12795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uptodate.com/contents/search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www.mayoclinic.org/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onlinelibrary.wiley.com/doi/epdf/10.1111/bjd.15896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riktlinjer.svenskreumatologi.se/" TargetMode="Externa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3</Pages>
  <Words>451</Words>
  <Characters>5096</Characters>
  <Application>Microsoft Office Word</Application>
  <DocSecurity>0</DocSecurity>
  <Lines>42</Lines>
  <Paragraphs>11</Paragraphs>
  <ScaleCrop>false</ScaleCrop>
  <Manager/>
  <Company/>
  <LinksUpToDate>false</LinksUpToDate>
  <CharactersWithSpaces>5536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Kolkicin - behandling</dc:title>
  <dc:subject/>
  <dc:creator>patrik.jens.johansson@vgregion.se</dc:creator>
  <keywords/>
  <lastModifiedBy>Jenny Karsna</lastModifiedBy>
  <revision>58</revision>
  <lastPrinted>2016-03-31T10:56:00.0000000Z</lastPrinted>
  <dcterms:created xsi:type="dcterms:W3CDTF">2022-06-03T06:08:00.0000000Z</dcterms:created>
  <dcterms:modified xsi:type="dcterms:W3CDTF">2025-09-29T08:16:00.0000000Z</dcterms:modified>
</coreProperties>
</file>