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76692" w14:textId="0A0157EA" w:rsidR="00737ACC" w:rsidRDefault="00737ACC" w:rsidP="00F35B05">
      <w:pPr>
        <w:pStyle w:val="Rubrik2"/>
        <w:sectPr w:rsidR="00737ACC" w:rsidSect="00737AC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5550988" w14:textId="095F3364" w:rsidR="0023103A" w:rsidRDefault="0023103A" w:rsidP="0023103A">
      <w:pPr>
        <w:pStyle w:val="Rubrik1"/>
        <w:ind w:left="567" w:right="-143"/>
      </w:pPr>
      <w:r>
        <w:t>Biologiska läkemedel för behandling av psoriasis</w:t>
      </w:r>
    </w:p>
    <w:p w14:paraId="27706A3C" w14:textId="77777777" w:rsidR="00860A4F" w:rsidRDefault="00860A4F" w:rsidP="00860A4F">
      <w:pPr>
        <w:pStyle w:val="Rubrik2"/>
        <w:ind w:left="567" w:right="-143"/>
      </w:pPr>
      <w:bookmarkStart w:id="1" w:name="_Toc190173492"/>
      <w:r>
        <w:t>Förändringar sedan föregående version</w:t>
      </w:r>
      <w:bookmarkEnd w:id="1"/>
    </w:p>
    <w:p w14:paraId="1EA83D17" w14:textId="535EBCA8" w:rsidR="00860A4F" w:rsidRPr="003B32E4" w:rsidRDefault="4791B9B6" w:rsidP="00860A4F">
      <w:pPr>
        <w:ind w:left="567" w:right="-143"/>
      </w:pPr>
      <w:r>
        <w:t>Rubrik Å</w:t>
      </w:r>
      <w:r w:rsidR="4EB26D5D">
        <w:t>terbesök ändra</w:t>
      </w:r>
      <w:r w:rsidR="58C07638">
        <w:t>d</w:t>
      </w:r>
      <w:r w:rsidR="4EB26D5D">
        <w:t xml:space="preserve"> till Uppföljning samt </w:t>
      </w:r>
      <w:r w:rsidR="2A5241AB">
        <w:t>innehåll</w:t>
      </w:r>
      <w:r w:rsidR="3C6DEC53">
        <w:t xml:space="preserve"> ändrat</w:t>
      </w:r>
      <w:r w:rsidR="2A5241AB">
        <w:t>.</w:t>
      </w:r>
      <w:r w:rsidR="4EB26D5D">
        <w:t xml:space="preserve"> </w:t>
      </w:r>
      <w:r w:rsidR="004376AA">
        <w:t xml:space="preserve">Stycke </w:t>
      </w:r>
      <w:r w:rsidR="1F809CC2">
        <w:t xml:space="preserve">Behandlingens längd </w:t>
      </w:r>
      <w:r w:rsidR="68D3EC8E">
        <w:t>reviderad</w:t>
      </w:r>
      <w:r w:rsidR="1F809CC2">
        <w:t>.</w:t>
      </w:r>
    </w:p>
    <w:p w14:paraId="7D19C2B8" w14:textId="77777777" w:rsidR="006363C3" w:rsidRDefault="006363C3" w:rsidP="001C0FCB">
      <w:pPr>
        <w:pStyle w:val="Rubrik1"/>
        <w:spacing w:after="0"/>
        <w:ind w:left="567"/>
      </w:pPr>
      <w:r>
        <w:t>Innehållsförteckning</w:t>
      </w:r>
    </w:p>
    <w:p w14:paraId="637B7E2E" w14:textId="2E1FDFF8" w:rsidR="000A707C" w:rsidRDefault="006363C3">
      <w:pPr>
        <w:pStyle w:val="Innehll1"/>
        <w:rPr>
          <w:rFonts w:asciiTheme="minorHAnsi" w:eastAsiaTheme="minorEastAsia" w:hAnsiTheme="minorHAnsi" w:cstheme="minorBidi"/>
          <w:noProof/>
          <w:kern w:val="2"/>
          <w14:ligatures w14:val="standardContextual"/>
        </w:rPr>
      </w:pPr>
      <w:r>
        <w:rPr>
          <w:rStyle w:val="Hyperlnk"/>
          <w:rFonts w:asciiTheme="majorHAnsi" w:eastAsiaTheme="majorEastAsia" w:hAnsiTheme="majorHAnsi" w:cstheme="majorBidi"/>
          <w:bCs/>
          <w:sz w:val="40"/>
          <w:szCs w:val="26"/>
        </w:rPr>
        <w:fldChar w:fldCharType="begin"/>
      </w:r>
      <w:r>
        <w:rPr>
          <w:rStyle w:val="Hyperlnk"/>
        </w:rPr>
        <w:instrText xml:space="preserve"> TOC \h \z \t "Rubrik 2;1;Rubrik 3;2;Rubrik 4;3" </w:instrText>
      </w:r>
      <w:r>
        <w:rPr>
          <w:rStyle w:val="Hyperlnk"/>
          <w:rFonts w:asciiTheme="majorHAnsi" w:eastAsiaTheme="majorEastAsia" w:hAnsiTheme="majorHAnsi" w:cstheme="majorBidi"/>
          <w:bCs/>
          <w:sz w:val="40"/>
          <w:szCs w:val="26"/>
        </w:rPr>
        <w:fldChar w:fldCharType="separate"/>
      </w:r>
      <w:hyperlink w:anchor="_Toc190173492" w:history="1">
        <w:r w:rsidR="000A707C" w:rsidRPr="00065B50">
          <w:rPr>
            <w:rStyle w:val="Hyperlnk"/>
            <w:rFonts w:eastAsia="MS Gothic"/>
            <w:noProof/>
          </w:rPr>
          <w:t>Förändringar sedan föregående version</w:t>
        </w:r>
        <w:r w:rsidR="000A707C">
          <w:rPr>
            <w:noProof/>
            <w:webHidden/>
          </w:rPr>
          <w:tab/>
        </w:r>
        <w:r w:rsidR="000A707C">
          <w:rPr>
            <w:noProof/>
            <w:webHidden/>
          </w:rPr>
          <w:fldChar w:fldCharType="begin"/>
        </w:r>
        <w:r w:rsidR="000A707C">
          <w:rPr>
            <w:noProof/>
            <w:webHidden/>
          </w:rPr>
          <w:instrText xml:space="preserve"> PAGEREF _Toc190173492 \h </w:instrText>
        </w:r>
        <w:r w:rsidR="000A707C">
          <w:rPr>
            <w:noProof/>
            <w:webHidden/>
          </w:rPr>
        </w:r>
        <w:r w:rsidR="000A707C">
          <w:rPr>
            <w:noProof/>
            <w:webHidden/>
          </w:rPr>
          <w:fldChar w:fldCharType="separate"/>
        </w:r>
        <w:r w:rsidR="000A707C">
          <w:rPr>
            <w:noProof/>
            <w:webHidden/>
          </w:rPr>
          <w:t>1</w:t>
        </w:r>
        <w:r w:rsidR="000A707C">
          <w:rPr>
            <w:noProof/>
            <w:webHidden/>
          </w:rPr>
          <w:fldChar w:fldCharType="end"/>
        </w:r>
      </w:hyperlink>
    </w:p>
    <w:p w14:paraId="13A4841A" w14:textId="2C4BD5AC" w:rsidR="000A707C" w:rsidRDefault="000A707C">
      <w:pPr>
        <w:pStyle w:val="Innehll1"/>
        <w:rPr>
          <w:rFonts w:asciiTheme="minorHAnsi" w:eastAsiaTheme="minorEastAsia" w:hAnsiTheme="minorHAnsi" w:cstheme="minorBidi"/>
          <w:noProof/>
          <w:kern w:val="2"/>
          <w14:ligatures w14:val="standardContextual"/>
        </w:rPr>
      </w:pPr>
      <w:hyperlink w:anchor="_Toc190173493" w:history="1">
        <w:r w:rsidRPr="00065B50">
          <w:rPr>
            <w:rStyle w:val="Hyperlnk"/>
            <w:rFonts w:eastAsia="MS Gothic"/>
            <w:noProof/>
          </w:rPr>
          <w:t>Bakgrund och syfte</w:t>
        </w:r>
        <w:r>
          <w:rPr>
            <w:noProof/>
            <w:webHidden/>
          </w:rPr>
          <w:tab/>
        </w:r>
        <w:r>
          <w:rPr>
            <w:noProof/>
            <w:webHidden/>
          </w:rPr>
          <w:fldChar w:fldCharType="begin"/>
        </w:r>
        <w:r>
          <w:rPr>
            <w:noProof/>
            <w:webHidden/>
          </w:rPr>
          <w:instrText xml:space="preserve"> PAGEREF _Toc190173493 \h </w:instrText>
        </w:r>
        <w:r>
          <w:rPr>
            <w:noProof/>
            <w:webHidden/>
          </w:rPr>
        </w:r>
        <w:r>
          <w:rPr>
            <w:noProof/>
            <w:webHidden/>
          </w:rPr>
          <w:fldChar w:fldCharType="separate"/>
        </w:r>
        <w:r>
          <w:rPr>
            <w:noProof/>
            <w:webHidden/>
          </w:rPr>
          <w:t>2</w:t>
        </w:r>
        <w:r>
          <w:rPr>
            <w:noProof/>
            <w:webHidden/>
          </w:rPr>
          <w:fldChar w:fldCharType="end"/>
        </w:r>
      </w:hyperlink>
    </w:p>
    <w:p w14:paraId="296CA7AC" w14:textId="3CDB0DD9" w:rsidR="000A707C" w:rsidRDefault="000A707C">
      <w:pPr>
        <w:pStyle w:val="Innehll1"/>
        <w:rPr>
          <w:rFonts w:asciiTheme="minorHAnsi" w:eastAsiaTheme="minorEastAsia" w:hAnsiTheme="minorHAnsi" w:cstheme="minorBidi"/>
          <w:noProof/>
          <w:kern w:val="2"/>
          <w14:ligatures w14:val="standardContextual"/>
        </w:rPr>
      </w:pPr>
      <w:hyperlink w:anchor="_Toc190173494" w:history="1">
        <w:r w:rsidRPr="00065B50">
          <w:rPr>
            <w:rStyle w:val="Hyperlnk"/>
            <w:rFonts w:eastAsia="MS Gothic"/>
            <w:noProof/>
          </w:rPr>
          <w:t>Läkemedel</w:t>
        </w:r>
        <w:r>
          <w:rPr>
            <w:noProof/>
            <w:webHidden/>
          </w:rPr>
          <w:tab/>
        </w:r>
        <w:r>
          <w:rPr>
            <w:noProof/>
            <w:webHidden/>
          </w:rPr>
          <w:fldChar w:fldCharType="begin"/>
        </w:r>
        <w:r>
          <w:rPr>
            <w:noProof/>
            <w:webHidden/>
          </w:rPr>
          <w:instrText xml:space="preserve"> PAGEREF _Toc190173494 \h </w:instrText>
        </w:r>
        <w:r>
          <w:rPr>
            <w:noProof/>
            <w:webHidden/>
          </w:rPr>
        </w:r>
        <w:r>
          <w:rPr>
            <w:noProof/>
            <w:webHidden/>
          </w:rPr>
          <w:fldChar w:fldCharType="separate"/>
        </w:r>
        <w:r>
          <w:rPr>
            <w:noProof/>
            <w:webHidden/>
          </w:rPr>
          <w:t>2</w:t>
        </w:r>
        <w:r>
          <w:rPr>
            <w:noProof/>
            <w:webHidden/>
          </w:rPr>
          <w:fldChar w:fldCharType="end"/>
        </w:r>
      </w:hyperlink>
    </w:p>
    <w:p w14:paraId="48693D3D" w14:textId="5A7C305F" w:rsidR="000A707C" w:rsidRDefault="000A707C">
      <w:pPr>
        <w:pStyle w:val="Innehll1"/>
        <w:rPr>
          <w:rFonts w:asciiTheme="minorHAnsi" w:eastAsiaTheme="minorEastAsia" w:hAnsiTheme="minorHAnsi" w:cstheme="minorBidi"/>
          <w:noProof/>
          <w:kern w:val="2"/>
          <w14:ligatures w14:val="standardContextual"/>
        </w:rPr>
      </w:pPr>
      <w:hyperlink w:anchor="_Toc190173495" w:history="1">
        <w:r w:rsidRPr="00065B50">
          <w:rPr>
            <w:rStyle w:val="Hyperlnk"/>
            <w:rFonts w:eastAsia="MS Gothic"/>
            <w:noProof/>
          </w:rPr>
          <w:t>Indikation</w:t>
        </w:r>
        <w:r>
          <w:rPr>
            <w:noProof/>
            <w:webHidden/>
          </w:rPr>
          <w:tab/>
        </w:r>
        <w:r>
          <w:rPr>
            <w:noProof/>
            <w:webHidden/>
          </w:rPr>
          <w:fldChar w:fldCharType="begin"/>
        </w:r>
        <w:r>
          <w:rPr>
            <w:noProof/>
            <w:webHidden/>
          </w:rPr>
          <w:instrText xml:space="preserve"> PAGEREF _Toc190173495 \h </w:instrText>
        </w:r>
        <w:r>
          <w:rPr>
            <w:noProof/>
            <w:webHidden/>
          </w:rPr>
        </w:r>
        <w:r>
          <w:rPr>
            <w:noProof/>
            <w:webHidden/>
          </w:rPr>
          <w:fldChar w:fldCharType="separate"/>
        </w:r>
        <w:r>
          <w:rPr>
            <w:noProof/>
            <w:webHidden/>
          </w:rPr>
          <w:t>3</w:t>
        </w:r>
        <w:r>
          <w:rPr>
            <w:noProof/>
            <w:webHidden/>
          </w:rPr>
          <w:fldChar w:fldCharType="end"/>
        </w:r>
      </w:hyperlink>
    </w:p>
    <w:p w14:paraId="085F1924" w14:textId="73BE7DC5" w:rsidR="000A707C" w:rsidRDefault="000A707C">
      <w:pPr>
        <w:pStyle w:val="Innehll1"/>
        <w:rPr>
          <w:rFonts w:asciiTheme="minorHAnsi" w:eastAsiaTheme="minorEastAsia" w:hAnsiTheme="minorHAnsi" w:cstheme="minorBidi"/>
          <w:noProof/>
          <w:kern w:val="2"/>
          <w14:ligatures w14:val="standardContextual"/>
        </w:rPr>
      </w:pPr>
      <w:hyperlink w:anchor="_Toc190173496" w:history="1">
        <w:r w:rsidRPr="00065B50">
          <w:rPr>
            <w:rStyle w:val="Hyperlnk"/>
            <w:rFonts w:eastAsia="MS Gothic"/>
            <w:noProof/>
          </w:rPr>
          <w:t>Kontraindikationer</w:t>
        </w:r>
        <w:r>
          <w:rPr>
            <w:noProof/>
            <w:webHidden/>
          </w:rPr>
          <w:tab/>
        </w:r>
        <w:r>
          <w:rPr>
            <w:noProof/>
            <w:webHidden/>
          </w:rPr>
          <w:fldChar w:fldCharType="begin"/>
        </w:r>
        <w:r>
          <w:rPr>
            <w:noProof/>
            <w:webHidden/>
          </w:rPr>
          <w:instrText xml:space="preserve"> PAGEREF _Toc190173496 \h </w:instrText>
        </w:r>
        <w:r>
          <w:rPr>
            <w:noProof/>
            <w:webHidden/>
          </w:rPr>
        </w:r>
        <w:r>
          <w:rPr>
            <w:noProof/>
            <w:webHidden/>
          </w:rPr>
          <w:fldChar w:fldCharType="separate"/>
        </w:r>
        <w:r>
          <w:rPr>
            <w:noProof/>
            <w:webHidden/>
          </w:rPr>
          <w:t>3</w:t>
        </w:r>
        <w:r>
          <w:rPr>
            <w:noProof/>
            <w:webHidden/>
          </w:rPr>
          <w:fldChar w:fldCharType="end"/>
        </w:r>
      </w:hyperlink>
    </w:p>
    <w:p w14:paraId="43543499" w14:textId="1AC40467" w:rsidR="000A707C" w:rsidRDefault="000A707C">
      <w:pPr>
        <w:pStyle w:val="Innehll1"/>
        <w:rPr>
          <w:rFonts w:asciiTheme="minorHAnsi" w:eastAsiaTheme="minorEastAsia" w:hAnsiTheme="minorHAnsi" w:cstheme="minorBidi"/>
          <w:noProof/>
          <w:kern w:val="2"/>
          <w14:ligatures w14:val="standardContextual"/>
        </w:rPr>
      </w:pPr>
      <w:hyperlink w:anchor="_Toc190173497" w:history="1">
        <w:r w:rsidRPr="00065B50">
          <w:rPr>
            <w:rStyle w:val="Hyperlnk"/>
            <w:rFonts w:eastAsia="MS Gothic"/>
            <w:noProof/>
          </w:rPr>
          <w:t>Läkemedelsinteraktioner</w:t>
        </w:r>
        <w:r>
          <w:rPr>
            <w:noProof/>
            <w:webHidden/>
          </w:rPr>
          <w:tab/>
        </w:r>
        <w:r>
          <w:rPr>
            <w:noProof/>
            <w:webHidden/>
          </w:rPr>
          <w:fldChar w:fldCharType="begin"/>
        </w:r>
        <w:r>
          <w:rPr>
            <w:noProof/>
            <w:webHidden/>
          </w:rPr>
          <w:instrText xml:space="preserve"> PAGEREF _Toc190173497 \h </w:instrText>
        </w:r>
        <w:r>
          <w:rPr>
            <w:noProof/>
            <w:webHidden/>
          </w:rPr>
        </w:r>
        <w:r>
          <w:rPr>
            <w:noProof/>
            <w:webHidden/>
          </w:rPr>
          <w:fldChar w:fldCharType="separate"/>
        </w:r>
        <w:r>
          <w:rPr>
            <w:noProof/>
            <w:webHidden/>
          </w:rPr>
          <w:t>4</w:t>
        </w:r>
        <w:r>
          <w:rPr>
            <w:noProof/>
            <w:webHidden/>
          </w:rPr>
          <w:fldChar w:fldCharType="end"/>
        </w:r>
      </w:hyperlink>
    </w:p>
    <w:p w14:paraId="1072A61B" w14:textId="668A18CF" w:rsidR="000A707C" w:rsidRDefault="000A707C">
      <w:pPr>
        <w:pStyle w:val="Innehll1"/>
        <w:rPr>
          <w:rFonts w:asciiTheme="minorHAnsi" w:eastAsiaTheme="minorEastAsia" w:hAnsiTheme="minorHAnsi" w:cstheme="minorBidi"/>
          <w:noProof/>
          <w:kern w:val="2"/>
          <w14:ligatures w14:val="standardContextual"/>
        </w:rPr>
      </w:pPr>
      <w:hyperlink w:anchor="_Toc190173498" w:history="1">
        <w:r w:rsidRPr="00065B50">
          <w:rPr>
            <w:rStyle w:val="Hyperlnk"/>
            <w:rFonts w:eastAsia="MS Gothic"/>
            <w:noProof/>
          </w:rPr>
          <w:t>Dosering</w:t>
        </w:r>
        <w:r>
          <w:rPr>
            <w:noProof/>
            <w:webHidden/>
          </w:rPr>
          <w:tab/>
        </w:r>
        <w:r>
          <w:rPr>
            <w:noProof/>
            <w:webHidden/>
          </w:rPr>
          <w:fldChar w:fldCharType="begin"/>
        </w:r>
        <w:r>
          <w:rPr>
            <w:noProof/>
            <w:webHidden/>
          </w:rPr>
          <w:instrText xml:space="preserve"> PAGEREF _Toc190173498 \h </w:instrText>
        </w:r>
        <w:r>
          <w:rPr>
            <w:noProof/>
            <w:webHidden/>
          </w:rPr>
        </w:r>
        <w:r>
          <w:rPr>
            <w:noProof/>
            <w:webHidden/>
          </w:rPr>
          <w:fldChar w:fldCharType="separate"/>
        </w:r>
        <w:r>
          <w:rPr>
            <w:noProof/>
            <w:webHidden/>
          </w:rPr>
          <w:t>4</w:t>
        </w:r>
        <w:r>
          <w:rPr>
            <w:noProof/>
            <w:webHidden/>
          </w:rPr>
          <w:fldChar w:fldCharType="end"/>
        </w:r>
      </w:hyperlink>
    </w:p>
    <w:p w14:paraId="195B0917" w14:textId="308C8DC2" w:rsidR="000A707C" w:rsidRDefault="000A707C">
      <w:pPr>
        <w:pStyle w:val="Innehll1"/>
        <w:rPr>
          <w:rFonts w:asciiTheme="minorHAnsi" w:eastAsiaTheme="minorEastAsia" w:hAnsiTheme="minorHAnsi" w:cstheme="minorBidi"/>
          <w:noProof/>
          <w:kern w:val="2"/>
          <w14:ligatures w14:val="standardContextual"/>
        </w:rPr>
      </w:pPr>
      <w:hyperlink w:anchor="_Toc190173499" w:history="1">
        <w:r w:rsidRPr="00065B50">
          <w:rPr>
            <w:rStyle w:val="Hyperlnk"/>
            <w:rFonts w:eastAsia="MS Gothic"/>
            <w:noProof/>
          </w:rPr>
          <w:t>Utredning före behandlingsstart</w:t>
        </w:r>
        <w:r>
          <w:rPr>
            <w:noProof/>
            <w:webHidden/>
          </w:rPr>
          <w:tab/>
        </w:r>
        <w:r>
          <w:rPr>
            <w:noProof/>
            <w:webHidden/>
          </w:rPr>
          <w:fldChar w:fldCharType="begin"/>
        </w:r>
        <w:r>
          <w:rPr>
            <w:noProof/>
            <w:webHidden/>
          </w:rPr>
          <w:instrText xml:space="preserve"> PAGEREF _Toc190173499 \h </w:instrText>
        </w:r>
        <w:r>
          <w:rPr>
            <w:noProof/>
            <w:webHidden/>
          </w:rPr>
        </w:r>
        <w:r>
          <w:rPr>
            <w:noProof/>
            <w:webHidden/>
          </w:rPr>
          <w:fldChar w:fldCharType="separate"/>
        </w:r>
        <w:r>
          <w:rPr>
            <w:noProof/>
            <w:webHidden/>
          </w:rPr>
          <w:t>5</w:t>
        </w:r>
        <w:r>
          <w:rPr>
            <w:noProof/>
            <w:webHidden/>
          </w:rPr>
          <w:fldChar w:fldCharType="end"/>
        </w:r>
      </w:hyperlink>
    </w:p>
    <w:p w14:paraId="5478826F" w14:textId="4D1A9181" w:rsidR="000A707C" w:rsidRDefault="000A707C">
      <w:pPr>
        <w:pStyle w:val="Innehll1"/>
        <w:rPr>
          <w:rFonts w:asciiTheme="minorHAnsi" w:eastAsiaTheme="minorEastAsia" w:hAnsiTheme="minorHAnsi" w:cstheme="minorBidi"/>
          <w:noProof/>
          <w:kern w:val="2"/>
          <w14:ligatures w14:val="standardContextual"/>
        </w:rPr>
      </w:pPr>
      <w:hyperlink w:anchor="_Toc190173500" w:history="1">
        <w:r w:rsidRPr="00065B50">
          <w:rPr>
            <w:rStyle w:val="Hyperlnk"/>
            <w:rFonts w:eastAsia="MS Gothic"/>
            <w:noProof/>
          </w:rPr>
          <w:t>Provtagning</w:t>
        </w:r>
        <w:r>
          <w:rPr>
            <w:noProof/>
            <w:webHidden/>
          </w:rPr>
          <w:tab/>
        </w:r>
        <w:r>
          <w:rPr>
            <w:noProof/>
            <w:webHidden/>
          </w:rPr>
          <w:fldChar w:fldCharType="begin"/>
        </w:r>
        <w:r>
          <w:rPr>
            <w:noProof/>
            <w:webHidden/>
          </w:rPr>
          <w:instrText xml:space="preserve"> PAGEREF _Toc190173500 \h </w:instrText>
        </w:r>
        <w:r>
          <w:rPr>
            <w:noProof/>
            <w:webHidden/>
          </w:rPr>
        </w:r>
        <w:r>
          <w:rPr>
            <w:noProof/>
            <w:webHidden/>
          </w:rPr>
          <w:fldChar w:fldCharType="separate"/>
        </w:r>
        <w:r>
          <w:rPr>
            <w:noProof/>
            <w:webHidden/>
          </w:rPr>
          <w:t>5</w:t>
        </w:r>
        <w:r>
          <w:rPr>
            <w:noProof/>
            <w:webHidden/>
          </w:rPr>
          <w:fldChar w:fldCharType="end"/>
        </w:r>
      </w:hyperlink>
    </w:p>
    <w:p w14:paraId="2E30B651" w14:textId="5ED06B52" w:rsidR="000A707C" w:rsidRDefault="000A707C">
      <w:pPr>
        <w:pStyle w:val="Innehll1"/>
        <w:rPr>
          <w:rFonts w:asciiTheme="minorHAnsi" w:eastAsiaTheme="minorEastAsia" w:hAnsiTheme="minorHAnsi" w:cstheme="minorBidi"/>
          <w:noProof/>
          <w:kern w:val="2"/>
          <w14:ligatures w14:val="standardContextual"/>
        </w:rPr>
      </w:pPr>
      <w:hyperlink w:anchor="_Toc190173501" w:history="1">
        <w:r w:rsidRPr="00065B50">
          <w:rPr>
            <w:rStyle w:val="Hyperlnk"/>
            <w:rFonts w:eastAsia="MS Gothic"/>
            <w:noProof/>
          </w:rPr>
          <w:t>Uppföljning</w:t>
        </w:r>
        <w:r>
          <w:rPr>
            <w:noProof/>
            <w:webHidden/>
          </w:rPr>
          <w:tab/>
        </w:r>
        <w:r>
          <w:rPr>
            <w:noProof/>
            <w:webHidden/>
          </w:rPr>
          <w:fldChar w:fldCharType="begin"/>
        </w:r>
        <w:r>
          <w:rPr>
            <w:noProof/>
            <w:webHidden/>
          </w:rPr>
          <w:instrText xml:space="preserve"> PAGEREF _Toc190173501 \h </w:instrText>
        </w:r>
        <w:r>
          <w:rPr>
            <w:noProof/>
            <w:webHidden/>
          </w:rPr>
        </w:r>
        <w:r>
          <w:rPr>
            <w:noProof/>
            <w:webHidden/>
          </w:rPr>
          <w:fldChar w:fldCharType="separate"/>
        </w:r>
        <w:r>
          <w:rPr>
            <w:noProof/>
            <w:webHidden/>
          </w:rPr>
          <w:t>5</w:t>
        </w:r>
        <w:r>
          <w:rPr>
            <w:noProof/>
            <w:webHidden/>
          </w:rPr>
          <w:fldChar w:fldCharType="end"/>
        </w:r>
      </w:hyperlink>
    </w:p>
    <w:p w14:paraId="1DCEFAAC" w14:textId="1F102FF1" w:rsidR="000A707C" w:rsidRDefault="000A707C">
      <w:pPr>
        <w:pStyle w:val="Innehll1"/>
        <w:rPr>
          <w:rFonts w:asciiTheme="minorHAnsi" w:eastAsiaTheme="minorEastAsia" w:hAnsiTheme="minorHAnsi" w:cstheme="minorBidi"/>
          <w:noProof/>
          <w:kern w:val="2"/>
          <w14:ligatures w14:val="standardContextual"/>
        </w:rPr>
      </w:pPr>
      <w:hyperlink w:anchor="_Toc190173502" w:history="1">
        <w:r w:rsidRPr="00065B50">
          <w:rPr>
            <w:rStyle w:val="Hyperlnk"/>
            <w:rFonts w:eastAsia="MS Gothic"/>
            <w:noProof/>
          </w:rPr>
          <w:t>Biverkningar</w:t>
        </w:r>
        <w:r>
          <w:rPr>
            <w:noProof/>
            <w:webHidden/>
          </w:rPr>
          <w:tab/>
        </w:r>
        <w:r>
          <w:rPr>
            <w:noProof/>
            <w:webHidden/>
          </w:rPr>
          <w:fldChar w:fldCharType="begin"/>
        </w:r>
        <w:r>
          <w:rPr>
            <w:noProof/>
            <w:webHidden/>
          </w:rPr>
          <w:instrText xml:space="preserve"> PAGEREF _Toc190173502 \h </w:instrText>
        </w:r>
        <w:r>
          <w:rPr>
            <w:noProof/>
            <w:webHidden/>
          </w:rPr>
        </w:r>
        <w:r>
          <w:rPr>
            <w:noProof/>
            <w:webHidden/>
          </w:rPr>
          <w:fldChar w:fldCharType="separate"/>
        </w:r>
        <w:r>
          <w:rPr>
            <w:noProof/>
            <w:webHidden/>
          </w:rPr>
          <w:t>6</w:t>
        </w:r>
        <w:r>
          <w:rPr>
            <w:noProof/>
            <w:webHidden/>
          </w:rPr>
          <w:fldChar w:fldCharType="end"/>
        </w:r>
      </w:hyperlink>
    </w:p>
    <w:p w14:paraId="287369A2" w14:textId="5F76577A" w:rsidR="000A707C" w:rsidRDefault="000A707C">
      <w:pPr>
        <w:pStyle w:val="Innehll2"/>
        <w:rPr>
          <w:rFonts w:asciiTheme="minorHAnsi" w:eastAsiaTheme="minorEastAsia" w:hAnsiTheme="minorHAnsi" w:cstheme="minorBidi"/>
          <w:noProof/>
          <w:kern w:val="2"/>
          <w14:ligatures w14:val="standardContextual"/>
        </w:rPr>
      </w:pPr>
      <w:hyperlink w:anchor="_Toc190173503" w:history="1">
        <w:r w:rsidRPr="00065B50">
          <w:rPr>
            <w:rStyle w:val="Hyperlnk"/>
            <w:rFonts w:eastAsia="MS Gothic"/>
            <w:noProof/>
          </w:rPr>
          <w:t>Infektioner</w:t>
        </w:r>
        <w:r>
          <w:rPr>
            <w:noProof/>
            <w:webHidden/>
          </w:rPr>
          <w:tab/>
        </w:r>
        <w:r>
          <w:rPr>
            <w:noProof/>
            <w:webHidden/>
          </w:rPr>
          <w:fldChar w:fldCharType="begin"/>
        </w:r>
        <w:r>
          <w:rPr>
            <w:noProof/>
            <w:webHidden/>
          </w:rPr>
          <w:instrText xml:space="preserve"> PAGEREF _Toc190173503 \h </w:instrText>
        </w:r>
        <w:r>
          <w:rPr>
            <w:noProof/>
            <w:webHidden/>
          </w:rPr>
        </w:r>
        <w:r>
          <w:rPr>
            <w:noProof/>
            <w:webHidden/>
          </w:rPr>
          <w:fldChar w:fldCharType="separate"/>
        </w:r>
        <w:r>
          <w:rPr>
            <w:noProof/>
            <w:webHidden/>
          </w:rPr>
          <w:t>6</w:t>
        </w:r>
        <w:r>
          <w:rPr>
            <w:noProof/>
            <w:webHidden/>
          </w:rPr>
          <w:fldChar w:fldCharType="end"/>
        </w:r>
      </w:hyperlink>
    </w:p>
    <w:p w14:paraId="6EA83AD3" w14:textId="0E2EF095" w:rsidR="000A707C" w:rsidRDefault="000A707C">
      <w:pPr>
        <w:pStyle w:val="Innehll2"/>
        <w:rPr>
          <w:rFonts w:asciiTheme="minorHAnsi" w:eastAsiaTheme="minorEastAsia" w:hAnsiTheme="minorHAnsi" w:cstheme="minorBidi"/>
          <w:noProof/>
          <w:kern w:val="2"/>
          <w14:ligatures w14:val="standardContextual"/>
        </w:rPr>
      </w:pPr>
      <w:hyperlink w:anchor="_Toc190173504" w:history="1">
        <w:r w:rsidRPr="00065B50">
          <w:rPr>
            <w:rStyle w:val="Hyperlnk"/>
            <w:rFonts w:eastAsia="MS Gothic"/>
            <w:noProof/>
          </w:rPr>
          <w:t>Demyeliniserande</w:t>
        </w:r>
        <w:r w:rsidRPr="00065B50">
          <w:rPr>
            <w:rStyle w:val="Hyperlnk"/>
            <w:rFonts w:ascii="Arial" w:eastAsia="MS Gothic" w:hAnsi="Arial" w:cs="Arial"/>
            <w:i/>
            <w:noProof/>
          </w:rPr>
          <w:t xml:space="preserve"> </w:t>
        </w:r>
        <w:r w:rsidRPr="00065B50">
          <w:rPr>
            <w:rStyle w:val="Hyperlnk"/>
            <w:rFonts w:eastAsia="MS Gothic"/>
            <w:noProof/>
          </w:rPr>
          <w:t>sjukdom</w:t>
        </w:r>
        <w:r>
          <w:rPr>
            <w:noProof/>
            <w:webHidden/>
          </w:rPr>
          <w:tab/>
        </w:r>
        <w:r>
          <w:rPr>
            <w:noProof/>
            <w:webHidden/>
          </w:rPr>
          <w:fldChar w:fldCharType="begin"/>
        </w:r>
        <w:r>
          <w:rPr>
            <w:noProof/>
            <w:webHidden/>
          </w:rPr>
          <w:instrText xml:space="preserve"> PAGEREF _Toc190173504 \h </w:instrText>
        </w:r>
        <w:r>
          <w:rPr>
            <w:noProof/>
            <w:webHidden/>
          </w:rPr>
        </w:r>
        <w:r>
          <w:rPr>
            <w:noProof/>
            <w:webHidden/>
          </w:rPr>
          <w:fldChar w:fldCharType="separate"/>
        </w:r>
        <w:r>
          <w:rPr>
            <w:noProof/>
            <w:webHidden/>
          </w:rPr>
          <w:t>6</w:t>
        </w:r>
        <w:r>
          <w:rPr>
            <w:noProof/>
            <w:webHidden/>
          </w:rPr>
          <w:fldChar w:fldCharType="end"/>
        </w:r>
      </w:hyperlink>
    </w:p>
    <w:p w14:paraId="46E59BBA" w14:textId="2FFD2F08" w:rsidR="000A707C" w:rsidRDefault="000A707C">
      <w:pPr>
        <w:pStyle w:val="Innehll2"/>
        <w:rPr>
          <w:rFonts w:asciiTheme="minorHAnsi" w:eastAsiaTheme="minorEastAsia" w:hAnsiTheme="minorHAnsi" w:cstheme="minorBidi"/>
          <w:noProof/>
          <w:kern w:val="2"/>
          <w14:ligatures w14:val="standardContextual"/>
        </w:rPr>
      </w:pPr>
      <w:hyperlink w:anchor="_Toc190173505" w:history="1">
        <w:r w:rsidRPr="00065B50">
          <w:rPr>
            <w:rStyle w:val="Hyperlnk"/>
            <w:rFonts w:eastAsia="MS Gothic"/>
            <w:noProof/>
          </w:rPr>
          <w:t>Biverkningar vid injektion/infusion</w:t>
        </w:r>
        <w:r>
          <w:rPr>
            <w:noProof/>
            <w:webHidden/>
          </w:rPr>
          <w:tab/>
        </w:r>
        <w:r>
          <w:rPr>
            <w:noProof/>
            <w:webHidden/>
          </w:rPr>
          <w:fldChar w:fldCharType="begin"/>
        </w:r>
        <w:r>
          <w:rPr>
            <w:noProof/>
            <w:webHidden/>
          </w:rPr>
          <w:instrText xml:space="preserve"> PAGEREF _Toc190173505 \h </w:instrText>
        </w:r>
        <w:r>
          <w:rPr>
            <w:noProof/>
            <w:webHidden/>
          </w:rPr>
        </w:r>
        <w:r>
          <w:rPr>
            <w:noProof/>
            <w:webHidden/>
          </w:rPr>
          <w:fldChar w:fldCharType="separate"/>
        </w:r>
        <w:r>
          <w:rPr>
            <w:noProof/>
            <w:webHidden/>
          </w:rPr>
          <w:t>6</w:t>
        </w:r>
        <w:r>
          <w:rPr>
            <w:noProof/>
            <w:webHidden/>
          </w:rPr>
          <w:fldChar w:fldCharType="end"/>
        </w:r>
      </w:hyperlink>
    </w:p>
    <w:p w14:paraId="7193F7C6" w14:textId="75DF4C0B" w:rsidR="000A707C" w:rsidRDefault="000A707C">
      <w:pPr>
        <w:pStyle w:val="Innehll2"/>
        <w:rPr>
          <w:rFonts w:asciiTheme="minorHAnsi" w:eastAsiaTheme="minorEastAsia" w:hAnsiTheme="minorHAnsi" w:cstheme="minorBidi"/>
          <w:noProof/>
          <w:kern w:val="2"/>
          <w14:ligatures w14:val="standardContextual"/>
        </w:rPr>
      </w:pPr>
      <w:hyperlink w:anchor="_Toc190173506" w:history="1">
        <w:r w:rsidRPr="00065B50">
          <w:rPr>
            <w:rStyle w:val="Hyperlnk"/>
            <w:rFonts w:eastAsia="MS Gothic"/>
            <w:noProof/>
          </w:rPr>
          <w:t>Maligniteter</w:t>
        </w:r>
        <w:r>
          <w:rPr>
            <w:noProof/>
            <w:webHidden/>
          </w:rPr>
          <w:tab/>
        </w:r>
        <w:r>
          <w:rPr>
            <w:noProof/>
            <w:webHidden/>
          </w:rPr>
          <w:fldChar w:fldCharType="begin"/>
        </w:r>
        <w:r>
          <w:rPr>
            <w:noProof/>
            <w:webHidden/>
          </w:rPr>
          <w:instrText xml:space="preserve"> PAGEREF _Toc190173506 \h </w:instrText>
        </w:r>
        <w:r>
          <w:rPr>
            <w:noProof/>
            <w:webHidden/>
          </w:rPr>
        </w:r>
        <w:r>
          <w:rPr>
            <w:noProof/>
            <w:webHidden/>
          </w:rPr>
          <w:fldChar w:fldCharType="separate"/>
        </w:r>
        <w:r>
          <w:rPr>
            <w:noProof/>
            <w:webHidden/>
          </w:rPr>
          <w:t>6</w:t>
        </w:r>
        <w:r>
          <w:rPr>
            <w:noProof/>
            <w:webHidden/>
          </w:rPr>
          <w:fldChar w:fldCharType="end"/>
        </w:r>
      </w:hyperlink>
    </w:p>
    <w:p w14:paraId="54955287" w14:textId="23DB34B3" w:rsidR="000A707C" w:rsidRDefault="000A707C">
      <w:pPr>
        <w:pStyle w:val="Innehll2"/>
        <w:rPr>
          <w:rFonts w:asciiTheme="minorHAnsi" w:eastAsiaTheme="minorEastAsia" w:hAnsiTheme="minorHAnsi" w:cstheme="minorBidi"/>
          <w:noProof/>
          <w:kern w:val="2"/>
          <w14:ligatures w14:val="standardContextual"/>
        </w:rPr>
      </w:pPr>
      <w:hyperlink w:anchor="_Toc190173507" w:history="1">
        <w:r w:rsidRPr="00065B50">
          <w:rPr>
            <w:rStyle w:val="Hyperlnk"/>
            <w:rFonts w:eastAsia="MS Gothic"/>
            <w:noProof/>
          </w:rPr>
          <w:t>Hjärtsvikt</w:t>
        </w:r>
        <w:r>
          <w:rPr>
            <w:noProof/>
            <w:webHidden/>
          </w:rPr>
          <w:tab/>
        </w:r>
        <w:r>
          <w:rPr>
            <w:noProof/>
            <w:webHidden/>
          </w:rPr>
          <w:fldChar w:fldCharType="begin"/>
        </w:r>
        <w:r>
          <w:rPr>
            <w:noProof/>
            <w:webHidden/>
          </w:rPr>
          <w:instrText xml:space="preserve"> PAGEREF _Toc190173507 \h </w:instrText>
        </w:r>
        <w:r>
          <w:rPr>
            <w:noProof/>
            <w:webHidden/>
          </w:rPr>
        </w:r>
        <w:r>
          <w:rPr>
            <w:noProof/>
            <w:webHidden/>
          </w:rPr>
          <w:fldChar w:fldCharType="separate"/>
        </w:r>
        <w:r>
          <w:rPr>
            <w:noProof/>
            <w:webHidden/>
          </w:rPr>
          <w:t>6</w:t>
        </w:r>
        <w:r>
          <w:rPr>
            <w:noProof/>
            <w:webHidden/>
          </w:rPr>
          <w:fldChar w:fldCharType="end"/>
        </w:r>
      </w:hyperlink>
    </w:p>
    <w:p w14:paraId="7F8BD896" w14:textId="4BF98762" w:rsidR="000A707C" w:rsidRDefault="000A707C">
      <w:pPr>
        <w:pStyle w:val="Innehll1"/>
        <w:rPr>
          <w:rFonts w:asciiTheme="minorHAnsi" w:eastAsiaTheme="minorEastAsia" w:hAnsiTheme="minorHAnsi" w:cstheme="minorBidi"/>
          <w:noProof/>
          <w:kern w:val="2"/>
          <w14:ligatures w14:val="standardContextual"/>
        </w:rPr>
      </w:pPr>
      <w:hyperlink w:anchor="_Toc190173508" w:history="1">
        <w:r w:rsidRPr="00065B50">
          <w:rPr>
            <w:rStyle w:val="Hyperlnk"/>
            <w:rFonts w:eastAsia="MS Gothic"/>
            <w:noProof/>
          </w:rPr>
          <w:t>Operationer</w:t>
        </w:r>
        <w:r>
          <w:rPr>
            <w:noProof/>
            <w:webHidden/>
          </w:rPr>
          <w:tab/>
        </w:r>
        <w:r>
          <w:rPr>
            <w:noProof/>
            <w:webHidden/>
          </w:rPr>
          <w:fldChar w:fldCharType="begin"/>
        </w:r>
        <w:r>
          <w:rPr>
            <w:noProof/>
            <w:webHidden/>
          </w:rPr>
          <w:instrText xml:space="preserve"> PAGEREF _Toc190173508 \h </w:instrText>
        </w:r>
        <w:r>
          <w:rPr>
            <w:noProof/>
            <w:webHidden/>
          </w:rPr>
        </w:r>
        <w:r>
          <w:rPr>
            <w:noProof/>
            <w:webHidden/>
          </w:rPr>
          <w:fldChar w:fldCharType="separate"/>
        </w:r>
        <w:r>
          <w:rPr>
            <w:noProof/>
            <w:webHidden/>
          </w:rPr>
          <w:t>7</w:t>
        </w:r>
        <w:r>
          <w:rPr>
            <w:noProof/>
            <w:webHidden/>
          </w:rPr>
          <w:fldChar w:fldCharType="end"/>
        </w:r>
      </w:hyperlink>
    </w:p>
    <w:p w14:paraId="3300E0A3" w14:textId="756538A4" w:rsidR="000A707C" w:rsidRDefault="000A707C">
      <w:pPr>
        <w:pStyle w:val="Innehll1"/>
        <w:rPr>
          <w:rFonts w:asciiTheme="minorHAnsi" w:eastAsiaTheme="minorEastAsia" w:hAnsiTheme="minorHAnsi" w:cstheme="minorBidi"/>
          <w:noProof/>
          <w:kern w:val="2"/>
          <w14:ligatures w14:val="standardContextual"/>
        </w:rPr>
      </w:pPr>
      <w:hyperlink w:anchor="_Toc190173509" w:history="1">
        <w:r w:rsidRPr="00065B50">
          <w:rPr>
            <w:rStyle w:val="Hyperlnk"/>
            <w:rFonts w:eastAsia="MS Gothic"/>
            <w:noProof/>
          </w:rPr>
          <w:t>Vaccinationer</w:t>
        </w:r>
        <w:r>
          <w:rPr>
            <w:noProof/>
            <w:webHidden/>
          </w:rPr>
          <w:tab/>
        </w:r>
        <w:r>
          <w:rPr>
            <w:noProof/>
            <w:webHidden/>
          </w:rPr>
          <w:fldChar w:fldCharType="begin"/>
        </w:r>
        <w:r>
          <w:rPr>
            <w:noProof/>
            <w:webHidden/>
          </w:rPr>
          <w:instrText xml:space="preserve"> PAGEREF _Toc190173509 \h </w:instrText>
        </w:r>
        <w:r>
          <w:rPr>
            <w:noProof/>
            <w:webHidden/>
          </w:rPr>
        </w:r>
        <w:r>
          <w:rPr>
            <w:noProof/>
            <w:webHidden/>
          </w:rPr>
          <w:fldChar w:fldCharType="separate"/>
        </w:r>
        <w:r>
          <w:rPr>
            <w:noProof/>
            <w:webHidden/>
          </w:rPr>
          <w:t>7</w:t>
        </w:r>
        <w:r>
          <w:rPr>
            <w:noProof/>
            <w:webHidden/>
          </w:rPr>
          <w:fldChar w:fldCharType="end"/>
        </w:r>
      </w:hyperlink>
    </w:p>
    <w:p w14:paraId="43B6A7A7" w14:textId="1FE091F4" w:rsidR="000A707C" w:rsidRDefault="000A707C">
      <w:pPr>
        <w:pStyle w:val="Innehll1"/>
        <w:rPr>
          <w:rFonts w:asciiTheme="minorHAnsi" w:eastAsiaTheme="minorEastAsia" w:hAnsiTheme="minorHAnsi" w:cstheme="minorBidi"/>
          <w:noProof/>
          <w:kern w:val="2"/>
          <w14:ligatures w14:val="standardContextual"/>
        </w:rPr>
      </w:pPr>
      <w:hyperlink w:anchor="_Toc190173510" w:history="1">
        <w:r w:rsidRPr="00065B50">
          <w:rPr>
            <w:rStyle w:val="Hyperlnk"/>
            <w:rFonts w:eastAsia="MS Gothic"/>
            <w:noProof/>
          </w:rPr>
          <w:t>Tandvård</w:t>
        </w:r>
        <w:r>
          <w:rPr>
            <w:noProof/>
            <w:webHidden/>
          </w:rPr>
          <w:tab/>
        </w:r>
        <w:r>
          <w:rPr>
            <w:noProof/>
            <w:webHidden/>
          </w:rPr>
          <w:fldChar w:fldCharType="begin"/>
        </w:r>
        <w:r>
          <w:rPr>
            <w:noProof/>
            <w:webHidden/>
          </w:rPr>
          <w:instrText xml:space="preserve"> PAGEREF _Toc190173510 \h </w:instrText>
        </w:r>
        <w:r>
          <w:rPr>
            <w:noProof/>
            <w:webHidden/>
          </w:rPr>
        </w:r>
        <w:r>
          <w:rPr>
            <w:noProof/>
            <w:webHidden/>
          </w:rPr>
          <w:fldChar w:fldCharType="separate"/>
        </w:r>
        <w:r>
          <w:rPr>
            <w:noProof/>
            <w:webHidden/>
          </w:rPr>
          <w:t>8</w:t>
        </w:r>
        <w:r>
          <w:rPr>
            <w:noProof/>
            <w:webHidden/>
          </w:rPr>
          <w:fldChar w:fldCharType="end"/>
        </w:r>
      </w:hyperlink>
    </w:p>
    <w:p w14:paraId="514A94B9" w14:textId="7CCF1856" w:rsidR="000A707C" w:rsidRDefault="000A707C">
      <w:pPr>
        <w:pStyle w:val="Innehll1"/>
        <w:rPr>
          <w:rFonts w:asciiTheme="minorHAnsi" w:eastAsiaTheme="minorEastAsia" w:hAnsiTheme="minorHAnsi" w:cstheme="minorBidi"/>
          <w:noProof/>
          <w:kern w:val="2"/>
          <w14:ligatures w14:val="standardContextual"/>
        </w:rPr>
      </w:pPr>
      <w:hyperlink w:anchor="_Toc190173511" w:history="1">
        <w:r w:rsidRPr="00065B50">
          <w:rPr>
            <w:rStyle w:val="Hyperlnk"/>
            <w:rFonts w:eastAsia="MS Gothic"/>
            <w:noProof/>
          </w:rPr>
          <w:t>Graviditet och amning</w:t>
        </w:r>
        <w:r>
          <w:rPr>
            <w:noProof/>
            <w:webHidden/>
          </w:rPr>
          <w:tab/>
        </w:r>
        <w:r>
          <w:rPr>
            <w:noProof/>
            <w:webHidden/>
          </w:rPr>
          <w:fldChar w:fldCharType="begin"/>
        </w:r>
        <w:r>
          <w:rPr>
            <w:noProof/>
            <w:webHidden/>
          </w:rPr>
          <w:instrText xml:space="preserve"> PAGEREF _Toc190173511 \h </w:instrText>
        </w:r>
        <w:r>
          <w:rPr>
            <w:noProof/>
            <w:webHidden/>
          </w:rPr>
        </w:r>
        <w:r>
          <w:rPr>
            <w:noProof/>
            <w:webHidden/>
          </w:rPr>
          <w:fldChar w:fldCharType="separate"/>
        </w:r>
        <w:r>
          <w:rPr>
            <w:noProof/>
            <w:webHidden/>
          </w:rPr>
          <w:t>8</w:t>
        </w:r>
        <w:r>
          <w:rPr>
            <w:noProof/>
            <w:webHidden/>
          </w:rPr>
          <w:fldChar w:fldCharType="end"/>
        </w:r>
      </w:hyperlink>
    </w:p>
    <w:p w14:paraId="35385BFE" w14:textId="1146069D" w:rsidR="000A707C" w:rsidRDefault="000A707C">
      <w:pPr>
        <w:pStyle w:val="Innehll2"/>
        <w:rPr>
          <w:rFonts w:asciiTheme="minorHAnsi" w:eastAsiaTheme="minorEastAsia" w:hAnsiTheme="minorHAnsi" w:cstheme="minorBidi"/>
          <w:noProof/>
          <w:kern w:val="2"/>
          <w14:ligatures w14:val="standardContextual"/>
        </w:rPr>
      </w:pPr>
      <w:hyperlink w:anchor="_Toc190173512" w:history="1">
        <w:r w:rsidRPr="00065B50">
          <w:rPr>
            <w:rStyle w:val="Hyperlnk"/>
            <w:rFonts w:eastAsia="MS Gothic"/>
            <w:noProof/>
          </w:rPr>
          <w:t>Optimering av behandling med biologiska läkemedel</w:t>
        </w:r>
        <w:r>
          <w:rPr>
            <w:noProof/>
            <w:webHidden/>
          </w:rPr>
          <w:tab/>
        </w:r>
        <w:r>
          <w:rPr>
            <w:noProof/>
            <w:webHidden/>
          </w:rPr>
          <w:fldChar w:fldCharType="begin"/>
        </w:r>
        <w:r>
          <w:rPr>
            <w:noProof/>
            <w:webHidden/>
          </w:rPr>
          <w:instrText xml:space="preserve"> PAGEREF _Toc190173512 \h </w:instrText>
        </w:r>
        <w:r>
          <w:rPr>
            <w:noProof/>
            <w:webHidden/>
          </w:rPr>
        </w:r>
        <w:r>
          <w:rPr>
            <w:noProof/>
            <w:webHidden/>
          </w:rPr>
          <w:fldChar w:fldCharType="separate"/>
        </w:r>
        <w:r>
          <w:rPr>
            <w:noProof/>
            <w:webHidden/>
          </w:rPr>
          <w:t>9</w:t>
        </w:r>
        <w:r>
          <w:rPr>
            <w:noProof/>
            <w:webHidden/>
          </w:rPr>
          <w:fldChar w:fldCharType="end"/>
        </w:r>
      </w:hyperlink>
    </w:p>
    <w:p w14:paraId="4E2DF07F" w14:textId="7B024720" w:rsidR="000A707C" w:rsidRDefault="000A707C">
      <w:pPr>
        <w:pStyle w:val="Innehll1"/>
        <w:rPr>
          <w:rFonts w:asciiTheme="minorHAnsi" w:eastAsiaTheme="minorEastAsia" w:hAnsiTheme="minorHAnsi" w:cstheme="minorBidi"/>
          <w:noProof/>
          <w:kern w:val="2"/>
          <w14:ligatures w14:val="standardContextual"/>
        </w:rPr>
      </w:pPr>
      <w:hyperlink w:anchor="_Toc190173513" w:history="1">
        <w:r w:rsidRPr="00065B50">
          <w:rPr>
            <w:rStyle w:val="Hyperlnk"/>
            <w:rFonts w:eastAsia="MS Gothic"/>
            <w:noProof/>
          </w:rPr>
          <w:t>Ansvar</w:t>
        </w:r>
        <w:r>
          <w:rPr>
            <w:noProof/>
            <w:webHidden/>
          </w:rPr>
          <w:tab/>
        </w:r>
        <w:r>
          <w:rPr>
            <w:noProof/>
            <w:webHidden/>
          </w:rPr>
          <w:fldChar w:fldCharType="begin"/>
        </w:r>
        <w:r>
          <w:rPr>
            <w:noProof/>
            <w:webHidden/>
          </w:rPr>
          <w:instrText xml:space="preserve"> PAGEREF _Toc190173513 \h </w:instrText>
        </w:r>
        <w:r>
          <w:rPr>
            <w:noProof/>
            <w:webHidden/>
          </w:rPr>
        </w:r>
        <w:r>
          <w:rPr>
            <w:noProof/>
            <w:webHidden/>
          </w:rPr>
          <w:fldChar w:fldCharType="separate"/>
        </w:r>
        <w:r>
          <w:rPr>
            <w:noProof/>
            <w:webHidden/>
          </w:rPr>
          <w:t>10</w:t>
        </w:r>
        <w:r>
          <w:rPr>
            <w:noProof/>
            <w:webHidden/>
          </w:rPr>
          <w:fldChar w:fldCharType="end"/>
        </w:r>
      </w:hyperlink>
    </w:p>
    <w:p w14:paraId="53700E14" w14:textId="67B9760E" w:rsidR="000A707C" w:rsidRDefault="000A707C">
      <w:pPr>
        <w:pStyle w:val="Innehll2"/>
        <w:rPr>
          <w:rFonts w:asciiTheme="minorHAnsi" w:eastAsiaTheme="minorEastAsia" w:hAnsiTheme="minorHAnsi" w:cstheme="minorBidi"/>
          <w:noProof/>
          <w:kern w:val="2"/>
          <w14:ligatures w14:val="standardContextual"/>
        </w:rPr>
      </w:pPr>
      <w:hyperlink w:anchor="_Toc190173514" w:history="1">
        <w:r w:rsidRPr="00065B50">
          <w:rPr>
            <w:rStyle w:val="Hyperlnk"/>
            <w:rFonts w:eastAsia="MS Gothic"/>
            <w:noProof/>
          </w:rPr>
          <w:t>Uppföljning, utvärdering och revision</w:t>
        </w:r>
        <w:r>
          <w:rPr>
            <w:noProof/>
            <w:webHidden/>
          </w:rPr>
          <w:tab/>
        </w:r>
        <w:r>
          <w:rPr>
            <w:noProof/>
            <w:webHidden/>
          </w:rPr>
          <w:fldChar w:fldCharType="begin"/>
        </w:r>
        <w:r>
          <w:rPr>
            <w:noProof/>
            <w:webHidden/>
          </w:rPr>
          <w:instrText xml:space="preserve"> PAGEREF _Toc190173514 \h </w:instrText>
        </w:r>
        <w:r>
          <w:rPr>
            <w:noProof/>
            <w:webHidden/>
          </w:rPr>
        </w:r>
        <w:r>
          <w:rPr>
            <w:noProof/>
            <w:webHidden/>
          </w:rPr>
          <w:fldChar w:fldCharType="separate"/>
        </w:r>
        <w:r>
          <w:rPr>
            <w:noProof/>
            <w:webHidden/>
          </w:rPr>
          <w:t>11</w:t>
        </w:r>
        <w:r>
          <w:rPr>
            <w:noProof/>
            <w:webHidden/>
          </w:rPr>
          <w:fldChar w:fldCharType="end"/>
        </w:r>
      </w:hyperlink>
    </w:p>
    <w:p w14:paraId="0CD8FC38" w14:textId="51510FE0" w:rsidR="000A707C" w:rsidRDefault="000A707C">
      <w:pPr>
        <w:pStyle w:val="Innehll1"/>
        <w:rPr>
          <w:rFonts w:asciiTheme="minorHAnsi" w:eastAsiaTheme="minorEastAsia" w:hAnsiTheme="minorHAnsi" w:cstheme="minorBidi"/>
          <w:noProof/>
          <w:kern w:val="2"/>
          <w14:ligatures w14:val="standardContextual"/>
        </w:rPr>
      </w:pPr>
      <w:hyperlink w:anchor="_Toc190173515" w:history="1">
        <w:r w:rsidRPr="00065B50">
          <w:rPr>
            <w:rStyle w:val="Hyperlnk"/>
            <w:rFonts w:eastAsia="MS Gothic"/>
            <w:noProof/>
          </w:rPr>
          <w:t>Relaterad information</w:t>
        </w:r>
        <w:r>
          <w:rPr>
            <w:noProof/>
            <w:webHidden/>
          </w:rPr>
          <w:tab/>
        </w:r>
        <w:r>
          <w:rPr>
            <w:noProof/>
            <w:webHidden/>
          </w:rPr>
          <w:fldChar w:fldCharType="begin"/>
        </w:r>
        <w:r>
          <w:rPr>
            <w:noProof/>
            <w:webHidden/>
          </w:rPr>
          <w:instrText xml:space="preserve"> PAGEREF _Toc190173515 \h </w:instrText>
        </w:r>
        <w:r>
          <w:rPr>
            <w:noProof/>
            <w:webHidden/>
          </w:rPr>
        </w:r>
        <w:r>
          <w:rPr>
            <w:noProof/>
            <w:webHidden/>
          </w:rPr>
          <w:fldChar w:fldCharType="separate"/>
        </w:r>
        <w:r>
          <w:rPr>
            <w:noProof/>
            <w:webHidden/>
          </w:rPr>
          <w:t>11</w:t>
        </w:r>
        <w:r>
          <w:rPr>
            <w:noProof/>
            <w:webHidden/>
          </w:rPr>
          <w:fldChar w:fldCharType="end"/>
        </w:r>
      </w:hyperlink>
    </w:p>
    <w:p w14:paraId="7B50B9D8" w14:textId="217DAB8B" w:rsidR="000A707C" w:rsidRDefault="000A707C">
      <w:pPr>
        <w:pStyle w:val="Innehll1"/>
        <w:rPr>
          <w:rFonts w:asciiTheme="minorHAnsi" w:eastAsiaTheme="minorEastAsia" w:hAnsiTheme="minorHAnsi" w:cstheme="minorBidi"/>
          <w:noProof/>
          <w:kern w:val="2"/>
          <w14:ligatures w14:val="standardContextual"/>
        </w:rPr>
      </w:pPr>
      <w:hyperlink w:anchor="_Toc190173516" w:history="1">
        <w:r w:rsidRPr="00065B50">
          <w:rPr>
            <w:rStyle w:val="Hyperlnk"/>
            <w:rFonts w:eastAsia="MS Gothic"/>
            <w:noProof/>
          </w:rPr>
          <w:t>Källförteckning</w:t>
        </w:r>
        <w:r>
          <w:rPr>
            <w:noProof/>
            <w:webHidden/>
          </w:rPr>
          <w:tab/>
        </w:r>
        <w:r>
          <w:rPr>
            <w:noProof/>
            <w:webHidden/>
          </w:rPr>
          <w:fldChar w:fldCharType="begin"/>
        </w:r>
        <w:r>
          <w:rPr>
            <w:noProof/>
            <w:webHidden/>
          </w:rPr>
          <w:instrText xml:space="preserve"> PAGEREF _Toc190173516 \h </w:instrText>
        </w:r>
        <w:r>
          <w:rPr>
            <w:noProof/>
            <w:webHidden/>
          </w:rPr>
        </w:r>
        <w:r>
          <w:rPr>
            <w:noProof/>
            <w:webHidden/>
          </w:rPr>
          <w:fldChar w:fldCharType="separate"/>
        </w:r>
        <w:r>
          <w:rPr>
            <w:noProof/>
            <w:webHidden/>
          </w:rPr>
          <w:t>11</w:t>
        </w:r>
        <w:r>
          <w:rPr>
            <w:noProof/>
            <w:webHidden/>
          </w:rPr>
          <w:fldChar w:fldCharType="end"/>
        </w:r>
      </w:hyperlink>
    </w:p>
    <w:p w14:paraId="62F69AF0" w14:textId="742D5AE8" w:rsidR="000A707C" w:rsidRDefault="000A707C">
      <w:pPr>
        <w:pStyle w:val="Innehll2"/>
        <w:rPr>
          <w:rFonts w:asciiTheme="minorHAnsi" w:eastAsiaTheme="minorEastAsia" w:hAnsiTheme="minorHAnsi" w:cstheme="minorBidi"/>
          <w:noProof/>
          <w:kern w:val="2"/>
          <w14:ligatures w14:val="standardContextual"/>
        </w:rPr>
      </w:pPr>
      <w:hyperlink w:anchor="_Toc190173517" w:history="1">
        <w:r w:rsidRPr="00065B50">
          <w:rPr>
            <w:rStyle w:val="Hyperlnk"/>
            <w:rFonts w:eastAsia="MS Gothic"/>
            <w:noProof/>
          </w:rPr>
          <w:t>Arbetsgrupp</w:t>
        </w:r>
        <w:r>
          <w:rPr>
            <w:noProof/>
            <w:webHidden/>
          </w:rPr>
          <w:tab/>
        </w:r>
        <w:r>
          <w:rPr>
            <w:noProof/>
            <w:webHidden/>
          </w:rPr>
          <w:fldChar w:fldCharType="begin"/>
        </w:r>
        <w:r>
          <w:rPr>
            <w:noProof/>
            <w:webHidden/>
          </w:rPr>
          <w:instrText xml:space="preserve"> PAGEREF _Toc190173517 \h </w:instrText>
        </w:r>
        <w:r>
          <w:rPr>
            <w:noProof/>
            <w:webHidden/>
          </w:rPr>
        </w:r>
        <w:r>
          <w:rPr>
            <w:noProof/>
            <w:webHidden/>
          </w:rPr>
          <w:fldChar w:fldCharType="separate"/>
        </w:r>
        <w:r>
          <w:rPr>
            <w:noProof/>
            <w:webHidden/>
          </w:rPr>
          <w:t>12</w:t>
        </w:r>
        <w:r>
          <w:rPr>
            <w:noProof/>
            <w:webHidden/>
          </w:rPr>
          <w:fldChar w:fldCharType="end"/>
        </w:r>
      </w:hyperlink>
    </w:p>
    <w:p w14:paraId="77B0F2E0" w14:textId="29A2D29D" w:rsidR="006363C3" w:rsidRDefault="006363C3" w:rsidP="006363C3">
      <w:pPr>
        <w:pStyle w:val="Rubrik2"/>
        <w:ind w:left="567" w:right="-143"/>
      </w:pPr>
      <w:r>
        <w:rPr>
          <w:rStyle w:val="Hyperlnk"/>
          <w:rFonts w:ascii="Times New Roman" w:eastAsia="Times New Roman" w:hAnsi="Times New Roman" w:cs="Times New Roman"/>
          <w:bCs w:val="0"/>
          <w:sz w:val="24"/>
          <w:szCs w:val="24"/>
        </w:rPr>
        <w:fldChar w:fldCharType="end"/>
      </w:r>
      <w:bookmarkStart w:id="2" w:name="_Toc190173493"/>
      <w:r>
        <w:t>Bakgrund och syfte</w:t>
      </w:r>
      <w:bookmarkStart w:id="3" w:name="_Toc72840807"/>
      <w:bookmarkEnd w:id="2"/>
      <w:r>
        <w:t xml:space="preserve"> </w:t>
      </w:r>
      <w:bookmarkEnd w:id="3"/>
    </w:p>
    <w:p w14:paraId="009D9284" w14:textId="3DDE162F" w:rsidR="008056D1" w:rsidRDefault="00835CA4" w:rsidP="6014BC4C">
      <w:pPr>
        <w:ind w:left="567" w:right="-143"/>
      </w:pPr>
      <w:r>
        <w:t>Behandlingsinstruktioner för behandling av psoriasis med biologiska läkemedel.</w:t>
      </w:r>
    </w:p>
    <w:p w14:paraId="4578687A" w14:textId="380A7000" w:rsidR="00010EB8" w:rsidRPr="00736E87" w:rsidRDefault="00010EB8" w:rsidP="00736E87">
      <w:pPr>
        <w:pStyle w:val="Rubrik2"/>
        <w:ind w:left="567"/>
      </w:pPr>
      <w:bookmarkStart w:id="4" w:name="_Toc190173494"/>
      <w:r w:rsidRPr="00736E87">
        <w:rPr>
          <w:rStyle w:val="Rubrik3Char"/>
          <w:bCs/>
          <w:sz w:val="40"/>
          <w:szCs w:val="26"/>
        </w:rPr>
        <w:t>Läkemedel</w:t>
      </w:r>
      <w:bookmarkEnd w:id="4"/>
    </w:p>
    <w:p w14:paraId="4EC80882" w14:textId="35657600" w:rsidR="00737ACC" w:rsidRPr="00883D9E" w:rsidRDefault="00737ACC" w:rsidP="00185023">
      <w:pPr>
        <w:pStyle w:val="MellanrubrikVGR"/>
        <w:spacing w:after="0"/>
        <w:ind w:left="0" w:right="-2" w:firstLine="567"/>
        <w:rPr>
          <w:color w:val="auto"/>
        </w:rPr>
      </w:pPr>
      <w:r w:rsidRPr="00282BB8">
        <w:t>TNF-ALFA-HÄMMARE</w:t>
      </w:r>
    </w:p>
    <w:p w14:paraId="6AFB43BB" w14:textId="2FDBEFBC" w:rsidR="00737ACC" w:rsidRPr="00737ACC" w:rsidRDefault="00737ACC" w:rsidP="00DA36C4">
      <w:pPr>
        <w:pStyle w:val="Punktlista"/>
        <w:ind w:left="993" w:right="-2"/>
      </w:pPr>
      <w:r w:rsidRPr="00010EB8">
        <w:rPr>
          <w:b/>
          <w:bCs/>
        </w:rPr>
        <w:t xml:space="preserve">Etanercept (Enbrel, Benepali, </w:t>
      </w:r>
      <w:proofErr w:type="spellStart"/>
      <w:r w:rsidRPr="00010EB8">
        <w:rPr>
          <w:b/>
          <w:bCs/>
        </w:rPr>
        <w:t>Erelzi</w:t>
      </w:r>
      <w:proofErr w:type="spellEnd"/>
      <w:r w:rsidRPr="00010EB8">
        <w:rPr>
          <w:b/>
          <w:bCs/>
        </w:rPr>
        <w:t>)</w:t>
      </w:r>
      <w:r w:rsidRPr="00737ACC">
        <w:br/>
      </w:r>
      <w:proofErr w:type="spellStart"/>
      <w:r w:rsidRPr="00737ACC">
        <w:t>Inj</w:t>
      </w:r>
      <w:proofErr w:type="spellEnd"/>
      <w:r w:rsidRPr="00737ACC">
        <w:t xml:space="preserve">. </w:t>
      </w:r>
      <w:proofErr w:type="spellStart"/>
      <w:r w:rsidR="00907F88">
        <w:t>förfylld</w:t>
      </w:r>
      <w:proofErr w:type="spellEnd"/>
      <w:r w:rsidRPr="00737ACC">
        <w:t xml:space="preserve"> spruta 25 mg och 50 mg </w:t>
      </w:r>
      <w:proofErr w:type="spellStart"/>
      <w:r w:rsidRPr="00737ACC">
        <w:t>s.c</w:t>
      </w:r>
      <w:proofErr w:type="spellEnd"/>
      <w:r w:rsidRPr="00737ACC">
        <w:t xml:space="preserve">. </w:t>
      </w:r>
      <w:r w:rsidRPr="00737ACC">
        <w:br/>
      </w:r>
      <w:proofErr w:type="spellStart"/>
      <w:r w:rsidRPr="00737ACC">
        <w:t>Inj</w:t>
      </w:r>
      <w:proofErr w:type="spellEnd"/>
      <w:r w:rsidRPr="00737ACC">
        <w:t xml:space="preserve">. </w:t>
      </w:r>
      <w:proofErr w:type="spellStart"/>
      <w:r w:rsidR="00907F88">
        <w:t>förfylld</w:t>
      </w:r>
      <w:proofErr w:type="spellEnd"/>
      <w:r w:rsidRPr="00737ACC">
        <w:t xml:space="preserve"> injektionspenna 50 mg </w:t>
      </w:r>
      <w:proofErr w:type="spellStart"/>
      <w:r w:rsidRPr="00737ACC">
        <w:t>s.c</w:t>
      </w:r>
      <w:proofErr w:type="spellEnd"/>
      <w:r w:rsidRPr="00737ACC">
        <w:t>.</w:t>
      </w:r>
      <w:r w:rsidRPr="00737ACC">
        <w:br/>
        <w:t>Etanercept finns även som pulver och vätska till injektionsvätska (Barn, se FASS)</w:t>
      </w:r>
      <w:r w:rsidRPr="00737ACC">
        <w:br/>
        <w:t xml:space="preserve">(OBS! Nålskyddet till sprutorna och pennan är gjort av latex) </w:t>
      </w:r>
    </w:p>
    <w:p w14:paraId="44625B56" w14:textId="0DAAA6EA" w:rsidR="00737ACC" w:rsidRPr="00737ACC" w:rsidRDefault="00737ACC" w:rsidP="00DA36C4">
      <w:pPr>
        <w:pStyle w:val="Punktlista"/>
        <w:ind w:left="993" w:right="-2"/>
        <w:rPr>
          <w:b/>
          <w:bCs/>
        </w:rPr>
      </w:pPr>
      <w:r w:rsidRPr="130040E9">
        <w:rPr>
          <w:b/>
          <w:bCs/>
        </w:rPr>
        <w:t xml:space="preserve">Adalimumab (Humira, Amgevita, </w:t>
      </w:r>
      <w:proofErr w:type="spellStart"/>
      <w:r w:rsidRPr="130040E9">
        <w:rPr>
          <w:b/>
          <w:bCs/>
        </w:rPr>
        <w:t>Hulio</w:t>
      </w:r>
      <w:proofErr w:type="spellEnd"/>
      <w:r w:rsidRPr="130040E9">
        <w:rPr>
          <w:b/>
          <w:bCs/>
        </w:rPr>
        <w:t xml:space="preserve">, </w:t>
      </w:r>
      <w:proofErr w:type="spellStart"/>
      <w:r w:rsidRPr="130040E9">
        <w:rPr>
          <w:b/>
          <w:bCs/>
        </w:rPr>
        <w:t>Hyrimoz</w:t>
      </w:r>
      <w:proofErr w:type="spellEnd"/>
      <w:r w:rsidRPr="130040E9">
        <w:rPr>
          <w:b/>
          <w:bCs/>
        </w:rPr>
        <w:t xml:space="preserve">, </w:t>
      </w:r>
      <w:proofErr w:type="spellStart"/>
      <w:r w:rsidRPr="130040E9">
        <w:rPr>
          <w:b/>
          <w:bCs/>
        </w:rPr>
        <w:t>Imraldi</w:t>
      </w:r>
      <w:proofErr w:type="spellEnd"/>
      <w:r w:rsidRPr="130040E9">
        <w:rPr>
          <w:b/>
          <w:bCs/>
        </w:rPr>
        <w:t xml:space="preserve">, </w:t>
      </w:r>
      <w:proofErr w:type="spellStart"/>
      <w:r w:rsidRPr="130040E9">
        <w:rPr>
          <w:b/>
          <w:bCs/>
        </w:rPr>
        <w:t>Idacio</w:t>
      </w:r>
      <w:proofErr w:type="spellEnd"/>
      <w:r w:rsidR="3544913F" w:rsidRPr="130040E9">
        <w:rPr>
          <w:b/>
          <w:bCs/>
        </w:rPr>
        <w:t xml:space="preserve">, </w:t>
      </w:r>
      <w:proofErr w:type="spellStart"/>
      <w:r w:rsidR="3544913F" w:rsidRPr="130040E9">
        <w:rPr>
          <w:b/>
          <w:bCs/>
        </w:rPr>
        <w:t>Hukyndra</w:t>
      </w:r>
      <w:proofErr w:type="spellEnd"/>
      <w:r w:rsidRPr="130040E9">
        <w:rPr>
          <w:b/>
          <w:bCs/>
        </w:rPr>
        <w:t>)</w:t>
      </w:r>
      <w:r>
        <w:br/>
      </w:r>
      <w:proofErr w:type="spellStart"/>
      <w:r>
        <w:t>Inj</w:t>
      </w:r>
      <w:proofErr w:type="spellEnd"/>
      <w:r>
        <w:t xml:space="preserve">. </w:t>
      </w:r>
      <w:proofErr w:type="spellStart"/>
      <w:r w:rsidR="00907F88">
        <w:t>förfylld</w:t>
      </w:r>
      <w:proofErr w:type="spellEnd"/>
      <w:r>
        <w:t xml:space="preserve"> spruta 40 mg </w:t>
      </w:r>
      <w:proofErr w:type="spellStart"/>
      <w:r>
        <w:t>s.c</w:t>
      </w:r>
      <w:proofErr w:type="spellEnd"/>
      <w:r>
        <w:t>.</w:t>
      </w:r>
      <w:r>
        <w:br/>
      </w:r>
      <w:proofErr w:type="spellStart"/>
      <w:r>
        <w:t>Inj</w:t>
      </w:r>
      <w:proofErr w:type="spellEnd"/>
      <w:r>
        <w:t xml:space="preserve">. </w:t>
      </w:r>
      <w:proofErr w:type="spellStart"/>
      <w:r w:rsidR="00907F88">
        <w:t>förfylld</w:t>
      </w:r>
      <w:proofErr w:type="spellEnd"/>
      <w:r>
        <w:t xml:space="preserve"> injektionspenna 40 mg </w:t>
      </w:r>
      <w:proofErr w:type="spellStart"/>
      <w:r>
        <w:t>s.c</w:t>
      </w:r>
      <w:proofErr w:type="spellEnd"/>
      <w:r>
        <w:t>.</w:t>
      </w:r>
      <w:r>
        <w:br/>
        <w:t>(OBS! Nålskyddet till sprutorna och pennan är gjort av latex).</w:t>
      </w:r>
    </w:p>
    <w:p w14:paraId="0C56DC92" w14:textId="77777777" w:rsidR="00737ACC" w:rsidRPr="00737ACC" w:rsidRDefault="00737ACC" w:rsidP="00DA36C4">
      <w:pPr>
        <w:pStyle w:val="Punktlista"/>
        <w:ind w:left="993" w:right="-2"/>
        <w:rPr>
          <w:b/>
        </w:rPr>
      </w:pPr>
      <w:r w:rsidRPr="00737ACC">
        <w:rPr>
          <w:b/>
        </w:rPr>
        <w:t xml:space="preserve">Infliximab (Remicade, </w:t>
      </w:r>
      <w:proofErr w:type="spellStart"/>
      <w:r w:rsidRPr="00737ACC">
        <w:rPr>
          <w:b/>
        </w:rPr>
        <w:t>Inflectra</w:t>
      </w:r>
      <w:proofErr w:type="spellEnd"/>
      <w:r w:rsidRPr="00737ACC">
        <w:rPr>
          <w:b/>
        </w:rPr>
        <w:t xml:space="preserve">, </w:t>
      </w:r>
      <w:proofErr w:type="spellStart"/>
      <w:r w:rsidRPr="00737ACC">
        <w:rPr>
          <w:b/>
        </w:rPr>
        <w:t>Remsima</w:t>
      </w:r>
      <w:proofErr w:type="spellEnd"/>
      <w:r w:rsidRPr="00737ACC">
        <w:rPr>
          <w:b/>
        </w:rPr>
        <w:t>)</w:t>
      </w:r>
      <w:r w:rsidRPr="00737ACC">
        <w:rPr>
          <w:b/>
        </w:rPr>
        <w:br/>
      </w:r>
      <w:r w:rsidRPr="00737ACC">
        <w:t xml:space="preserve">Infliximab lösning 100 mg. Pulver till koncentrat till infusionsvätska. </w:t>
      </w:r>
    </w:p>
    <w:p w14:paraId="7B5876D9" w14:textId="490CF8B5" w:rsidR="00737ACC" w:rsidRPr="00737ACC" w:rsidRDefault="00737ACC" w:rsidP="00DA36C4">
      <w:pPr>
        <w:pStyle w:val="Punktlista"/>
        <w:ind w:left="993" w:right="-2"/>
        <w:rPr>
          <w:b/>
        </w:rPr>
      </w:pPr>
      <w:proofErr w:type="spellStart"/>
      <w:r w:rsidRPr="00737ACC">
        <w:rPr>
          <w:b/>
        </w:rPr>
        <w:t>Certolizumabpegol</w:t>
      </w:r>
      <w:proofErr w:type="spellEnd"/>
      <w:r w:rsidRPr="00737ACC">
        <w:rPr>
          <w:b/>
        </w:rPr>
        <w:t xml:space="preserve"> (Cimzia)</w:t>
      </w:r>
      <w:r w:rsidRPr="00737ACC">
        <w:rPr>
          <w:b/>
        </w:rPr>
        <w:br/>
      </w:r>
      <w:proofErr w:type="spellStart"/>
      <w:r w:rsidRPr="00737ACC">
        <w:t>Inj</w:t>
      </w:r>
      <w:proofErr w:type="spellEnd"/>
      <w:r w:rsidRPr="00737ACC">
        <w:t xml:space="preserve">. </w:t>
      </w:r>
      <w:proofErr w:type="spellStart"/>
      <w:r w:rsidR="00907F88">
        <w:t>förfylld</w:t>
      </w:r>
      <w:proofErr w:type="spellEnd"/>
      <w:r w:rsidRPr="00737ACC">
        <w:t xml:space="preserve"> spruta 200 mg </w:t>
      </w:r>
      <w:proofErr w:type="spellStart"/>
      <w:r w:rsidRPr="00737ACC">
        <w:t>s.c</w:t>
      </w:r>
      <w:proofErr w:type="spellEnd"/>
      <w:r w:rsidRPr="00737ACC">
        <w:t>.</w:t>
      </w:r>
      <w:r w:rsidRPr="00737ACC">
        <w:br/>
      </w:r>
      <w:proofErr w:type="spellStart"/>
      <w:r w:rsidRPr="00737ACC">
        <w:t>Inj</w:t>
      </w:r>
      <w:proofErr w:type="spellEnd"/>
      <w:r w:rsidRPr="00737ACC">
        <w:t xml:space="preserve">. </w:t>
      </w:r>
      <w:proofErr w:type="spellStart"/>
      <w:r w:rsidR="00907F88">
        <w:t>förfylld</w:t>
      </w:r>
      <w:proofErr w:type="spellEnd"/>
      <w:r w:rsidRPr="00737ACC">
        <w:t xml:space="preserve"> injektionspenna 200 mg </w:t>
      </w:r>
      <w:proofErr w:type="spellStart"/>
      <w:r w:rsidRPr="00737ACC">
        <w:t>s.c</w:t>
      </w:r>
      <w:proofErr w:type="spellEnd"/>
      <w:r w:rsidRPr="00737ACC">
        <w:t>.</w:t>
      </w:r>
    </w:p>
    <w:p w14:paraId="0BD44A50" w14:textId="77777777" w:rsidR="00737ACC" w:rsidRPr="00737ACC" w:rsidRDefault="00737ACC" w:rsidP="00185023">
      <w:pPr>
        <w:pStyle w:val="MellanrubrikVGR"/>
        <w:spacing w:after="0"/>
        <w:ind w:left="567" w:right="-2"/>
      </w:pPr>
      <w:r w:rsidRPr="00737ACC">
        <w:t>INTERLEUKINHÄMMARE</w:t>
      </w:r>
    </w:p>
    <w:p w14:paraId="6A338CB1" w14:textId="5F69D46E" w:rsidR="00737ACC" w:rsidRPr="00737ACC" w:rsidRDefault="00737ACC" w:rsidP="00DA36C4">
      <w:pPr>
        <w:pStyle w:val="Punktlista"/>
        <w:ind w:left="993" w:right="-2"/>
        <w:rPr>
          <w:u w:val="single"/>
        </w:rPr>
      </w:pPr>
      <w:proofErr w:type="spellStart"/>
      <w:r w:rsidRPr="00737ACC">
        <w:rPr>
          <w:b/>
        </w:rPr>
        <w:t>Ustekinumab</w:t>
      </w:r>
      <w:proofErr w:type="spellEnd"/>
      <w:r w:rsidRPr="00737ACC">
        <w:rPr>
          <w:b/>
        </w:rPr>
        <w:t xml:space="preserve"> (Stelara)</w:t>
      </w:r>
      <w:r w:rsidRPr="00737ACC">
        <w:rPr>
          <w:i/>
        </w:rPr>
        <w:t xml:space="preserve"> (IL-12 och IL-23)</w:t>
      </w:r>
      <w:r w:rsidRPr="00737ACC">
        <w:rPr>
          <w:i/>
        </w:rPr>
        <w:br/>
      </w:r>
      <w:proofErr w:type="spellStart"/>
      <w:r w:rsidRPr="00737ACC">
        <w:t>Inj</w:t>
      </w:r>
      <w:proofErr w:type="spellEnd"/>
      <w:r w:rsidRPr="00737ACC">
        <w:t xml:space="preserve">. Stelara </w:t>
      </w:r>
      <w:proofErr w:type="spellStart"/>
      <w:r w:rsidR="00907F88">
        <w:t>förfylld</w:t>
      </w:r>
      <w:proofErr w:type="spellEnd"/>
      <w:r w:rsidRPr="00737ACC">
        <w:t xml:space="preserve"> spruta 45 mg och 90 mg </w:t>
      </w:r>
      <w:proofErr w:type="spellStart"/>
      <w:r w:rsidRPr="00737ACC">
        <w:t>s.c</w:t>
      </w:r>
      <w:proofErr w:type="spellEnd"/>
      <w:r w:rsidRPr="00737ACC">
        <w:t>.</w:t>
      </w:r>
      <w:r w:rsidRPr="00737ACC">
        <w:br/>
        <w:t>(OBS! Nålskyddet till sprutorna är gjort av latex).</w:t>
      </w:r>
    </w:p>
    <w:p w14:paraId="56A953E4" w14:textId="09D89EF2" w:rsidR="00737ACC" w:rsidRPr="00737ACC" w:rsidRDefault="00737ACC" w:rsidP="00DA36C4">
      <w:pPr>
        <w:pStyle w:val="Punktlista"/>
        <w:ind w:left="993" w:right="-2"/>
        <w:rPr>
          <w:u w:val="single"/>
        </w:rPr>
      </w:pPr>
      <w:proofErr w:type="spellStart"/>
      <w:r w:rsidRPr="00737ACC">
        <w:rPr>
          <w:b/>
        </w:rPr>
        <w:t>Guselkumab</w:t>
      </w:r>
      <w:proofErr w:type="spellEnd"/>
      <w:r w:rsidRPr="00737ACC">
        <w:rPr>
          <w:b/>
        </w:rPr>
        <w:t xml:space="preserve"> (Tremfya) </w:t>
      </w:r>
      <w:r w:rsidRPr="00737ACC">
        <w:rPr>
          <w:shd w:val="clear" w:color="auto" w:fill="FFFFFF"/>
        </w:rPr>
        <w:t>(IL-23)</w:t>
      </w:r>
      <w:r w:rsidRPr="00737ACC">
        <w:rPr>
          <w:shd w:val="clear" w:color="auto" w:fill="FFFFFF"/>
        </w:rPr>
        <w:br/>
      </w:r>
      <w:proofErr w:type="spellStart"/>
      <w:r w:rsidRPr="00737ACC">
        <w:t>Inj</w:t>
      </w:r>
      <w:proofErr w:type="spellEnd"/>
      <w:r w:rsidRPr="00737ACC">
        <w:t xml:space="preserve"> </w:t>
      </w:r>
      <w:proofErr w:type="spellStart"/>
      <w:r w:rsidR="00907F88">
        <w:t>förfylld</w:t>
      </w:r>
      <w:proofErr w:type="spellEnd"/>
      <w:r w:rsidRPr="00737ACC">
        <w:t xml:space="preserve"> spruta och injektionspenna 100 mg</w:t>
      </w:r>
    </w:p>
    <w:p w14:paraId="390439C1" w14:textId="77777777" w:rsidR="00737ACC" w:rsidRPr="00737ACC" w:rsidRDefault="00737ACC" w:rsidP="00DA36C4">
      <w:pPr>
        <w:pStyle w:val="Punktlista"/>
        <w:ind w:left="993" w:right="-2"/>
        <w:rPr>
          <w:u w:val="single"/>
        </w:rPr>
      </w:pPr>
      <w:proofErr w:type="spellStart"/>
      <w:r w:rsidRPr="00737ACC">
        <w:rPr>
          <w:b/>
          <w:shd w:val="clear" w:color="auto" w:fill="FFFFFF"/>
        </w:rPr>
        <w:t>Risankizumab</w:t>
      </w:r>
      <w:proofErr w:type="spellEnd"/>
      <w:r w:rsidRPr="00737ACC">
        <w:rPr>
          <w:b/>
          <w:shd w:val="clear" w:color="auto" w:fill="FFFFFF"/>
        </w:rPr>
        <w:t xml:space="preserve"> (</w:t>
      </w:r>
      <w:proofErr w:type="spellStart"/>
      <w:r w:rsidRPr="00737ACC">
        <w:rPr>
          <w:b/>
          <w:shd w:val="clear" w:color="auto" w:fill="FFFFFF"/>
        </w:rPr>
        <w:t>Skyrizi</w:t>
      </w:r>
      <w:proofErr w:type="spellEnd"/>
      <w:r w:rsidRPr="00737ACC">
        <w:rPr>
          <w:b/>
          <w:shd w:val="clear" w:color="auto" w:fill="FFFFFF"/>
        </w:rPr>
        <w:t xml:space="preserve">) </w:t>
      </w:r>
      <w:r w:rsidRPr="00737ACC">
        <w:rPr>
          <w:shd w:val="clear" w:color="auto" w:fill="FFFFFF"/>
        </w:rPr>
        <w:t xml:space="preserve">(IL-23) </w:t>
      </w:r>
    </w:p>
    <w:p w14:paraId="7228787A" w14:textId="4BAE06F7" w:rsidR="00737ACC" w:rsidRPr="00737ACC" w:rsidRDefault="00737ACC" w:rsidP="0036596A">
      <w:pPr>
        <w:pStyle w:val="Punktlista"/>
        <w:numPr>
          <w:ilvl w:val="0"/>
          <w:numId w:val="0"/>
        </w:numPr>
        <w:ind w:left="993" w:right="-2"/>
        <w:rPr>
          <w:u w:val="single"/>
        </w:rPr>
      </w:pPr>
      <w:proofErr w:type="spellStart"/>
      <w:r w:rsidRPr="00737ACC">
        <w:t>Inj</w:t>
      </w:r>
      <w:proofErr w:type="spellEnd"/>
      <w:r w:rsidRPr="00737ACC">
        <w:t xml:space="preserve"> </w:t>
      </w:r>
      <w:proofErr w:type="spellStart"/>
      <w:r w:rsidR="00907F88">
        <w:t>förfylld</w:t>
      </w:r>
      <w:proofErr w:type="spellEnd"/>
      <w:r w:rsidRPr="00737ACC">
        <w:t xml:space="preserve"> spruta </w:t>
      </w:r>
      <w:r w:rsidRPr="00737ACC">
        <w:rPr>
          <w:shd w:val="clear" w:color="auto" w:fill="FFFFFF"/>
        </w:rPr>
        <w:t xml:space="preserve">75 mg </w:t>
      </w:r>
    </w:p>
    <w:p w14:paraId="15A2D895" w14:textId="276F7513" w:rsidR="00737ACC" w:rsidRPr="00737ACC" w:rsidRDefault="00737ACC" w:rsidP="563804ED">
      <w:pPr>
        <w:pStyle w:val="Punktlista"/>
        <w:ind w:left="993" w:right="-2"/>
        <w:rPr>
          <w:i/>
          <w:iCs/>
        </w:rPr>
      </w:pPr>
      <w:r w:rsidRPr="563804ED">
        <w:rPr>
          <w:b/>
          <w:bCs/>
          <w:lang w:val="en-US"/>
        </w:rPr>
        <w:t>Se</w:t>
      </w:r>
      <w:r w:rsidR="2D50AAE5" w:rsidRPr="563804ED">
        <w:rPr>
          <w:b/>
          <w:bCs/>
          <w:lang w:val="en-US"/>
        </w:rPr>
        <w:t>k</w:t>
      </w:r>
      <w:r w:rsidRPr="563804ED">
        <w:rPr>
          <w:b/>
          <w:bCs/>
          <w:lang w:val="en-US"/>
        </w:rPr>
        <w:t>ukinumab (Cosentyx)</w:t>
      </w:r>
      <w:r w:rsidRPr="563804ED">
        <w:rPr>
          <w:lang w:val="en-US"/>
        </w:rPr>
        <w:t xml:space="preserve"> </w:t>
      </w:r>
      <w:r w:rsidRPr="563804ED">
        <w:rPr>
          <w:i/>
          <w:iCs/>
          <w:lang w:val="en-US"/>
        </w:rPr>
        <w:t>(IL-17A)</w:t>
      </w:r>
      <w:r w:rsidRPr="001C0FCB">
        <w:rPr>
          <w:lang w:val="en-GB"/>
        </w:rPr>
        <w:br/>
      </w:r>
      <w:r w:rsidRPr="563804ED">
        <w:rPr>
          <w:lang w:val="en-US"/>
        </w:rPr>
        <w:t xml:space="preserve">Inj. </w:t>
      </w:r>
      <w:r>
        <w:t xml:space="preserve">Cosentyx </w:t>
      </w:r>
      <w:proofErr w:type="spellStart"/>
      <w:r w:rsidR="00907F88">
        <w:t>förfylld</w:t>
      </w:r>
      <w:proofErr w:type="spellEnd"/>
      <w:r>
        <w:t xml:space="preserve"> spruta 150 mg och 300 mg </w:t>
      </w:r>
      <w:proofErr w:type="spellStart"/>
      <w:r>
        <w:t>s.c</w:t>
      </w:r>
      <w:proofErr w:type="spellEnd"/>
      <w:r>
        <w:t>.</w:t>
      </w:r>
      <w:r>
        <w:br/>
      </w:r>
      <w:proofErr w:type="spellStart"/>
      <w:r>
        <w:lastRenderedPageBreak/>
        <w:t>Inj</w:t>
      </w:r>
      <w:proofErr w:type="spellEnd"/>
      <w:r>
        <w:t xml:space="preserve">. Cosentyx </w:t>
      </w:r>
      <w:proofErr w:type="spellStart"/>
      <w:r w:rsidR="00907F88">
        <w:t>förfylld</w:t>
      </w:r>
      <w:proofErr w:type="spellEnd"/>
      <w:r>
        <w:t xml:space="preserve"> injektionspenna150 mg och 300 mg </w:t>
      </w:r>
      <w:proofErr w:type="spellStart"/>
      <w:r>
        <w:t>s.c</w:t>
      </w:r>
      <w:proofErr w:type="spellEnd"/>
      <w:r>
        <w:br/>
        <w:t xml:space="preserve">(Nålskyddet innehåller ett derivat av naturgummilatex, men inget naturgummilatex har hittills påvisats. Användning av </w:t>
      </w:r>
      <w:proofErr w:type="spellStart"/>
      <w:r w:rsidR="00907F88">
        <w:t>förfylld</w:t>
      </w:r>
      <w:r>
        <w:t>a</w:t>
      </w:r>
      <w:proofErr w:type="spellEnd"/>
      <w:r>
        <w:t xml:space="preserve"> sprutor med Cosentyx hos latexkänsliga personer har inte studerats och en möjlig risk för överkänslighetsreaktioner kan därför inte helt uteslutas.)</w:t>
      </w:r>
    </w:p>
    <w:p w14:paraId="235B9423" w14:textId="4E805974" w:rsidR="00737ACC" w:rsidRPr="00737ACC" w:rsidRDefault="00737ACC" w:rsidP="00DA36C4">
      <w:pPr>
        <w:pStyle w:val="Punktlista"/>
        <w:ind w:left="993" w:right="-2"/>
        <w:rPr>
          <w:lang w:val="en-US"/>
        </w:rPr>
      </w:pPr>
      <w:proofErr w:type="spellStart"/>
      <w:r w:rsidRPr="199FEEC7">
        <w:rPr>
          <w:b/>
          <w:bCs/>
          <w:lang w:val="en-US"/>
        </w:rPr>
        <w:t>Ixekizumab</w:t>
      </w:r>
      <w:proofErr w:type="spellEnd"/>
      <w:r w:rsidRPr="199FEEC7">
        <w:rPr>
          <w:b/>
          <w:bCs/>
          <w:lang w:val="en-US"/>
        </w:rPr>
        <w:t xml:space="preserve"> (Taltz) </w:t>
      </w:r>
      <w:r w:rsidRPr="199FEEC7">
        <w:rPr>
          <w:i/>
          <w:iCs/>
          <w:lang w:val="en-US"/>
        </w:rPr>
        <w:t>(IL-17A)</w:t>
      </w:r>
      <w:r w:rsidRPr="001C0FCB">
        <w:rPr>
          <w:lang w:val="en-GB"/>
        </w:rPr>
        <w:br/>
      </w:r>
      <w:r w:rsidRPr="199FEEC7">
        <w:rPr>
          <w:lang w:val="en-US"/>
        </w:rPr>
        <w:t xml:space="preserve">Inj. </w:t>
      </w:r>
      <w:r w:rsidRPr="199FEEC7">
        <w:t xml:space="preserve">Taltz Injektionspenna, </w:t>
      </w:r>
      <w:proofErr w:type="spellStart"/>
      <w:r w:rsidR="00907F88">
        <w:t>förfylld</w:t>
      </w:r>
      <w:proofErr w:type="spellEnd"/>
      <w:r w:rsidRPr="199FEEC7">
        <w:t xml:space="preserve"> spruta 80 mg </w:t>
      </w:r>
    </w:p>
    <w:p w14:paraId="459C40C9" w14:textId="3FEEA1E3" w:rsidR="00737ACC" w:rsidRPr="00737ACC" w:rsidRDefault="00737ACC" w:rsidP="00DA36C4">
      <w:pPr>
        <w:pStyle w:val="Punktlista"/>
        <w:ind w:left="993" w:right="-2"/>
      </w:pPr>
      <w:r w:rsidRPr="199FEEC7">
        <w:rPr>
          <w:b/>
          <w:bCs/>
        </w:rPr>
        <w:t>Brodalumab (Kyntheum)</w:t>
      </w:r>
      <w:r w:rsidRPr="00737ACC">
        <w:t xml:space="preserve"> (</w:t>
      </w:r>
      <w:r w:rsidRPr="00737ACC">
        <w:rPr>
          <w:shd w:val="clear" w:color="auto" w:fill="FFFFFF"/>
        </w:rPr>
        <w:t>IL-17RA)</w:t>
      </w:r>
      <w:r w:rsidRPr="00737ACC">
        <w:rPr>
          <w:shd w:val="clear" w:color="auto" w:fill="FFFFFF"/>
        </w:rPr>
        <w:br/>
      </w:r>
      <w:proofErr w:type="spellStart"/>
      <w:r w:rsidR="00907F88">
        <w:t>Förfylld</w:t>
      </w:r>
      <w:proofErr w:type="spellEnd"/>
      <w:r w:rsidRPr="00737ACC">
        <w:t xml:space="preserve"> spruta och injektionsvätska lösning innehållande 210 mg.</w:t>
      </w:r>
    </w:p>
    <w:p w14:paraId="0B4ECB8C" w14:textId="7EF1965D" w:rsidR="00737ACC" w:rsidRPr="00737ACC" w:rsidRDefault="00737ACC" w:rsidP="00DA36C4">
      <w:pPr>
        <w:pStyle w:val="Punktlista"/>
        <w:ind w:left="993" w:right="-2"/>
      </w:pPr>
      <w:proofErr w:type="spellStart"/>
      <w:r w:rsidRPr="199FEEC7">
        <w:rPr>
          <w:b/>
          <w:bCs/>
          <w:shd w:val="clear" w:color="auto" w:fill="FFFFFF"/>
        </w:rPr>
        <w:t>Bimekizumab</w:t>
      </w:r>
      <w:proofErr w:type="spellEnd"/>
      <w:r w:rsidRPr="199FEEC7">
        <w:rPr>
          <w:b/>
          <w:bCs/>
          <w:shd w:val="clear" w:color="auto" w:fill="FFFFFF"/>
        </w:rPr>
        <w:t xml:space="preserve"> (</w:t>
      </w:r>
      <w:proofErr w:type="spellStart"/>
      <w:r w:rsidRPr="199FEEC7">
        <w:rPr>
          <w:b/>
          <w:bCs/>
          <w:shd w:val="clear" w:color="auto" w:fill="FFFFFF"/>
        </w:rPr>
        <w:t>Bimselx</w:t>
      </w:r>
      <w:proofErr w:type="spellEnd"/>
      <w:r w:rsidRPr="199FEEC7">
        <w:rPr>
          <w:b/>
          <w:bCs/>
          <w:shd w:val="clear" w:color="auto" w:fill="FFFFFF"/>
        </w:rPr>
        <w:t>)</w:t>
      </w:r>
      <w:r w:rsidRPr="00737ACC">
        <w:rPr>
          <w:shd w:val="clear" w:color="auto" w:fill="FFFFFF"/>
        </w:rPr>
        <w:t xml:space="preserve"> </w:t>
      </w:r>
      <w:r w:rsidRPr="61BD42BA">
        <w:rPr>
          <w:i/>
          <w:iCs/>
          <w:shd w:val="clear" w:color="auto" w:fill="FFFFFF"/>
        </w:rPr>
        <w:t xml:space="preserve">(IL-17A /F) </w:t>
      </w:r>
      <w:r>
        <w:br/>
      </w:r>
      <w:proofErr w:type="spellStart"/>
      <w:r w:rsidRPr="199FEEC7">
        <w:t>Förfylld</w:t>
      </w:r>
      <w:proofErr w:type="spellEnd"/>
      <w:r w:rsidRPr="199FEEC7">
        <w:t xml:space="preserve"> spruta och </w:t>
      </w:r>
      <w:proofErr w:type="spellStart"/>
      <w:r w:rsidRPr="199FEEC7">
        <w:t>förfylld</w:t>
      </w:r>
      <w:proofErr w:type="spellEnd"/>
      <w:r w:rsidRPr="199FEEC7">
        <w:t xml:space="preserve"> injektionspenna 160 mg </w:t>
      </w:r>
      <w:proofErr w:type="spellStart"/>
      <w:r w:rsidRPr="199FEEC7">
        <w:t>s.c</w:t>
      </w:r>
      <w:proofErr w:type="spellEnd"/>
      <w:r w:rsidRPr="199FEEC7">
        <w:t>.</w:t>
      </w:r>
    </w:p>
    <w:p w14:paraId="3D51B196" w14:textId="5ADFAC7F" w:rsidR="35C8D252" w:rsidRDefault="35C8D252" w:rsidP="61BD42BA">
      <w:pPr>
        <w:pStyle w:val="Punktlista"/>
        <w:ind w:left="993" w:right="-2"/>
        <w:rPr>
          <w:u w:val="single"/>
        </w:rPr>
      </w:pPr>
      <w:proofErr w:type="spellStart"/>
      <w:r w:rsidRPr="61BD42BA">
        <w:rPr>
          <w:b/>
          <w:bCs/>
        </w:rPr>
        <w:t>Tildrakizumab</w:t>
      </w:r>
      <w:proofErr w:type="spellEnd"/>
      <w:r w:rsidRPr="61BD42BA">
        <w:rPr>
          <w:b/>
          <w:bCs/>
        </w:rPr>
        <w:t xml:space="preserve"> (</w:t>
      </w:r>
      <w:proofErr w:type="spellStart"/>
      <w:r w:rsidRPr="61BD42BA">
        <w:rPr>
          <w:b/>
          <w:bCs/>
        </w:rPr>
        <w:t>Ilumetri</w:t>
      </w:r>
      <w:proofErr w:type="spellEnd"/>
      <w:r w:rsidRPr="61BD42BA">
        <w:rPr>
          <w:b/>
          <w:bCs/>
        </w:rPr>
        <w:t>)</w:t>
      </w:r>
      <w:r w:rsidRPr="61BD42BA">
        <w:rPr>
          <w:b/>
          <w:bCs/>
          <w:i/>
          <w:iCs/>
        </w:rPr>
        <w:t xml:space="preserve"> </w:t>
      </w:r>
      <w:r w:rsidRPr="61BD42BA">
        <w:rPr>
          <w:i/>
          <w:iCs/>
        </w:rPr>
        <w:t>(IL-23)</w:t>
      </w:r>
    </w:p>
    <w:p w14:paraId="1F1990EC" w14:textId="013B620C" w:rsidR="35C8D252" w:rsidRDefault="35C8D252" w:rsidP="61BD42BA">
      <w:pPr>
        <w:pStyle w:val="Punktlista"/>
        <w:numPr>
          <w:ilvl w:val="0"/>
          <w:numId w:val="0"/>
        </w:numPr>
        <w:ind w:left="995" w:right="-2"/>
      </w:pPr>
      <w:proofErr w:type="spellStart"/>
      <w:r w:rsidRPr="61BD42BA">
        <w:t>Förfylld</w:t>
      </w:r>
      <w:proofErr w:type="spellEnd"/>
      <w:r w:rsidRPr="61BD42BA">
        <w:t xml:space="preserve"> spruta 100 och 200 mg </w:t>
      </w:r>
      <w:proofErr w:type="spellStart"/>
      <w:r w:rsidRPr="61BD42BA">
        <w:t>sc</w:t>
      </w:r>
      <w:proofErr w:type="spellEnd"/>
      <w:r w:rsidRPr="61BD42BA">
        <w:t>.</w:t>
      </w:r>
    </w:p>
    <w:p w14:paraId="68E3829D" w14:textId="48E38100" w:rsidR="00737ACC" w:rsidRPr="00737ACC" w:rsidRDefault="00D7610E" w:rsidP="00824EF6">
      <w:pPr>
        <w:pStyle w:val="Rubrik2"/>
        <w:ind w:left="567"/>
      </w:pPr>
      <w:bookmarkStart w:id="5" w:name="_Toc190173495"/>
      <w:r w:rsidRPr="00737ACC">
        <w:t>Indikation</w:t>
      </w:r>
      <w:bookmarkEnd w:id="5"/>
      <w:r w:rsidRPr="00737ACC">
        <w:t xml:space="preserve"> </w:t>
      </w:r>
    </w:p>
    <w:p w14:paraId="2F655C59" w14:textId="6858AD86" w:rsidR="00737ACC" w:rsidRPr="006C3293" w:rsidRDefault="00737ACC" w:rsidP="006C3293">
      <w:pPr>
        <w:ind w:left="567" w:right="-2"/>
      </w:pPr>
      <w:r>
        <w:t xml:space="preserve">Måttlig till svår plackpsoriasis hos vuxna som inte svarat på, som har kontraindikationer </w:t>
      </w:r>
      <w:r w:rsidR="7F24DBB3">
        <w:t>mot</w:t>
      </w:r>
      <w:r>
        <w:t>, eller som är intoleranta mot andra systemiska behandlingar, såsom metotrexat, acitretin eller PUVA. Patienterna ska ha provat minst ett, om möjligt flera konventionella systemläkemedel innan man överväger att sätta in ett biologiskt läkemedel vid psoriasis. Svår psoriasis definieras som PASI ≥ 10 och DLQI ≥ 10. Även svår hand- och fotpsoriasis kan bli aktuell för biologisk behandling. IL-hämmare är ett behandlingsalternativ främst vid de fall som inte svarat på TNF-alfa-hämmare eller där behandling med TNF-alfa-hämmare ansetts mindre lämplig. I särskilt svåra fall eller där man befarar bristande patientföljsamhet väljs ofta Infliximab. Biologiska läkemedel är i första hand avsedd för kontinuerlig behandling men kan återinsättas vid recidiv om behandlingen avbrutits. Det finns en risk för avtagande effekt på längre sikt då bör behandlingsbyte övervägas.</w:t>
      </w:r>
    </w:p>
    <w:p w14:paraId="5E9487F0" w14:textId="273BF114" w:rsidR="00737ACC" w:rsidRPr="00737ACC" w:rsidRDefault="006C3293" w:rsidP="00824EF6">
      <w:pPr>
        <w:pStyle w:val="Rubrik2"/>
        <w:ind w:left="567"/>
        <w:rPr>
          <w:b/>
          <w:u w:val="single"/>
        </w:rPr>
      </w:pPr>
      <w:bookmarkStart w:id="6" w:name="_Toc190173496"/>
      <w:r w:rsidRPr="006C3293">
        <w:t>Kontraindikationer</w:t>
      </w:r>
      <w:bookmarkEnd w:id="6"/>
    </w:p>
    <w:p w14:paraId="032FF894" w14:textId="77777777" w:rsidR="00737ACC" w:rsidRPr="00737ACC" w:rsidRDefault="00737ACC" w:rsidP="006C3293">
      <w:pPr>
        <w:ind w:left="567" w:right="-2"/>
      </w:pPr>
      <w:r w:rsidRPr="00737ACC">
        <w:t xml:space="preserve">Aktiva infektioner (lokala eller systemiska). Latent tuberkulos (obehandlad). Malignitet (undantaget adekvat behandlad non-melanoma hudcancer och adekvat behandlad malignitet för mer än 10 år sedan). </w:t>
      </w:r>
    </w:p>
    <w:p w14:paraId="625FF8F1" w14:textId="77777777" w:rsidR="00737ACC" w:rsidRPr="00737ACC" w:rsidRDefault="00737ACC" w:rsidP="006C3293">
      <w:pPr>
        <w:ind w:left="567" w:right="-2"/>
      </w:pPr>
      <w:r w:rsidRPr="00737ACC">
        <w:t xml:space="preserve">TNF-hämmare är dessutom kontraindicerade vid </w:t>
      </w:r>
      <w:proofErr w:type="spellStart"/>
      <w:r w:rsidRPr="00737ACC">
        <w:t>demyeliniserande</w:t>
      </w:r>
      <w:proofErr w:type="spellEnd"/>
      <w:r w:rsidRPr="00737ACC">
        <w:t xml:space="preserve"> sjukdom och hjärtsvikt.</w:t>
      </w:r>
    </w:p>
    <w:p w14:paraId="605A73FE" w14:textId="1C72FCBB" w:rsidR="00737ACC" w:rsidRPr="00737ACC" w:rsidRDefault="00737ACC" w:rsidP="0040161E">
      <w:pPr>
        <w:ind w:left="567" w:right="-2"/>
      </w:pPr>
      <w:r w:rsidRPr="00737ACC">
        <w:t>IL-17 hämmare ska inte ges vid inflammatorisk tarmsjukdom.</w:t>
      </w:r>
    </w:p>
    <w:p w14:paraId="48A45B46" w14:textId="7A3E8B2A" w:rsidR="00737ACC" w:rsidRPr="004633EA" w:rsidRDefault="00737ACC" w:rsidP="004633EA">
      <w:pPr>
        <w:ind w:left="567" w:right="-2"/>
      </w:pPr>
      <w:r w:rsidRPr="00737ACC">
        <w:t xml:space="preserve">Relativa kontraindikationer: PUVA &gt; 200 behandlingar (speciellt vid efterföljande behandling med </w:t>
      </w:r>
      <w:proofErr w:type="spellStart"/>
      <w:r w:rsidRPr="00737ACC">
        <w:t>cyklosporin</w:t>
      </w:r>
      <w:proofErr w:type="spellEnd"/>
      <w:r w:rsidRPr="00737ACC">
        <w:t xml:space="preserve">). HIV. Hepatit B och C. </w:t>
      </w:r>
    </w:p>
    <w:p w14:paraId="644E5E06" w14:textId="0BC339AC" w:rsidR="00737ACC" w:rsidRPr="00737ACC" w:rsidRDefault="004633EA" w:rsidP="00824EF6">
      <w:pPr>
        <w:pStyle w:val="Rubrik2"/>
        <w:ind w:left="567"/>
        <w:rPr>
          <w:rFonts w:ascii="Arial" w:hAnsi="Arial" w:cs="Arial"/>
          <w:b/>
          <w:sz w:val="22"/>
          <w:szCs w:val="22"/>
        </w:rPr>
      </w:pPr>
      <w:bookmarkStart w:id="7" w:name="_Toc190173497"/>
      <w:r w:rsidRPr="004633EA">
        <w:lastRenderedPageBreak/>
        <w:t>Läkemedelsinteraktioner</w:t>
      </w:r>
      <w:bookmarkEnd w:id="7"/>
    </w:p>
    <w:p w14:paraId="3D1D4A14" w14:textId="4C3CB0FF" w:rsidR="00737ACC" w:rsidRPr="00AC0299" w:rsidRDefault="00737ACC" w:rsidP="00AC0299">
      <w:pPr>
        <w:ind w:left="567" w:right="-2"/>
      </w:pPr>
      <w:r w:rsidRPr="004633EA">
        <w:t xml:space="preserve">TNF-hämmare ska ej kombineras med </w:t>
      </w:r>
      <w:proofErr w:type="spellStart"/>
      <w:r w:rsidRPr="004633EA">
        <w:t>anakinra</w:t>
      </w:r>
      <w:proofErr w:type="spellEnd"/>
      <w:r w:rsidRPr="004633EA">
        <w:t xml:space="preserve"> och </w:t>
      </w:r>
      <w:proofErr w:type="spellStart"/>
      <w:r w:rsidRPr="004633EA">
        <w:t>abatacept</w:t>
      </w:r>
      <w:proofErr w:type="spellEnd"/>
      <w:r w:rsidRPr="004633EA">
        <w:t>. IL-17 hämmare kan påverka blodförtunnande effekt av Waran och därför ska PK-INR följas i början av behandlingen.</w:t>
      </w:r>
    </w:p>
    <w:p w14:paraId="27AFACA5" w14:textId="3299383D" w:rsidR="00737ACC" w:rsidRPr="00737ACC" w:rsidRDefault="00AC0299" w:rsidP="00C522DC">
      <w:pPr>
        <w:pStyle w:val="Rubrik2"/>
        <w:ind w:left="567"/>
        <w:rPr>
          <w:rFonts w:ascii="Arial" w:hAnsi="Arial" w:cs="Arial"/>
          <w:b/>
          <w:sz w:val="21"/>
          <w:szCs w:val="21"/>
        </w:rPr>
      </w:pPr>
      <w:bookmarkStart w:id="8" w:name="_Toc190173498"/>
      <w:r w:rsidRPr="00AC0299">
        <w:t>Dosering</w:t>
      </w:r>
      <w:bookmarkEnd w:id="8"/>
      <w:r w:rsidR="00737ACC" w:rsidRPr="00737ACC">
        <w:rPr>
          <w:rFonts w:ascii="Arial" w:hAnsi="Arial" w:cs="Arial"/>
          <w:b/>
          <w:sz w:val="21"/>
          <w:szCs w:val="21"/>
        </w:rPr>
        <w:t xml:space="preserve"> </w:t>
      </w:r>
    </w:p>
    <w:p w14:paraId="197F0571" w14:textId="77777777" w:rsidR="00737ACC" w:rsidRPr="00737ACC" w:rsidRDefault="00737ACC" w:rsidP="00AC0299">
      <w:pPr>
        <w:ind w:left="567" w:right="-2"/>
      </w:pPr>
      <w:r w:rsidRPr="00737ACC">
        <w:rPr>
          <w:b/>
        </w:rPr>
        <w:t xml:space="preserve">Etanercept </w:t>
      </w:r>
      <w:r w:rsidRPr="00737ACC">
        <w:t xml:space="preserve">doseras i de flesta fall 50 mg subkutant en dag i veckan. I särskilt svåra fall kan 50 mg ges två gånger i veckan i upp till tre månader. </w:t>
      </w:r>
    </w:p>
    <w:p w14:paraId="39008F2D" w14:textId="77777777" w:rsidR="00737ACC" w:rsidRPr="00737ACC" w:rsidRDefault="00737ACC" w:rsidP="00AC0299">
      <w:pPr>
        <w:ind w:left="567" w:right="-2"/>
      </w:pPr>
      <w:r w:rsidRPr="00737ACC">
        <w:rPr>
          <w:b/>
        </w:rPr>
        <w:t xml:space="preserve">Adalimumab </w:t>
      </w:r>
      <w:r w:rsidRPr="00737ACC">
        <w:t xml:space="preserve">ges subkutant med en startdos på 80 mg. Efter en vecka ges 40 mg och därefter 40 mg varannan vecka. </w:t>
      </w:r>
    </w:p>
    <w:p w14:paraId="658183FE" w14:textId="77777777" w:rsidR="00737ACC" w:rsidRPr="00737ACC" w:rsidRDefault="00737ACC" w:rsidP="00AC0299">
      <w:pPr>
        <w:spacing w:after="0"/>
        <w:ind w:left="567" w:right="-2"/>
      </w:pPr>
      <w:r w:rsidRPr="00737ACC">
        <w:rPr>
          <w:b/>
        </w:rPr>
        <w:t>Infliximab</w:t>
      </w:r>
      <w:r w:rsidRPr="00737ACC">
        <w:t xml:space="preserve"> ges som infusion oftast i dosen 5 mg/kg kroppsvikt vecka 0, 2 och 6 samt därefter som underhållsdos var åttonde vecka. Remicade lämpar sig inte för intermittent behandling på grund av ökad risk för infusionsreaktioner och försämrad sjukdomskontroll. </w:t>
      </w:r>
    </w:p>
    <w:p w14:paraId="34B18E87" w14:textId="77777777" w:rsidR="00737ACC" w:rsidRPr="00737ACC" w:rsidRDefault="00737ACC" w:rsidP="00AC0299">
      <w:pPr>
        <w:spacing w:after="0"/>
        <w:ind w:left="567" w:right="-2"/>
        <w:rPr>
          <w:u w:val="single"/>
        </w:rPr>
      </w:pPr>
      <w:proofErr w:type="spellStart"/>
      <w:r w:rsidRPr="00737ACC">
        <w:rPr>
          <w:b/>
        </w:rPr>
        <w:t>Certolizumabpegol</w:t>
      </w:r>
      <w:proofErr w:type="spellEnd"/>
      <w:r w:rsidRPr="00737ACC">
        <w:rPr>
          <w:b/>
        </w:rPr>
        <w:t xml:space="preserve"> (Cimzia)</w:t>
      </w:r>
      <w:r w:rsidRPr="00737ACC">
        <w:t xml:space="preserve"> initial dos är 400 mg (givet som 2 subkutana injektioner om vardera 200 mg) veckorna 0, 2 och 4. Underhållsdosen är 200 mg varannan vecka. En dos på 400 mg varannan vecka kan övervägas hos patienter med otillräcklig respons.</w:t>
      </w:r>
    </w:p>
    <w:p w14:paraId="1AB5900F" w14:textId="77777777" w:rsidR="00737ACC" w:rsidRPr="00737ACC" w:rsidRDefault="00737ACC" w:rsidP="00AC0299">
      <w:pPr>
        <w:spacing w:after="0"/>
        <w:ind w:left="567" w:right="-2"/>
      </w:pPr>
      <w:proofErr w:type="spellStart"/>
      <w:r w:rsidRPr="00737ACC">
        <w:rPr>
          <w:b/>
        </w:rPr>
        <w:t>Ustekinumab</w:t>
      </w:r>
      <w:proofErr w:type="spellEnd"/>
      <w:r w:rsidRPr="00737ACC">
        <w:rPr>
          <w:b/>
        </w:rPr>
        <w:t xml:space="preserve"> (Stelara)</w:t>
      </w:r>
      <w:r w:rsidRPr="00737ACC">
        <w:t xml:space="preserve"> ges som en subkutan injektion vecka 0 och vecka 4 och därefter som underhållsdos var 12:e vecka. Dosen av Stelara är 45 mg för patienter som väger &lt;100 kg och 90 mg för dem som väger &gt;100 kg. </w:t>
      </w:r>
    </w:p>
    <w:p w14:paraId="42646012" w14:textId="77777777" w:rsidR="00737ACC" w:rsidRPr="00737ACC" w:rsidRDefault="00737ACC" w:rsidP="00AC0299">
      <w:pPr>
        <w:spacing w:after="0"/>
        <w:ind w:left="567" w:right="-2"/>
        <w:rPr>
          <w:shd w:val="clear" w:color="auto" w:fill="FFFFFF"/>
        </w:rPr>
      </w:pPr>
      <w:proofErr w:type="spellStart"/>
      <w:r w:rsidRPr="00737ACC">
        <w:rPr>
          <w:b/>
        </w:rPr>
        <w:t>Guselkumab</w:t>
      </w:r>
      <w:proofErr w:type="spellEnd"/>
      <w:r w:rsidRPr="00737ACC">
        <w:rPr>
          <w:b/>
        </w:rPr>
        <w:t xml:space="preserve"> (Tremfya)</w:t>
      </w:r>
      <w:r w:rsidRPr="00737ACC">
        <w:t xml:space="preserve"> ges </w:t>
      </w:r>
      <w:r w:rsidRPr="00737ACC">
        <w:rPr>
          <w:shd w:val="clear" w:color="auto" w:fill="FFFFFF"/>
        </w:rPr>
        <w:t>som subkutan injektion (100 mg) i vecka 0 och 4 därefter underhållsdos 100 mg var 8:e vecka.</w:t>
      </w:r>
    </w:p>
    <w:p w14:paraId="1FC67D77" w14:textId="165FAF3E" w:rsidR="00737ACC" w:rsidRPr="00737ACC" w:rsidRDefault="00737ACC" w:rsidP="00AC0299">
      <w:pPr>
        <w:spacing w:after="0"/>
        <w:ind w:left="567" w:right="-2"/>
      </w:pPr>
      <w:proofErr w:type="spellStart"/>
      <w:r w:rsidRPr="199FEEC7">
        <w:rPr>
          <w:b/>
          <w:bCs/>
          <w:shd w:val="clear" w:color="auto" w:fill="FFFFFF"/>
        </w:rPr>
        <w:t>Risankizumab</w:t>
      </w:r>
      <w:proofErr w:type="spellEnd"/>
      <w:r w:rsidRPr="199FEEC7">
        <w:rPr>
          <w:b/>
          <w:bCs/>
          <w:shd w:val="clear" w:color="auto" w:fill="FFFFFF"/>
        </w:rPr>
        <w:t xml:space="preserve"> (</w:t>
      </w:r>
      <w:proofErr w:type="spellStart"/>
      <w:r w:rsidRPr="199FEEC7">
        <w:rPr>
          <w:b/>
          <w:bCs/>
          <w:shd w:val="clear" w:color="auto" w:fill="FFFFFF"/>
        </w:rPr>
        <w:t>Skyrizi</w:t>
      </w:r>
      <w:proofErr w:type="spellEnd"/>
      <w:r w:rsidRPr="199FEEC7">
        <w:rPr>
          <w:b/>
          <w:bCs/>
          <w:shd w:val="clear" w:color="auto" w:fill="FFFFFF"/>
        </w:rPr>
        <w:t>)</w:t>
      </w:r>
      <w:r w:rsidRPr="00737ACC">
        <w:rPr>
          <w:shd w:val="clear" w:color="auto" w:fill="FFFFFF"/>
        </w:rPr>
        <w:t xml:space="preserve"> ges som subkutan injektion 150 mg (givet som 2 subkutana injektioner om vardera 75 mg) vecka 0 och vecka 4 därefter som underhållsdos var 12:e vecka.</w:t>
      </w:r>
      <w:r w:rsidRPr="00737ACC">
        <w:rPr>
          <w:shd w:val="clear" w:color="auto" w:fill="FFFFFF"/>
        </w:rPr>
        <w:br/>
      </w:r>
      <w:proofErr w:type="spellStart"/>
      <w:r w:rsidRPr="199FEEC7">
        <w:rPr>
          <w:b/>
          <w:bCs/>
        </w:rPr>
        <w:t>Sekucinumab</w:t>
      </w:r>
      <w:proofErr w:type="spellEnd"/>
      <w:r w:rsidRPr="199FEEC7">
        <w:rPr>
          <w:b/>
          <w:bCs/>
        </w:rPr>
        <w:t xml:space="preserve"> (</w:t>
      </w:r>
      <w:proofErr w:type="spellStart"/>
      <w:r w:rsidRPr="199FEEC7">
        <w:rPr>
          <w:b/>
          <w:bCs/>
        </w:rPr>
        <w:t>Cozentyx</w:t>
      </w:r>
      <w:proofErr w:type="spellEnd"/>
      <w:r w:rsidRPr="199FEEC7">
        <w:rPr>
          <w:b/>
          <w:bCs/>
        </w:rPr>
        <w:t>)</w:t>
      </w:r>
      <w:r w:rsidRPr="00737ACC">
        <w:t xml:space="preserve"> ges som subkutan injektion i dosen 300 mg med initial dosering vecka 0, 1, 2 och 3, följt av månatlig underhållsdosering från vecka 4.</w:t>
      </w:r>
      <w:r w:rsidRPr="00737ACC">
        <w:br/>
      </w:r>
      <w:proofErr w:type="spellStart"/>
      <w:r w:rsidRPr="199FEEC7">
        <w:rPr>
          <w:b/>
          <w:bCs/>
        </w:rPr>
        <w:t>Ixekizumab</w:t>
      </w:r>
      <w:proofErr w:type="spellEnd"/>
      <w:r w:rsidRPr="199FEEC7">
        <w:rPr>
          <w:b/>
          <w:bCs/>
        </w:rPr>
        <w:t xml:space="preserve"> (Taltz)</w:t>
      </w:r>
      <w:r w:rsidRPr="00737ACC">
        <w:t xml:space="preserve"> ges som två injektioner om 80 mg subkutant vecka 0, en injektion à 80 mg vecka 2, 4, 6, 8, 10, och 12 följt av en underhållsdos om 80 mg var 4:e vecka fr.o.m. vecka 16.</w:t>
      </w:r>
    </w:p>
    <w:p w14:paraId="22CDA106" w14:textId="7AE13F4F" w:rsidR="00737ACC" w:rsidRPr="00B40A7B" w:rsidRDefault="00737ACC" w:rsidP="130040E9">
      <w:pPr>
        <w:ind w:left="567" w:right="-2"/>
      </w:pPr>
      <w:r w:rsidRPr="130040E9">
        <w:rPr>
          <w:b/>
          <w:bCs/>
        </w:rPr>
        <w:t>Brodalumab (Kyntheum)</w:t>
      </w:r>
      <w:r>
        <w:t xml:space="preserve"> ges 210 mg administrerad som subkutan injektion vecka 0, 1 och 2, följt av 210 mg varannan vecka.</w:t>
      </w:r>
      <w:r>
        <w:br/>
      </w:r>
      <w:proofErr w:type="spellStart"/>
      <w:r w:rsidRPr="130040E9">
        <w:rPr>
          <w:b/>
          <w:bCs/>
        </w:rPr>
        <w:t>Bimekizumab</w:t>
      </w:r>
      <w:proofErr w:type="spellEnd"/>
      <w:r w:rsidRPr="130040E9">
        <w:rPr>
          <w:b/>
          <w:bCs/>
        </w:rPr>
        <w:t xml:space="preserve"> (</w:t>
      </w:r>
      <w:proofErr w:type="spellStart"/>
      <w:r w:rsidRPr="130040E9">
        <w:rPr>
          <w:b/>
          <w:bCs/>
        </w:rPr>
        <w:t>Bimselx</w:t>
      </w:r>
      <w:proofErr w:type="spellEnd"/>
      <w:r w:rsidRPr="130040E9">
        <w:rPr>
          <w:b/>
          <w:bCs/>
        </w:rPr>
        <w:t>)</w:t>
      </w:r>
      <w:r>
        <w:t xml:space="preserve"> ges </w:t>
      </w:r>
      <w:r w:rsidR="698CF54C" w:rsidRPr="130040E9">
        <w:t>320 mg (2 subkutana injektioner om 160 mg vardera) vid vecka 0, 4, 8, 12, 16 och därefter var 8:e vecka.</w:t>
      </w:r>
    </w:p>
    <w:p w14:paraId="72367768" w14:textId="618666CD" w:rsidR="10EF722C" w:rsidRDefault="10EF722C" w:rsidP="130040E9">
      <w:pPr>
        <w:ind w:left="567" w:right="-2"/>
      </w:pPr>
      <w:proofErr w:type="spellStart"/>
      <w:r w:rsidRPr="130040E9">
        <w:rPr>
          <w:b/>
          <w:bCs/>
        </w:rPr>
        <w:t>Tildrakizumab</w:t>
      </w:r>
      <w:proofErr w:type="spellEnd"/>
      <w:r w:rsidRPr="130040E9">
        <w:rPr>
          <w:b/>
          <w:bCs/>
        </w:rPr>
        <w:t xml:space="preserve"> (</w:t>
      </w:r>
      <w:proofErr w:type="spellStart"/>
      <w:r w:rsidRPr="130040E9">
        <w:rPr>
          <w:b/>
          <w:bCs/>
        </w:rPr>
        <w:t>Ilumetri</w:t>
      </w:r>
      <w:proofErr w:type="spellEnd"/>
      <w:r w:rsidRPr="130040E9">
        <w:rPr>
          <w:b/>
          <w:bCs/>
        </w:rPr>
        <w:t>)</w:t>
      </w:r>
      <w:r w:rsidRPr="130040E9">
        <w:t xml:space="preserve"> ges en sp</w:t>
      </w:r>
      <w:r w:rsidR="38630785" w:rsidRPr="130040E9">
        <w:t xml:space="preserve">ruta </w:t>
      </w:r>
      <w:r w:rsidRPr="130040E9">
        <w:t>(100 mg) som subkutan injektion, vecka 0 och 4 och var 12:e vecka därefter. Hos patienter med särskilda förutsättningar (till exempel stor sjukdomsbörda, kroppsvikt ≥ 90 kg) kan 200 mg ge större effekt.</w:t>
      </w:r>
    </w:p>
    <w:p w14:paraId="45A71D79" w14:textId="2FB39346" w:rsidR="00737ACC" w:rsidRPr="00A06F1A" w:rsidRDefault="00A06F1A" w:rsidP="00C522DC">
      <w:pPr>
        <w:pStyle w:val="Rubrik2"/>
        <w:ind w:left="567"/>
      </w:pPr>
      <w:bookmarkStart w:id="9" w:name="_Toc190173499"/>
      <w:r w:rsidRPr="00A06F1A">
        <w:lastRenderedPageBreak/>
        <w:t>Utredning före behandlingsstart</w:t>
      </w:r>
      <w:bookmarkEnd w:id="9"/>
    </w:p>
    <w:p w14:paraId="57704439" w14:textId="0B55C983" w:rsidR="004F7C7A" w:rsidRPr="004F7C7A" w:rsidRDefault="004F7C7A" w:rsidP="004F7C7A">
      <w:pPr>
        <w:ind w:left="567" w:right="-2"/>
      </w:pPr>
      <w:r>
        <w:t xml:space="preserve">Somatiskt rutinstatus, PASI och DLQI, screening för hepatit, HIV och </w:t>
      </w:r>
      <w:r w:rsidR="007E6974">
        <w:t>TBC-</w:t>
      </w:r>
      <w:r>
        <w:t xml:space="preserve">lungröntgen, Quantiferon och PPD hos vissa patienter, v.g. se rutin för tuberkulosscreening inför insättande av immunmodulerande behandling, länk </w:t>
      </w:r>
      <w:r w:rsidR="038D1C48">
        <w:t xml:space="preserve">till </w:t>
      </w:r>
      <w:r>
        <w:t xml:space="preserve">rutin </w:t>
      </w:r>
      <w:hyperlink r:id="rId17">
        <w:r w:rsidR="006C6216" w:rsidRPr="130040E9">
          <w:rPr>
            <w:rStyle w:val="Hyperlnk"/>
          </w:rPr>
          <w:t>Tuberkulosscreening inför insättande av immunmodulerande behandling (vgregion.se)</w:t>
        </w:r>
      </w:hyperlink>
      <w:r w:rsidR="006C6216">
        <w:t>.</w:t>
      </w:r>
      <w:r w:rsidR="006C6216" w:rsidRPr="130040E9">
        <w:rPr>
          <w:rFonts w:ascii="Arial" w:hAnsi="Arial" w:cs="Arial"/>
          <w:color w:val="FF0000"/>
          <w:sz w:val="21"/>
          <w:szCs w:val="21"/>
        </w:rPr>
        <w:t xml:space="preserve"> </w:t>
      </w:r>
      <w:r>
        <w:t>Hb, LPK, diff, TPK, ALAT, Alla patienter ska registreras i PsoReg.</w:t>
      </w:r>
    </w:p>
    <w:p w14:paraId="08F6304D" w14:textId="199697C2" w:rsidR="004F7C7A" w:rsidRPr="0022555D" w:rsidRDefault="004F7C7A" w:rsidP="004F7C7A">
      <w:pPr>
        <w:ind w:left="567" w:right="-2"/>
        <w:rPr>
          <w:rFonts w:ascii="Arial" w:hAnsi="Arial" w:cs="Arial"/>
          <w:sz w:val="21"/>
          <w:szCs w:val="21"/>
        </w:rPr>
      </w:pPr>
      <w:r>
        <w:t>Gällande TBC</w:t>
      </w:r>
      <w:r w:rsidR="007E6974">
        <w:t>-</w:t>
      </w:r>
      <w:r>
        <w:t>utredning bör uppgifter om TBC</w:t>
      </w:r>
      <w:r w:rsidR="007E6974">
        <w:t>-</w:t>
      </w:r>
      <w:r>
        <w:t>vaccination, tidigare TBC</w:t>
      </w:r>
      <w:r w:rsidR="007E6974">
        <w:t>-</w:t>
      </w:r>
      <w:r>
        <w:t>behandling och exponering för tuberkulos eller vistelse i riskområde inhämtas med hjälp av en hälsodeklaration för tuberkulosscreening, länk</w:t>
      </w:r>
      <w:r w:rsidR="32435AC8">
        <w:t xml:space="preserve"> till</w:t>
      </w:r>
      <w:r>
        <w:t xml:space="preserve"> blankett </w:t>
      </w:r>
      <w:hyperlink r:id="rId18">
        <w:r w:rsidR="00D92563" w:rsidRPr="130040E9">
          <w:rPr>
            <w:rStyle w:val="Hyperlnk"/>
          </w:rPr>
          <w:t>Hälsodeklaration avseende tuberkulos (vgregion.se)</w:t>
        </w:r>
      </w:hyperlink>
      <w:r w:rsidR="00D92563" w:rsidRPr="130040E9">
        <w:rPr>
          <w:color w:val="FF0000"/>
        </w:rPr>
        <w:t>.</w:t>
      </w:r>
      <w:r w:rsidR="00D92563" w:rsidRPr="130040E9">
        <w:rPr>
          <w:rFonts w:ascii="Arial" w:hAnsi="Arial" w:cs="Arial"/>
          <w:color w:val="FF0000"/>
          <w:sz w:val="21"/>
          <w:szCs w:val="21"/>
        </w:rPr>
        <w:t xml:space="preserve"> </w:t>
      </w:r>
      <w:r>
        <w:t>Quantiferontest och lungröntgen ska göras. Vid positiv anamnes, Quantiferontest eller lungröntgen bör en remiss skickas till Infektionskliniken för bedömning och vid behov där ska PPD utföras.</w:t>
      </w:r>
    </w:p>
    <w:p w14:paraId="7C07F46E" w14:textId="51238447" w:rsidR="00737ACC" w:rsidRPr="00737ACC" w:rsidRDefault="004F7C7A" w:rsidP="004F7C7A">
      <w:pPr>
        <w:ind w:left="567" w:right="-2"/>
      </w:pPr>
      <w:r w:rsidRPr="004F7C7A">
        <w:t>Fastande P-glukos, totalkolesterol och LDL ska tas årligen på a</w:t>
      </w:r>
      <w:r w:rsidR="007E6974">
        <w:t>l</w:t>
      </w:r>
      <w:r w:rsidRPr="004F7C7A">
        <w:t>l</w:t>
      </w:r>
      <w:r w:rsidR="007E6974">
        <w:t>a</w:t>
      </w:r>
      <w:r w:rsidRPr="004F7C7A">
        <w:t xml:space="preserve"> patienter som inte har känd diabetes eller blodfettssänkande behandling i screeningssyfte. Vid avvikande provsvar ska vidare utredning och behandling ske inom primärvården.</w:t>
      </w:r>
    </w:p>
    <w:p w14:paraId="327F51C3" w14:textId="396CB440" w:rsidR="00803455" w:rsidRPr="00CE1814" w:rsidRDefault="00001EC4" w:rsidP="00CE1814">
      <w:pPr>
        <w:pStyle w:val="Rubrik2"/>
        <w:spacing w:before="0" w:after="0"/>
        <w:ind w:left="567"/>
        <w:rPr>
          <w:rFonts w:ascii="Arial" w:hAnsi="Arial" w:cs="Arial"/>
          <w:b/>
          <w:sz w:val="10"/>
          <w:szCs w:val="10"/>
        </w:rPr>
      </w:pPr>
      <w:bookmarkStart w:id="10" w:name="_Toc190173500"/>
      <w:r w:rsidRPr="00001EC4">
        <w:t>Provtagnin</w:t>
      </w:r>
      <w:r w:rsidR="00A765C4">
        <w:t>g</w:t>
      </w:r>
      <w:bookmarkEnd w:id="10"/>
      <w:r>
        <w:rPr>
          <w:rFonts w:ascii="Arial" w:hAnsi="Arial" w:cs="Arial"/>
          <w:b/>
          <w:sz w:val="21"/>
          <w:szCs w:val="21"/>
        </w:rPr>
        <w:br/>
      </w:r>
    </w:p>
    <w:tbl>
      <w:tblPr>
        <w:tblStyle w:val="Tabellrutnt"/>
        <w:tblW w:w="0" w:type="auto"/>
        <w:tblInd w:w="567" w:type="dxa"/>
        <w:tblCellMar>
          <w:top w:w="57" w:type="dxa"/>
          <w:bottom w:w="57" w:type="dxa"/>
        </w:tblCellMar>
        <w:tblLook w:val="04A0" w:firstRow="1" w:lastRow="0" w:firstColumn="1" w:lastColumn="0" w:noHBand="0" w:noVBand="1"/>
      </w:tblPr>
      <w:tblGrid>
        <w:gridCol w:w="2830"/>
        <w:gridCol w:w="1560"/>
        <w:gridCol w:w="1701"/>
        <w:gridCol w:w="1842"/>
      </w:tblGrid>
      <w:tr w:rsidR="00A765C4" w14:paraId="360E4BC8" w14:textId="77777777" w:rsidTr="006D09C7">
        <w:trPr>
          <w:tblHeader/>
        </w:trPr>
        <w:tc>
          <w:tcPr>
            <w:tcW w:w="2830" w:type="dxa"/>
            <w:vAlign w:val="center"/>
          </w:tcPr>
          <w:p w14:paraId="59706BF9" w14:textId="02B8C224" w:rsidR="00803455" w:rsidRPr="00A765C4" w:rsidRDefault="00A765C4" w:rsidP="00536131">
            <w:pPr>
              <w:pStyle w:val="Tabell"/>
              <w:jc w:val="center"/>
            </w:pPr>
            <w:r w:rsidRPr="00A765C4">
              <w:t>Prover/tid</w:t>
            </w:r>
          </w:p>
        </w:tc>
        <w:tc>
          <w:tcPr>
            <w:tcW w:w="1560" w:type="dxa"/>
          </w:tcPr>
          <w:p w14:paraId="48EB09E5" w14:textId="1894337E" w:rsidR="00803455" w:rsidRPr="00A765C4" w:rsidRDefault="00A765C4" w:rsidP="006D09C7">
            <w:pPr>
              <w:pStyle w:val="Tabell"/>
              <w:jc w:val="center"/>
            </w:pPr>
            <w:r w:rsidRPr="00A765C4">
              <w:t>Start</w:t>
            </w:r>
          </w:p>
        </w:tc>
        <w:tc>
          <w:tcPr>
            <w:tcW w:w="1701" w:type="dxa"/>
          </w:tcPr>
          <w:p w14:paraId="7BE7793E" w14:textId="66235C23" w:rsidR="00803455" w:rsidRPr="00A765C4" w:rsidRDefault="00A765C4" w:rsidP="00536131">
            <w:pPr>
              <w:pStyle w:val="Tabell"/>
              <w:jc w:val="center"/>
            </w:pPr>
            <w:r w:rsidRPr="00A765C4">
              <w:t>12 veckor</w:t>
            </w:r>
          </w:p>
        </w:tc>
        <w:tc>
          <w:tcPr>
            <w:tcW w:w="1842" w:type="dxa"/>
          </w:tcPr>
          <w:p w14:paraId="7A2344AB" w14:textId="5F5E4A2E" w:rsidR="00803455" w:rsidRPr="00A765C4" w:rsidRDefault="00061842" w:rsidP="00536131">
            <w:pPr>
              <w:pStyle w:val="Tabell"/>
              <w:jc w:val="center"/>
            </w:pPr>
            <w:r w:rsidRPr="00A765C4">
              <w:t>1–2</w:t>
            </w:r>
            <w:r w:rsidR="00A765C4" w:rsidRPr="00A765C4">
              <w:t xml:space="preserve"> ggr/år</w:t>
            </w:r>
          </w:p>
        </w:tc>
      </w:tr>
      <w:tr w:rsidR="00536131" w14:paraId="1B0E0608" w14:textId="77777777" w:rsidTr="006D09C7">
        <w:tc>
          <w:tcPr>
            <w:tcW w:w="2830" w:type="dxa"/>
          </w:tcPr>
          <w:p w14:paraId="7ABF4DD5" w14:textId="77777777" w:rsidR="00536131" w:rsidRPr="00737ACC" w:rsidRDefault="00536131" w:rsidP="00536131">
            <w:pPr>
              <w:pStyle w:val="Tabell"/>
              <w:rPr>
                <w:lang w:val="en-US"/>
              </w:rPr>
            </w:pPr>
            <w:r w:rsidRPr="00737ACC">
              <w:rPr>
                <w:lang w:val="en-US"/>
              </w:rPr>
              <w:t>Hb, LPK, TPK</w:t>
            </w:r>
          </w:p>
          <w:p w14:paraId="5D7E14A4" w14:textId="1819CE7B" w:rsidR="00536131" w:rsidRPr="001C0FCB" w:rsidRDefault="00536131" w:rsidP="00536131">
            <w:pPr>
              <w:pStyle w:val="Tabell"/>
              <w:rPr>
                <w:lang w:val="en-GB"/>
              </w:rPr>
            </w:pPr>
            <w:r w:rsidRPr="00737ACC">
              <w:rPr>
                <w:lang w:val="en-US"/>
              </w:rPr>
              <w:t>B-</w:t>
            </w:r>
            <w:proofErr w:type="spellStart"/>
            <w:r w:rsidRPr="00737ACC">
              <w:rPr>
                <w:lang w:val="en-US"/>
              </w:rPr>
              <w:t>celler</w:t>
            </w:r>
            <w:proofErr w:type="spellEnd"/>
            <w:r w:rsidRPr="00737ACC">
              <w:rPr>
                <w:lang w:val="en-US"/>
              </w:rPr>
              <w:t xml:space="preserve"> (diff)</w:t>
            </w:r>
          </w:p>
        </w:tc>
        <w:tc>
          <w:tcPr>
            <w:tcW w:w="1560" w:type="dxa"/>
          </w:tcPr>
          <w:p w14:paraId="48EAC160" w14:textId="307EE851" w:rsidR="00536131" w:rsidRPr="00A765C4" w:rsidRDefault="009F0611" w:rsidP="006D09C7">
            <w:pPr>
              <w:pStyle w:val="Tabell"/>
              <w:jc w:val="center"/>
            </w:pPr>
            <w:r w:rsidRPr="00A765C4">
              <w:t>X</w:t>
            </w:r>
          </w:p>
        </w:tc>
        <w:tc>
          <w:tcPr>
            <w:tcW w:w="1701" w:type="dxa"/>
          </w:tcPr>
          <w:p w14:paraId="71096BFE" w14:textId="037A4C57" w:rsidR="00536131" w:rsidRPr="00A765C4" w:rsidRDefault="009F0611" w:rsidP="00536131">
            <w:pPr>
              <w:pStyle w:val="Tabell"/>
              <w:jc w:val="center"/>
            </w:pPr>
            <w:r w:rsidRPr="00A765C4">
              <w:t>X</w:t>
            </w:r>
          </w:p>
        </w:tc>
        <w:tc>
          <w:tcPr>
            <w:tcW w:w="1842" w:type="dxa"/>
          </w:tcPr>
          <w:p w14:paraId="1180F39A" w14:textId="7CFE3ECA" w:rsidR="00536131" w:rsidRPr="00A765C4" w:rsidRDefault="009F0611" w:rsidP="00536131">
            <w:pPr>
              <w:pStyle w:val="Tabell"/>
              <w:jc w:val="center"/>
            </w:pPr>
            <w:r w:rsidRPr="00A765C4">
              <w:t>X</w:t>
            </w:r>
          </w:p>
        </w:tc>
      </w:tr>
      <w:tr w:rsidR="00536131" w14:paraId="4EC01877" w14:textId="77777777" w:rsidTr="006D09C7">
        <w:tc>
          <w:tcPr>
            <w:tcW w:w="2830" w:type="dxa"/>
          </w:tcPr>
          <w:p w14:paraId="38EF2DD6" w14:textId="3112FFF4" w:rsidR="00536131" w:rsidRDefault="00536131" w:rsidP="00536131">
            <w:pPr>
              <w:pStyle w:val="Tabell"/>
            </w:pPr>
            <w:r w:rsidRPr="00737ACC">
              <w:t>ALAT</w:t>
            </w:r>
          </w:p>
        </w:tc>
        <w:tc>
          <w:tcPr>
            <w:tcW w:w="1560" w:type="dxa"/>
          </w:tcPr>
          <w:p w14:paraId="4ABE3DEA" w14:textId="0180942B" w:rsidR="00536131" w:rsidRPr="00A765C4" w:rsidRDefault="009F0611" w:rsidP="006D09C7">
            <w:pPr>
              <w:pStyle w:val="Tabell"/>
              <w:jc w:val="center"/>
            </w:pPr>
            <w:r w:rsidRPr="00A765C4">
              <w:t>X</w:t>
            </w:r>
          </w:p>
        </w:tc>
        <w:tc>
          <w:tcPr>
            <w:tcW w:w="1701" w:type="dxa"/>
          </w:tcPr>
          <w:p w14:paraId="7F5A054F" w14:textId="50704D9B" w:rsidR="00536131" w:rsidRPr="00A765C4" w:rsidRDefault="009F0611" w:rsidP="00536131">
            <w:pPr>
              <w:pStyle w:val="Tabell"/>
              <w:jc w:val="center"/>
            </w:pPr>
            <w:r w:rsidRPr="00A765C4">
              <w:t>X</w:t>
            </w:r>
          </w:p>
        </w:tc>
        <w:tc>
          <w:tcPr>
            <w:tcW w:w="1842" w:type="dxa"/>
          </w:tcPr>
          <w:p w14:paraId="3B8A9698" w14:textId="5927DA13" w:rsidR="00536131" w:rsidRPr="00A765C4" w:rsidRDefault="009F0611" w:rsidP="00536131">
            <w:pPr>
              <w:pStyle w:val="Tabell"/>
              <w:jc w:val="center"/>
            </w:pPr>
            <w:r w:rsidRPr="00A765C4">
              <w:t>X</w:t>
            </w:r>
          </w:p>
        </w:tc>
      </w:tr>
      <w:tr w:rsidR="00536131" w14:paraId="58B51D2A" w14:textId="77777777" w:rsidTr="006D09C7">
        <w:tc>
          <w:tcPr>
            <w:tcW w:w="2830" w:type="dxa"/>
          </w:tcPr>
          <w:p w14:paraId="40F2011E" w14:textId="77777777" w:rsidR="00536131" w:rsidRPr="00737ACC" w:rsidRDefault="00536131" w:rsidP="00536131">
            <w:pPr>
              <w:pStyle w:val="Tabell"/>
            </w:pPr>
            <w:r w:rsidRPr="00737ACC">
              <w:t>Hepatit B/C</w:t>
            </w:r>
          </w:p>
          <w:p w14:paraId="6412BA1F" w14:textId="1F21AEB2" w:rsidR="00536131" w:rsidRDefault="00536131" w:rsidP="00536131">
            <w:pPr>
              <w:pStyle w:val="Tabell"/>
            </w:pPr>
            <w:r w:rsidRPr="00737ACC">
              <w:t>HIV</w:t>
            </w:r>
          </w:p>
        </w:tc>
        <w:tc>
          <w:tcPr>
            <w:tcW w:w="1560" w:type="dxa"/>
          </w:tcPr>
          <w:p w14:paraId="3D7B331E" w14:textId="58E68347" w:rsidR="00536131" w:rsidRPr="00A765C4" w:rsidRDefault="009F0611" w:rsidP="006D09C7">
            <w:pPr>
              <w:pStyle w:val="Tabell"/>
              <w:jc w:val="center"/>
            </w:pPr>
            <w:r w:rsidRPr="00A765C4">
              <w:t>X</w:t>
            </w:r>
          </w:p>
        </w:tc>
        <w:tc>
          <w:tcPr>
            <w:tcW w:w="1701" w:type="dxa"/>
          </w:tcPr>
          <w:p w14:paraId="3A64E967" w14:textId="77777777" w:rsidR="00536131" w:rsidRPr="00A765C4" w:rsidRDefault="00536131" w:rsidP="00536131">
            <w:pPr>
              <w:pStyle w:val="Tabell"/>
              <w:jc w:val="center"/>
            </w:pPr>
          </w:p>
        </w:tc>
        <w:tc>
          <w:tcPr>
            <w:tcW w:w="1842" w:type="dxa"/>
          </w:tcPr>
          <w:p w14:paraId="4C5AF6A6" w14:textId="77777777" w:rsidR="00536131" w:rsidRPr="00A765C4" w:rsidRDefault="00536131" w:rsidP="00536131">
            <w:pPr>
              <w:pStyle w:val="Tabell"/>
              <w:jc w:val="center"/>
            </w:pPr>
          </w:p>
        </w:tc>
      </w:tr>
      <w:tr w:rsidR="00536131" w14:paraId="51862A72" w14:textId="77777777" w:rsidTr="006D09C7">
        <w:tc>
          <w:tcPr>
            <w:tcW w:w="2830" w:type="dxa"/>
          </w:tcPr>
          <w:p w14:paraId="6A37B17D" w14:textId="15371394" w:rsidR="00536131" w:rsidRPr="001C0FCB" w:rsidRDefault="00536131" w:rsidP="00536131">
            <w:pPr>
              <w:pStyle w:val="Tabell"/>
              <w:rPr>
                <w:lang w:val="en-GB"/>
              </w:rPr>
            </w:pPr>
            <w:r w:rsidRPr="001C0FCB">
              <w:rPr>
                <w:lang w:val="en-GB"/>
              </w:rPr>
              <w:t>Tbc</w:t>
            </w:r>
            <w:r w:rsidR="007C1A32">
              <w:rPr>
                <w:lang w:val="en-GB"/>
              </w:rPr>
              <w:t>-</w:t>
            </w:r>
            <w:r w:rsidRPr="001C0FCB">
              <w:rPr>
                <w:lang w:val="en-GB"/>
              </w:rPr>
              <w:t>screening</w:t>
            </w:r>
            <w:r w:rsidR="00BB38FB" w:rsidRPr="001C0FCB">
              <w:rPr>
                <w:lang w:val="en-GB"/>
              </w:rPr>
              <w:t>,</w:t>
            </w:r>
          </w:p>
          <w:p w14:paraId="75A0E58B" w14:textId="342EE6A7" w:rsidR="00536131" w:rsidRPr="001C0FCB" w:rsidRDefault="00536131" w:rsidP="00536131">
            <w:pPr>
              <w:pStyle w:val="Tabell"/>
              <w:rPr>
                <w:lang w:val="en-GB"/>
              </w:rPr>
            </w:pPr>
            <w:r w:rsidRPr="001C0FCB">
              <w:rPr>
                <w:lang w:val="en-GB"/>
              </w:rPr>
              <w:t>Quantiferon</w:t>
            </w:r>
          </w:p>
          <w:p w14:paraId="0DEB7D67" w14:textId="3892FD3B" w:rsidR="00536131" w:rsidRPr="001C0FCB" w:rsidRDefault="00536131" w:rsidP="00536131">
            <w:pPr>
              <w:pStyle w:val="Tabell"/>
              <w:rPr>
                <w:lang w:val="en-GB"/>
              </w:rPr>
            </w:pPr>
            <w:r w:rsidRPr="001C0FCB">
              <w:rPr>
                <w:lang w:val="en-GB"/>
              </w:rPr>
              <w:t xml:space="preserve">RTG-pulm </w:t>
            </w:r>
          </w:p>
        </w:tc>
        <w:tc>
          <w:tcPr>
            <w:tcW w:w="1560" w:type="dxa"/>
          </w:tcPr>
          <w:p w14:paraId="1E369603" w14:textId="292B8E4D" w:rsidR="00536131" w:rsidRPr="00A765C4" w:rsidRDefault="009F0611" w:rsidP="006D09C7">
            <w:pPr>
              <w:pStyle w:val="Tabell"/>
              <w:jc w:val="center"/>
            </w:pPr>
            <w:r w:rsidRPr="00A765C4">
              <w:t>X</w:t>
            </w:r>
          </w:p>
        </w:tc>
        <w:tc>
          <w:tcPr>
            <w:tcW w:w="1701" w:type="dxa"/>
          </w:tcPr>
          <w:p w14:paraId="2F25B068" w14:textId="77777777" w:rsidR="00536131" w:rsidRPr="00A765C4" w:rsidRDefault="00536131" w:rsidP="00536131">
            <w:pPr>
              <w:pStyle w:val="Tabell"/>
              <w:jc w:val="center"/>
            </w:pPr>
          </w:p>
        </w:tc>
        <w:tc>
          <w:tcPr>
            <w:tcW w:w="1842" w:type="dxa"/>
          </w:tcPr>
          <w:p w14:paraId="53ED4BEA" w14:textId="77777777" w:rsidR="00536131" w:rsidRPr="00A765C4" w:rsidRDefault="00536131" w:rsidP="00536131">
            <w:pPr>
              <w:pStyle w:val="Tabell"/>
              <w:jc w:val="center"/>
            </w:pPr>
          </w:p>
        </w:tc>
      </w:tr>
      <w:tr w:rsidR="00536131" w14:paraId="0751CAFD" w14:textId="77777777" w:rsidTr="006D09C7">
        <w:tc>
          <w:tcPr>
            <w:tcW w:w="2830" w:type="dxa"/>
          </w:tcPr>
          <w:p w14:paraId="447B5026" w14:textId="7A09A476" w:rsidR="00536131" w:rsidRDefault="00536131" w:rsidP="00536131">
            <w:pPr>
              <w:pStyle w:val="Tabell"/>
            </w:pPr>
            <w:r w:rsidRPr="00737ACC">
              <w:t>Graviditetstest</w:t>
            </w:r>
          </w:p>
        </w:tc>
        <w:tc>
          <w:tcPr>
            <w:tcW w:w="1560" w:type="dxa"/>
          </w:tcPr>
          <w:p w14:paraId="49BE9A98" w14:textId="79FFA911" w:rsidR="00536131" w:rsidRPr="00A765C4" w:rsidRDefault="009F0611" w:rsidP="006D09C7">
            <w:pPr>
              <w:pStyle w:val="Tabell"/>
              <w:jc w:val="center"/>
            </w:pPr>
            <w:r w:rsidRPr="00A765C4">
              <w:t>X</w:t>
            </w:r>
          </w:p>
        </w:tc>
        <w:tc>
          <w:tcPr>
            <w:tcW w:w="1701" w:type="dxa"/>
          </w:tcPr>
          <w:p w14:paraId="303D9C6D" w14:textId="77777777" w:rsidR="00536131" w:rsidRPr="00A765C4" w:rsidRDefault="00536131" w:rsidP="00536131">
            <w:pPr>
              <w:pStyle w:val="Tabell"/>
              <w:jc w:val="center"/>
            </w:pPr>
          </w:p>
        </w:tc>
        <w:tc>
          <w:tcPr>
            <w:tcW w:w="1842" w:type="dxa"/>
          </w:tcPr>
          <w:p w14:paraId="46A6C7F5" w14:textId="77777777" w:rsidR="00536131" w:rsidRPr="00A765C4" w:rsidRDefault="00536131" w:rsidP="00536131">
            <w:pPr>
              <w:pStyle w:val="Tabell"/>
              <w:jc w:val="center"/>
            </w:pPr>
          </w:p>
        </w:tc>
      </w:tr>
    </w:tbl>
    <w:p w14:paraId="7494B677" w14:textId="633EABA5" w:rsidR="00737ACC" w:rsidRPr="00737ACC" w:rsidRDefault="00EF353E" w:rsidP="00C522DC">
      <w:pPr>
        <w:pStyle w:val="Rubrik2"/>
        <w:ind w:left="567"/>
      </w:pPr>
      <w:bookmarkStart w:id="11" w:name="_Toc190173501"/>
      <w:r>
        <w:t>Uppföljning</w:t>
      </w:r>
      <w:bookmarkEnd w:id="11"/>
    </w:p>
    <w:p w14:paraId="0542FE82" w14:textId="77777777" w:rsidR="00195ADB" w:rsidRPr="00195ADB" w:rsidRDefault="00195ADB" w:rsidP="00195ADB">
      <w:pPr>
        <w:ind w:left="567" w:right="-2"/>
      </w:pPr>
      <w:r w:rsidRPr="00195ADB">
        <w:t xml:space="preserve">Vid insättande av systembehandling ska effekten utvärderas efter 3–4 månader då man bör se en påtaglig förbättring. Ibland kan det dock ta ända upp till 6 månader innan full effekt uppnås  </w:t>
      </w:r>
    </w:p>
    <w:p w14:paraId="7210EF19" w14:textId="249AC094" w:rsidR="00195ADB" w:rsidRDefault="00195ADB" w:rsidP="00195ADB">
      <w:pPr>
        <w:ind w:left="567" w:right="-2"/>
      </w:pPr>
      <w:r w:rsidRPr="00195ADB">
        <w:t>Alla systembehandlade psoriasispatienter bör följas upp efter 3–4 mån</w:t>
      </w:r>
      <w:r w:rsidR="00B5732B">
        <w:t>ader</w:t>
      </w:r>
      <w:r w:rsidRPr="00195ADB">
        <w:t xml:space="preserve"> av sjuksköterska eller läkare, därefter om ej uppnått behandlingsmål får man komplettera eller modifiera behandlingen och följa upp efter ytterligare 3 mån (d</w:t>
      </w:r>
      <w:r w:rsidR="00B5732B">
        <w:t>et vill säga</w:t>
      </w:r>
      <w:r w:rsidRPr="00195ADB">
        <w:t xml:space="preserve"> vid 7 mån</w:t>
      </w:r>
      <w:r w:rsidR="00B5732B">
        <w:t>ader</w:t>
      </w:r>
      <w:r w:rsidRPr="00195ADB">
        <w:t xml:space="preserve"> från start). Vid kontrollerad sjukdom rekommenderas årliga uppföljningar. Vid terapisvikt eller komplikationer kan tätare kontroller behövas.</w:t>
      </w:r>
    </w:p>
    <w:p w14:paraId="69FECF6A" w14:textId="61B82FDC" w:rsidR="00737ACC" w:rsidRPr="00737ACC" w:rsidRDefault="00DF67FA" w:rsidP="00195ADB">
      <w:pPr>
        <w:pStyle w:val="Rubrik2"/>
        <w:ind w:left="567"/>
        <w:rPr>
          <w:rFonts w:ascii="Arial" w:hAnsi="Arial" w:cs="Arial"/>
          <w:b/>
          <w:sz w:val="22"/>
          <w:szCs w:val="22"/>
        </w:rPr>
      </w:pPr>
      <w:bookmarkStart w:id="12" w:name="_Toc190173502"/>
      <w:r w:rsidRPr="00DF67FA">
        <w:lastRenderedPageBreak/>
        <w:t>Biverkningar</w:t>
      </w:r>
      <w:bookmarkEnd w:id="12"/>
    </w:p>
    <w:p w14:paraId="6F67FE7B" w14:textId="77777777" w:rsidR="00737ACC" w:rsidRPr="00737ACC" w:rsidRDefault="00737ACC" w:rsidP="009B2D0C">
      <w:pPr>
        <w:pStyle w:val="Rubrik3"/>
        <w:ind w:left="567"/>
      </w:pPr>
      <w:bookmarkStart w:id="13" w:name="_Toc190173503"/>
      <w:r w:rsidRPr="00737ACC">
        <w:t>Infektioner</w:t>
      </w:r>
      <w:bookmarkEnd w:id="13"/>
    </w:p>
    <w:p w14:paraId="039AA0E2" w14:textId="77777777" w:rsidR="00737ACC" w:rsidRPr="00737ACC" w:rsidRDefault="00737ACC" w:rsidP="00A97028">
      <w:pPr>
        <w:ind w:left="567" w:right="-2"/>
      </w:pPr>
      <w:r w:rsidRPr="00737ACC">
        <w:t xml:space="preserve">Tuberkulos, ofta </w:t>
      </w:r>
      <w:proofErr w:type="spellStart"/>
      <w:r w:rsidRPr="00737ACC">
        <w:t>extrapulmonella</w:t>
      </w:r>
      <w:proofErr w:type="spellEnd"/>
      <w:r w:rsidRPr="00737ACC">
        <w:t xml:space="preserve"> och disseminerade manifestationer. Reaktivering av hepatit B hos patienter som är kroniska bärare av hepatit B. Allvarliga infektioner med bakterier, svampar, virus eller opportunistiska infektioner som </w:t>
      </w:r>
      <w:proofErr w:type="spellStart"/>
      <w:r w:rsidRPr="00737ACC">
        <w:t>listerios</w:t>
      </w:r>
      <w:proofErr w:type="spellEnd"/>
      <w:r w:rsidRPr="00737ACC">
        <w:t xml:space="preserve">, </w:t>
      </w:r>
      <w:proofErr w:type="spellStart"/>
      <w:r w:rsidRPr="00737ACC">
        <w:t>Pneumocystis</w:t>
      </w:r>
      <w:proofErr w:type="spellEnd"/>
      <w:r w:rsidRPr="00737ACC">
        <w:t xml:space="preserve"> </w:t>
      </w:r>
      <w:proofErr w:type="spellStart"/>
      <w:r w:rsidRPr="00737ACC">
        <w:t>jirovecii</w:t>
      </w:r>
      <w:proofErr w:type="spellEnd"/>
      <w:r w:rsidRPr="00737ACC">
        <w:t xml:space="preserve"> och herpes zoster.</w:t>
      </w:r>
    </w:p>
    <w:p w14:paraId="5E1ABCAA" w14:textId="77777777" w:rsidR="00737ACC" w:rsidRPr="00737ACC" w:rsidRDefault="00737ACC" w:rsidP="005B78B3">
      <w:pPr>
        <w:pStyle w:val="Rubrik3"/>
        <w:ind w:left="567"/>
        <w:rPr>
          <w:rFonts w:ascii="Arial" w:hAnsi="Arial" w:cs="Arial"/>
          <w:b/>
          <w:sz w:val="21"/>
          <w:szCs w:val="21"/>
        </w:rPr>
      </w:pPr>
      <w:bookmarkStart w:id="14" w:name="_Toc190173504"/>
      <w:proofErr w:type="spellStart"/>
      <w:r w:rsidRPr="00A97028">
        <w:t>Demyeliniserande</w:t>
      </w:r>
      <w:proofErr w:type="spellEnd"/>
      <w:r w:rsidRPr="00737ACC">
        <w:rPr>
          <w:rFonts w:ascii="Arial" w:hAnsi="Arial" w:cs="Arial"/>
          <w:i/>
          <w:sz w:val="21"/>
          <w:szCs w:val="21"/>
        </w:rPr>
        <w:t xml:space="preserve"> </w:t>
      </w:r>
      <w:r w:rsidRPr="00A97028">
        <w:t>sjukdom</w:t>
      </w:r>
      <w:bookmarkEnd w:id="14"/>
    </w:p>
    <w:p w14:paraId="42C4B94C" w14:textId="77777777" w:rsidR="00737ACC" w:rsidRPr="00A97028" w:rsidRDefault="00737ACC" w:rsidP="00FD372C">
      <w:pPr>
        <w:ind w:left="567" w:right="-2"/>
      </w:pPr>
      <w:r w:rsidRPr="00A97028">
        <w:t xml:space="preserve">I sällsynta fall associerat med nytt skov eller exacerbation av </w:t>
      </w:r>
      <w:proofErr w:type="spellStart"/>
      <w:r w:rsidRPr="00A97028">
        <w:t>demyeliniserande</w:t>
      </w:r>
      <w:proofErr w:type="spellEnd"/>
      <w:r w:rsidRPr="00A97028">
        <w:t xml:space="preserve"> sjukdom inklusive multipel skleros. Vid neurologiska symtom med misstanke på </w:t>
      </w:r>
      <w:proofErr w:type="spellStart"/>
      <w:r w:rsidRPr="00A97028">
        <w:t>demyeliniserande</w:t>
      </w:r>
      <w:proofErr w:type="spellEnd"/>
      <w:r w:rsidRPr="00A97028">
        <w:t xml:space="preserve"> tillstånd ska behandlingen avbrytas och neurolog konsulteras. TNF-hämmare ska ej ges till patienter med anamnes på </w:t>
      </w:r>
      <w:proofErr w:type="spellStart"/>
      <w:r w:rsidRPr="00A97028">
        <w:t>demyeliniserande</w:t>
      </w:r>
      <w:proofErr w:type="spellEnd"/>
      <w:r w:rsidRPr="00A97028">
        <w:t xml:space="preserve"> sjukdom och med försiktighet till dem som har en förstagradssläkting med sådan sjukdom. </w:t>
      </w:r>
    </w:p>
    <w:p w14:paraId="100575E6" w14:textId="77777777" w:rsidR="00737ACC" w:rsidRPr="00A97028" w:rsidRDefault="00737ACC" w:rsidP="005B78B3">
      <w:pPr>
        <w:pStyle w:val="Rubrik3"/>
        <w:ind w:left="567"/>
      </w:pPr>
      <w:bookmarkStart w:id="15" w:name="_Toc190173505"/>
      <w:r w:rsidRPr="00A97028">
        <w:t>Biverkningar vid injektion/infusion</w:t>
      </w:r>
      <w:bookmarkEnd w:id="15"/>
    </w:p>
    <w:p w14:paraId="3C88B180" w14:textId="77777777" w:rsidR="00737ACC" w:rsidRPr="00A97028" w:rsidRDefault="00737ACC" w:rsidP="00FD372C">
      <w:pPr>
        <w:ind w:left="567" w:right="-2"/>
      </w:pPr>
      <w:r w:rsidRPr="00A97028">
        <w:t xml:space="preserve">Lokala reaktioner på injektionsstället vid subkutant given behandling är vanliga men avtar oftast med tiden. Akuta infusionsrelaterade reaktioner såsom anafylaktisk chock och fördröjda överkänslighetsreaktioner har rapporterats vid infusion av Infliximab (Remicade). </w:t>
      </w:r>
    </w:p>
    <w:p w14:paraId="630E5723" w14:textId="77777777" w:rsidR="00737ACC" w:rsidRPr="00737ACC" w:rsidRDefault="00737ACC" w:rsidP="005B78B3">
      <w:pPr>
        <w:pStyle w:val="Rubrik3"/>
        <w:ind w:left="567"/>
        <w:rPr>
          <w:rFonts w:ascii="Arial" w:hAnsi="Arial" w:cs="Arial"/>
          <w:b/>
          <w:sz w:val="21"/>
          <w:szCs w:val="21"/>
        </w:rPr>
      </w:pPr>
      <w:bookmarkStart w:id="16" w:name="_Toc190173506"/>
      <w:r w:rsidRPr="00A97028">
        <w:t>Maligniteter</w:t>
      </w:r>
      <w:bookmarkEnd w:id="16"/>
    </w:p>
    <w:p w14:paraId="3831B92D" w14:textId="77777777" w:rsidR="00737ACC" w:rsidRPr="00737ACC" w:rsidRDefault="00737ACC" w:rsidP="000E3B85">
      <w:pPr>
        <w:ind w:left="567" w:right="-2"/>
      </w:pPr>
      <w:r w:rsidRPr="00737ACC">
        <w:t>Med nuvarande kunskap kan man inte utesluta en ökad risk för utveckling av lymfom eller andra maligniteter hos patienter som behandlas med biologiska läkemedel. Stor försiktighet ska iakttas när man överväger behandling med biologiska preparat hos patienter med anamnes på malignitet eller hos patienter som fortsätter med behandling efter utvecklande av malignitet. En ökad förekomst av non-melanoma skin cancer (NMSC) har rapporterats. Patienter som tidigare fått stor mängd immunosuppressiv behandling eller PUVA ska särskilt undersökas avseende förekomsten av hudcancer före och under behandlingen med TNF-och IL-hämmare.</w:t>
      </w:r>
    </w:p>
    <w:p w14:paraId="6699B68E" w14:textId="77777777" w:rsidR="00737ACC" w:rsidRPr="00737ACC" w:rsidRDefault="00737ACC" w:rsidP="005B78B3">
      <w:pPr>
        <w:pStyle w:val="Rubrik3"/>
        <w:ind w:left="567"/>
        <w:rPr>
          <w:rFonts w:ascii="Arial" w:hAnsi="Arial" w:cs="Arial"/>
          <w:b/>
          <w:i/>
          <w:sz w:val="21"/>
          <w:szCs w:val="21"/>
        </w:rPr>
      </w:pPr>
      <w:bookmarkStart w:id="17" w:name="_Toc190173507"/>
      <w:r w:rsidRPr="00A97028">
        <w:t>Hjärtsvikt</w:t>
      </w:r>
      <w:bookmarkEnd w:id="17"/>
    </w:p>
    <w:p w14:paraId="31FD632B" w14:textId="77777777" w:rsidR="00737ACC" w:rsidRPr="000E3B85" w:rsidRDefault="00737ACC" w:rsidP="000E3B85">
      <w:pPr>
        <w:ind w:left="567" w:right="-2"/>
      </w:pPr>
      <w:r w:rsidRPr="000E3B85">
        <w:t xml:space="preserve">TNF-hämmare ska användas med försiktighet hos patienter med mild hjärtsvikt (NYHA klass I/II). TNF-hämmare är kontraindicerat vid måttlig eller svår hjärtsvikt (NYHA klass III/IV). Behandling med TNF-hämmare ska avbrytas hos patienter som utvecklar symtom på hjärtsvikt. </w:t>
      </w:r>
    </w:p>
    <w:p w14:paraId="7A05204D" w14:textId="1652F198" w:rsidR="00737ACC" w:rsidRPr="000B3DFE" w:rsidRDefault="00737ACC" w:rsidP="000B3DFE">
      <w:pPr>
        <w:ind w:left="567" w:right="-2"/>
      </w:pPr>
      <w:r w:rsidRPr="000E3B85">
        <w:rPr>
          <w:b/>
          <w:bCs/>
        </w:rPr>
        <w:t>Svampinfektioner</w:t>
      </w:r>
      <w:r w:rsidRPr="000E3B85">
        <w:t xml:space="preserve"> (vanligast candidiasis) kan förekomma vid behandling med IL-17 hämmare. </w:t>
      </w:r>
    </w:p>
    <w:p w14:paraId="31B51173" w14:textId="6D2C2FC6" w:rsidR="00737ACC" w:rsidRPr="00737ACC" w:rsidRDefault="000E3B85" w:rsidP="005B78B3">
      <w:pPr>
        <w:pStyle w:val="Rubrik2"/>
        <w:ind w:left="567"/>
      </w:pPr>
      <w:bookmarkStart w:id="18" w:name="_Toc190173508"/>
      <w:r w:rsidRPr="00737ACC">
        <w:lastRenderedPageBreak/>
        <w:t>Operationer</w:t>
      </w:r>
      <w:bookmarkEnd w:id="18"/>
    </w:p>
    <w:p w14:paraId="4F074328" w14:textId="77632CD0" w:rsidR="00737ACC" w:rsidRPr="00E436E3" w:rsidRDefault="00737ACC" w:rsidP="00C859D9">
      <w:pPr>
        <w:ind w:left="567" w:right="-2"/>
      </w:pPr>
      <w:r w:rsidRPr="000E3B85">
        <w:t xml:space="preserve">Baserat på de studier som finns så kan man fortsätta med systembehandling vid kirurgiska ingrepp som innebär en låg komplikationsrisk. Vid kirurgiska ingrepp med intermediär och hög risk får man ta ställning till fortsatt behandling från fall till fall baserat på patientens individuella riskfaktorer och </w:t>
      </w:r>
      <w:proofErr w:type="spellStart"/>
      <w:r w:rsidRPr="000E3B85">
        <w:t>komorbiditeter</w:t>
      </w:r>
      <w:proofErr w:type="spellEnd"/>
      <w:r w:rsidRPr="000E3B85">
        <w:t xml:space="preserve">. Vid eventuellt behandlingsuppehåll får man ta hänsyn till specifika preparatets halveringstid. Behandlingen kan återupptas när operationssåret har läkt. </w:t>
      </w:r>
    </w:p>
    <w:p w14:paraId="64A83D74" w14:textId="77777777" w:rsidR="00737ACC" w:rsidRPr="00737ACC" w:rsidRDefault="00737ACC" w:rsidP="005B78B3">
      <w:pPr>
        <w:pStyle w:val="Rubrik2"/>
        <w:ind w:left="567"/>
        <w:rPr>
          <w:rFonts w:ascii="Arial" w:hAnsi="Arial" w:cs="Arial"/>
          <w:b/>
          <w:sz w:val="22"/>
          <w:szCs w:val="22"/>
          <w:lang w:eastAsia="en-US"/>
        </w:rPr>
      </w:pPr>
      <w:bookmarkStart w:id="19" w:name="_Toc190173509"/>
      <w:r>
        <w:t>Vaccinationer</w:t>
      </w:r>
      <w:bookmarkEnd w:id="19"/>
    </w:p>
    <w:p w14:paraId="22BD4619" w14:textId="4599E8A7" w:rsidR="00737ACC" w:rsidRPr="00E436E3" w:rsidRDefault="31B7C9D3" w:rsidP="130040E9">
      <w:pPr>
        <w:ind w:left="567" w:right="-2"/>
        <w:rPr>
          <w:color w:val="000000" w:themeColor="text2"/>
        </w:rPr>
      </w:pPr>
      <w:r w:rsidRPr="130040E9">
        <w:rPr>
          <w:color w:val="000000" w:themeColor="text2"/>
        </w:rPr>
        <w:t>Genomgång av tidigare vaccinationsstatus bör ingå vid första kontakten med patienten. Det är bra om patienten kan vaccineras innan behandling sätts in för att erhålla optimalt vaccinationssvar, men icke levande vaccin kan även ges till patienter under pågående immunmodulerande behandling.</w:t>
      </w:r>
    </w:p>
    <w:p w14:paraId="3771A4E9" w14:textId="3E3A01C2" w:rsidR="00737ACC" w:rsidRPr="00E436E3" w:rsidRDefault="006F11A8" w:rsidP="008A661E">
      <w:pPr>
        <w:spacing w:after="0"/>
        <w:ind w:left="567" w:right="-2"/>
      </w:pPr>
      <w:r w:rsidRPr="6262C5DB">
        <w:rPr>
          <w:color w:val="000000" w:themeColor="text2"/>
        </w:rPr>
        <w:t xml:space="preserve">Influensavaccination rekommenderas årligen. Folkhälsomyndigheten rekommenderar </w:t>
      </w:r>
      <w:r w:rsidRPr="00BB7006">
        <w:t>också pneumokockvaccination</w:t>
      </w:r>
      <w:r w:rsidR="0C25E8A1" w:rsidRPr="00BB7006">
        <w:t xml:space="preserve"> (kostnadsfri </w:t>
      </w:r>
      <w:r w:rsidR="27B01878" w:rsidRPr="00BB7006">
        <w:t>för</w:t>
      </w:r>
      <w:r w:rsidR="0C25E8A1" w:rsidRPr="00BB7006">
        <w:t xml:space="preserve"> patienter med nedsatt immunförsvar eller som tillhör riskgrupper)</w:t>
      </w:r>
      <w:r w:rsidRPr="00BB7006">
        <w:t>.</w:t>
      </w:r>
      <w:r w:rsidR="21AE2DB2" w:rsidRPr="00BB7006">
        <w:t xml:space="preserve"> </w:t>
      </w:r>
      <w:r w:rsidR="5F74C2E2" w:rsidRPr="00BB7006">
        <w:t>Infektionskliniken rekommenderar</w:t>
      </w:r>
      <w:r w:rsidR="00433A3E" w:rsidRPr="00BB7006">
        <w:t xml:space="preserve"> </w:t>
      </w:r>
      <w:proofErr w:type="spellStart"/>
      <w:r w:rsidR="00433A3E" w:rsidRPr="00BB7006">
        <w:t>Apexxnar</w:t>
      </w:r>
      <w:proofErr w:type="spellEnd"/>
      <w:r w:rsidR="00433A3E" w:rsidRPr="00BB7006">
        <w:t xml:space="preserve"> och minst 2 mån senare </w:t>
      </w:r>
      <w:proofErr w:type="spellStart"/>
      <w:r w:rsidR="00433A3E" w:rsidRPr="00BB7006">
        <w:t>Pneumovax</w:t>
      </w:r>
      <w:proofErr w:type="spellEnd"/>
      <w:r w:rsidR="00433A3E" w:rsidRPr="00BB7006">
        <w:t xml:space="preserve"> till de med kraftig immunsuppression till följd av immunmodulerande behandling. Vid enbart TNF-hämmare eller &lt;15 mg Prednisolon/dag bör det räcka med enbart </w:t>
      </w:r>
      <w:proofErr w:type="spellStart"/>
      <w:r w:rsidR="00433A3E" w:rsidRPr="00BB7006">
        <w:t>Apexxnar</w:t>
      </w:r>
      <w:proofErr w:type="spellEnd"/>
      <w:r w:rsidR="00433A3E" w:rsidRPr="00BB7006">
        <w:t xml:space="preserve"> förutsatt att patienten inte har andra individuella faktorer som motiverar vaccin med både </w:t>
      </w:r>
      <w:proofErr w:type="spellStart"/>
      <w:r w:rsidR="00433A3E" w:rsidRPr="00BB7006">
        <w:t>Apexxnar</w:t>
      </w:r>
      <w:proofErr w:type="spellEnd"/>
      <w:r w:rsidR="00433A3E" w:rsidRPr="00BB7006">
        <w:t xml:space="preserve"> och </w:t>
      </w:r>
      <w:proofErr w:type="spellStart"/>
      <w:r w:rsidR="00433A3E" w:rsidRPr="00BB7006">
        <w:t>Pneumovax</w:t>
      </w:r>
      <w:proofErr w:type="spellEnd"/>
      <w:r w:rsidR="00433A3E" w:rsidRPr="00BB7006">
        <w:t>. Patienter bör remitteras till primärvården och det finns en standardremiss som vi kan använda med KVÅ-kod UX661 som vårdcentralen i sin tur</w:t>
      </w:r>
      <w:r w:rsidR="00BE0849">
        <w:t xml:space="preserve"> kan</w:t>
      </w:r>
      <w:r w:rsidR="00433A3E" w:rsidRPr="00BB7006">
        <w:t xml:space="preserve"> använda för att få omkostnadsersättning. Det bästa är att vaccinera patienter (en dos </w:t>
      </w:r>
      <w:proofErr w:type="spellStart"/>
      <w:r w:rsidR="00433A3E" w:rsidRPr="00BB7006">
        <w:t>Apexxnar</w:t>
      </w:r>
      <w:proofErr w:type="spellEnd"/>
      <w:r w:rsidR="00433A3E" w:rsidRPr="00BB7006">
        <w:t>) innan man börjar med biologisk behandling.</w:t>
      </w:r>
      <w:r w:rsidR="002A7A9A">
        <w:br/>
      </w:r>
      <w:r w:rsidR="008A661E">
        <w:br/>
      </w:r>
      <w:r w:rsidR="00737ACC">
        <w:t>Om det finns behov för vaccinering med levande virus så görs uppehåll med biologisk behandling under 3 månader före vaccinering. Systembehandling kan återupptas tidigast en månad efter vaccination med levande virus.</w:t>
      </w:r>
      <w:r w:rsidR="0073411C">
        <w:t xml:space="preserve"> Vi rekommenderar att patienter med psoriasis vaccinerar sig mot Covid-19.</w:t>
      </w:r>
    </w:p>
    <w:p w14:paraId="1DD04694" w14:textId="77777777" w:rsidR="00737ACC" w:rsidRPr="00737ACC" w:rsidRDefault="00737ACC" w:rsidP="00AC38C1">
      <w:pPr>
        <w:pStyle w:val="MellanrubrikVGR"/>
        <w:spacing w:after="0"/>
        <w:ind w:left="567"/>
        <w:rPr>
          <w:lang w:eastAsia="en-US"/>
        </w:rPr>
      </w:pPr>
      <w:r w:rsidRPr="00737ACC">
        <w:rPr>
          <w:lang w:eastAsia="en-US"/>
        </w:rPr>
        <w:t>Vaccinationer barn</w:t>
      </w:r>
    </w:p>
    <w:p w14:paraId="0C84B65E" w14:textId="7659C565" w:rsidR="00737ACC" w:rsidRPr="00AA3934" w:rsidRDefault="00737ACC" w:rsidP="009737EA">
      <w:pPr>
        <w:ind w:left="567" w:right="-2"/>
      </w:pPr>
      <w:r w:rsidRPr="00E436E3">
        <w:t xml:space="preserve">Serologi för varicella-IgG bör analyseras på alla barn oavsett hur säker uppgiften om genomgången varicella är innan insättande av metotrexat eller något biologiskt läkemedel. I övrigt hänvisar vi till Svensk </w:t>
      </w:r>
      <w:proofErr w:type="spellStart"/>
      <w:r w:rsidRPr="00E436E3">
        <w:t>Barnreumatologisk</w:t>
      </w:r>
      <w:proofErr w:type="spellEnd"/>
      <w:r w:rsidRPr="00E436E3">
        <w:t xml:space="preserve"> Förening och deras PM om vaccinationer till barn med reumatiska sjukdomar: Rekommendationer för vaccination av barn och unga med juvenil idiopatisk artrit (JIA), 2019-08-25, </w:t>
      </w:r>
      <w:proofErr w:type="spellStart"/>
      <w:r w:rsidRPr="00E436E3">
        <w:t>pdf</w:t>
      </w:r>
      <w:proofErr w:type="spellEnd"/>
      <w:r w:rsidRPr="00E436E3">
        <w:t xml:space="preserve"> </w:t>
      </w:r>
      <w:hyperlink r:id="rId19" w:history="1">
        <w:r w:rsidRPr="00E436E3">
          <w:rPr>
            <w:color w:val="0000FF"/>
            <w:u w:val="single"/>
          </w:rPr>
          <w:t>länk (barnlakarforeningen.se)</w:t>
        </w:r>
      </w:hyperlink>
    </w:p>
    <w:p w14:paraId="5A54F58F" w14:textId="0A1A80D9" w:rsidR="00737ACC" w:rsidRPr="00737ACC" w:rsidRDefault="00B84989" w:rsidP="00A672E0">
      <w:pPr>
        <w:pStyle w:val="Rubrik2"/>
        <w:ind w:left="567"/>
        <w:rPr>
          <w:sz w:val="21"/>
          <w:szCs w:val="21"/>
        </w:rPr>
      </w:pPr>
      <w:bookmarkStart w:id="20" w:name="_Toc190173510"/>
      <w:r w:rsidRPr="00737ACC">
        <w:lastRenderedPageBreak/>
        <w:t>Tandvård</w:t>
      </w:r>
      <w:bookmarkEnd w:id="20"/>
      <w:r w:rsidRPr="00737ACC">
        <w:t xml:space="preserve"> </w:t>
      </w:r>
    </w:p>
    <w:p w14:paraId="0108792B" w14:textId="37CF3DC7" w:rsidR="00737ACC" w:rsidRPr="0014378A" w:rsidRDefault="00737ACC" w:rsidP="00AB097E">
      <w:pPr>
        <w:ind w:left="567" w:right="-2"/>
      </w:pPr>
      <w:r w:rsidRPr="00737ACC">
        <w:t xml:space="preserve">I samband med tandingrepp/tandhygieniska åtgärder där blödning regelmässigt förekommer och hög infektionsrisk misstänks föreligga, bör antibiotika ges för att minska risken för bakterieintrång i kroppen. Exempelvis </w:t>
      </w:r>
      <w:proofErr w:type="spellStart"/>
      <w:r w:rsidRPr="00737ACC">
        <w:t>amoxicillin</w:t>
      </w:r>
      <w:proofErr w:type="spellEnd"/>
      <w:r w:rsidRPr="00737ACC">
        <w:t xml:space="preserve"> 3 g i engångsdos.</w:t>
      </w:r>
    </w:p>
    <w:p w14:paraId="3D1D0771" w14:textId="5D108F2E" w:rsidR="00737ACC" w:rsidRPr="00B84989" w:rsidRDefault="00B84989" w:rsidP="00A672E0">
      <w:pPr>
        <w:pStyle w:val="Rubrik2"/>
        <w:ind w:left="567"/>
      </w:pPr>
      <w:bookmarkStart w:id="21" w:name="_Toc190173511"/>
      <w:r w:rsidRPr="00B84989">
        <w:t>Graviditet och amning</w:t>
      </w:r>
      <w:bookmarkEnd w:id="21"/>
    </w:p>
    <w:p w14:paraId="011C8C32" w14:textId="10D83A5C" w:rsidR="00737ACC" w:rsidRPr="00737ACC" w:rsidRDefault="00737ACC" w:rsidP="00210601">
      <w:pPr>
        <w:ind w:left="567" w:right="-2"/>
      </w:pPr>
      <w:r w:rsidRPr="00737ACC">
        <w:t xml:space="preserve">Användning av biologiska läkemedel rekommenderas inte under graviditet och amning utom i särskilt svåra fall av psoriasis där andra alternativ inte finns tillgängliga. </w:t>
      </w:r>
    </w:p>
    <w:p w14:paraId="57DA7A80" w14:textId="2DF5327B" w:rsidR="00737ACC" w:rsidRPr="00737ACC" w:rsidRDefault="00737ACC" w:rsidP="00210601">
      <w:pPr>
        <w:ind w:left="567" w:right="-2"/>
      </w:pPr>
      <w:r>
        <w:t xml:space="preserve">Flest data om biologisk behandling under graviditet finns på patienter med reumatiska sjukdomar eller inflammatoriska tarmsjukdomar. Biologisk behandling bör om möjligt avslutas vid påvisad graviditet. Djurstudier och klinisk erfarenhet har hittills inte kunnat belägga några </w:t>
      </w:r>
      <w:proofErr w:type="spellStart"/>
      <w:r>
        <w:t>teratogena</w:t>
      </w:r>
      <w:proofErr w:type="spellEnd"/>
      <w:r>
        <w:t xml:space="preserve"> risker vid behandling med TNF-hämmare (&gt;2500 graviditeter) men data är fortfarande otillräckliga för att TNF-blockad under graviditet generellt ska kunna rekommenderas. Vid svår psoriasis kan dock behandlingen fortgå med TNF-hämmare</w:t>
      </w:r>
      <w:r>
        <w:fldChar w:fldCharType="begin"/>
      </w:r>
      <w:r>
        <w:instrText xml:space="preserve"> ADDIN EN.CITE &lt;EndNote&gt;&lt;Cite&gt;&lt;Author&gt;Porter&lt;/Author&gt;&lt;Year&gt;2017&lt;/Year&gt;&lt;RecNum&gt;24&lt;/RecNum&gt;&lt;DisplayText&gt;(59)&lt;/DisplayText&gt;&lt;record&gt;&lt;rec-number&gt;24&lt;/rec-number&gt;&lt;foreign-keys&gt;&lt;key app="EN" db-id="s29xprp2exvw93efzp8x2wv1x0aa95rw2awp" timestamp="1519308522"&gt;24&lt;/key&gt;&lt;/foreign-keys&gt;&lt;ref-type name="Journal Article"&gt;17&lt;/ref-type&gt;&lt;contributors&gt;&lt;authors&gt;&lt;author&gt;Porter, M. L.&lt;/author&gt;&lt;author&gt;Lockwood, S. J.&lt;/author&gt;&lt;author&gt;Kimball, A. B.&lt;/author&gt;&lt;/authors&gt;&lt;/contributors&gt;&lt;auth-address&gt;Clinical Unit for Research Trials and Outcomes in Skin (CURTIS), Massachusetts General Hospital, Boston, MA.&amp;#xD;Department of Dermatology, Harvard Medical School, MA.&amp;#xD;Harvard Medical Faculty Physicians, Beth Israel Deaconess Medical Center, Boston, MA.&lt;/auth-address&gt;&lt;titles&gt;&lt;title&gt;Update on biologic safety for patients with psoriasis during pregnancy&lt;/title&gt;&lt;secondary-title&gt;Int J Womens Dermatol&lt;/secondary-title&gt;&lt;/titles&gt;&lt;pages&gt;21-25&lt;/pages&gt;&lt;volume&gt;3&lt;/volume&gt;&lt;number&gt;1&lt;/number&gt;&lt;keywords&gt;&lt;keyword&gt;TNF-alpha inhibitors&lt;/keyword&gt;&lt;keyword&gt;biologic agents&lt;/keyword&gt;&lt;keyword&gt;lactation&lt;/keyword&gt;&lt;keyword&gt;pregnancy&lt;/keyword&gt;&lt;keyword&gt;psoriasis&lt;/keyword&gt;&lt;/keywords&gt;&lt;dates&gt;&lt;year&gt;2017&lt;/year&gt;&lt;pub-dates&gt;&lt;date&gt;Mar&lt;/date&gt;&lt;/pub-dates&gt;&lt;/dates&gt;&lt;isbn&gt;2352-6475 (Print)&amp;#xD;2352-6475 (Linking)&lt;/isbn&gt;&lt;accession-num&gt;28492050&lt;/accession-num&gt;&lt;urls&gt;&lt;related-urls&gt;&lt;url&gt;https://www.ncbi.nlm.nih.gov/pubmed/28492050&lt;/url&gt;&lt;/related-urls&gt;&lt;/urls&gt;&lt;custom2&gt;PMC5419021&lt;/custom2&gt;&lt;electronic-resource-num&gt;10.1016/j.ijwd.2016.12.003&lt;/electronic-resource-num&gt;&lt;/record&gt;&lt;/Cite&gt;&lt;/EndNote&gt;</w:instrText>
      </w:r>
      <w:r>
        <w:fldChar w:fldCharType="separate"/>
      </w:r>
      <w:r>
        <w:fldChar w:fldCharType="end"/>
      </w:r>
      <w:r>
        <w:t>, men helst avslutas före graviditetsvecka 30 eftersom transporten av antikroppar</w:t>
      </w:r>
      <w:r w:rsidR="46C782C8">
        <w:t xml:space="preserve"> </w:t>
      </w:r>
      <w:r>
        <w:t xml:space="preserve">(IgG1) över placenta äger rum framför allt under 3:e </w:t>
      </w:r>
      <w:proofErr w:type="spellStart"/>
      <w:r>
        <w:t>trimestern</w:t>
      </w:r>
      <w:proofErr w:type="spellEnd"/>
      <w:r>
        <w:t xml:space="preserve">. </w:t>
      </w:r>
      <w:proofErr w:type="spellStart"/>
      <w:r>
        <w:t>Certolizumab</w:t>
      </w:r>
      <w:proofErr w:type="spellEnd"/>
      <w:r>
        <w:t xml:space="preserve"> är en TNF-hämmare som helt saknar </w:t>
      </w:r>
      <w:proofErr w:type="spellStart"/>
      <w:r>
        <w:t>Fc</w:t>
      </w:r>
      <w:proofErr w:type="spellEnd"/>
      <w:r>
        <w:t xml:space="preserve">-fragment med ingen eller minimal placentatransport. Vid stark klinisk indikation för behandling med TNF-hämmare genom hela graviditeten så är </w:t>
      </w:r>
      <w:proofErr w:type="spellStart"/>
      <w:r>
        <w:t>certolizumab</w:t>
      </w:r>
      <w:proofErr w:type="spellEnd"/>
      <w:r>
        <w:t xml:space="preserve"> att föredra. </w:t>
      </w:r>
    </w:p>
    <w:p w14:paraId="641D459C" w14:textId="1E50B726" w:rsidR="125B14AC" w:rsidRDefault="125B14AC" w:rsidP="61BD42BA">
      <w:pPr>
        <w:ind w:left="567" w:right="-2"/>
      </w:pPr>
      <w:r w:rsidRPr="61BD42BA">
        <w:t>Om exponering med TNF-blockad har skett i sen graviditet ska BCG-vaccin till barnet undvikas de första 6 levnadsmånaderna utom för infliximab där det bör undvikas under de första 12 levnadsmånaderna.</w:t>
      </w:r>
    </w:p>
    <w:p w14:paraId="257B1BB9" w14:textId="6A20D1BD" w:rsidR="00737ACC" w:rsidRPr="00737ACC" w:rsidRDefault="00737ACC" w:rsidP="61BD42BA">
      <w:pPr>
        <w:ind w:left="567" w:right="-2"/>
      </w:pPr>
      <w:r>
        <w:t xml:space="preserve">Bäst data för behandling med biologiska läkemedel under amning finns på </w:t>
      </w:r>
      <w:proofErr w:type="spellStart"/>
      <w:r>
        <w:t>certolizumab</w:t>
      </w:r>
      <w:proofErr w:type="spellEnd"/>
      <w:r>
        <w:t xml:space="preserve"> och </w:t>
      </w:r>
      <w:proofErr w:type="spellStart"/>
      <w:r>
        <w:t>adalimumab</w:t>
      </w:r>
      <w:proofErr w:type="spellEnd"/>
      <w:r>
        <w:t xml:space="preserve"> där studier inte visat detekterbara nivåer i modersmjölk.</w:t>
      </w:r>
      <w:r w:rsidR="34B99A60" w:rsidRPr="61BD42BA">
        <w:t xml:space="preserve"> Oralt intag av </w:t>
      </w:r>
      <w:proofErr w:type="spellStart"/>
      <w:r w:rsidR="34B99A60" w:rsidRPr="61BD42BA">
        <w:t>immunoglobuliner</w:t>
      </w:r>
      <w:proofErr w:type="spellEnd"/>
      <w:r w:rsidR="34B99A60" w:rsidRPr="61BD42BA">
        <w:t xml:space="preserve"> genomgår </w:t>
      </w:r>
      <w:proofErr w:type="spellStart"/>
      <w:r w:rsidR="34B99A60" w:rsidRPr="61BD42BA">
        <w:t>intestinal</w:t>
      </w:r>
      <w:proofErr w:type="spellEnd"/>
      <w:r w:rsidR="34B99A60" w:rsidRPr="61BD42BA">
        <w:t xml:space="preserve"> </w:t>
      </w:r>
      <w:proofErr w:type="spellStart"/>
      <w:r w:rsidR="34B99A60" w:rsidRPr="61BD42BA">
        <w:t>proteolys</w:t>
      </w:r>
      <w:proofErr w:type="spellEnd"/>
      <w:r w:rsidR="34B99A60" w:rsidRPr="61BD42BA">
        <w:t>, har låg biotillgänglighet och inga effekter förväntas på det ammande nyfödda barnet. Dock saknas säkerhetsdata för de flesta biologiska läkemedel. Infliximab har detekterats i låga nivåer i bröstmjölk och i serum hos spädbarn efter exponering av infliximab via bröstmjölk. Administrering av levande vaccin till ett spädbarn som ammas av en kvinna under behandling med infliximab rekommenderas därför inte. För övriga biologiska preparat är humandata mycket begränsade eller saknas och avråds därför från att användas under graviditet eller amning.</w:t>
      </w:r>
    </w:p>
    <w:p w14:paraId="1F1D85CA" w14:textId="59868683" w:rsidR="130040E9" w:rsidRDefault="430A492D" w:rsidP="61BD42BA">
      <w:pPr>
        <w:ind w:left="567" w:right="-2"/>
      </w:pPr>
      <w:r>
        <w:t xml:space="preserve">Det är sparsamt med kontrollerade data gällande </w:t>
      </w:r>
      <w:proofErr w:type="spellStart"/>
      <w:r>
        <w:t>teratogenicitet</w:t>
      </w:r>
      <w:proofErr w:type="spellEnd"/>
      <w:r>
        <w:t xml:space="preserve"> och nedsatt fertilitet hos män till följd av systemisk behandling av psoriasis. Vad gäller biologiska läkemedel finns det inga data som tyder på </w:t>
      </w:r>
      <w:proofErr w:type="spellStart"/>
      <w:r>
        <w:t>teratogena</w:t>
      </w:r>
      <w:proofErr w:type="spellEnd"/>
      <w:r>
        <w:t xml:space="preserve"> effekter av TNF-hämmare och behandlingen kan därför fortgå. För övriga biologiska preparat är humandata mycket begränsade eller saknas.</w:t>
      </w:r>
    </w:p>
    <w:p w14:paraId="25AE7BCF" w14:textId="0FDFAA60" w:rsidR="00737ACC" w:rsidRPr="00737ACC" w:rsidRDefault="00C9321B" w:rsidP="00C9321B">
      <w:pPr>
        <w:pStyle w:val="Rubrik3"/>
        <w:ind w:left="567" w:right="140"/>
      </w:pPr>
      <w:bookmarkStart w:id="22" w:name="_Toc190173512"/>
      <w:r w:rsidRPr="00737ACC">
        <w:lastRenderedPageBreak/>
        <w:t>Optimering av behandling med biologiska läkemedel</w:t>
      </w:r>
      <w:bookmarkEnd w:id="22"/>
    </w:p>
    <w:p w14:paraId="46A2C31C" w14:textId="77777777" w:rsidR="006F0F3D" w:rsidRPr="006F0F3D" w:rsidRDefault="006F0F3D" w:rsidP="00AC38C1">
      <w:pPr>
        <w:pStyle w:val="MellanrubrikVGR"/>
        <w:spacing w:after="0"/>
        <w:ind w:left="567" w:right="-2"/>
      </w:pPr>
      <w:r w:rsidRPr="006F0F3D">
        <w:t>Behandlingens längd</w:t>
      </w:r>
    </w:p>
    <w:p w14:paraId="413744B0" w14:textId="77777777" w:rsidR="00521025" w:rsidRDefault="00521025" w:rsidP="00C73346">
      <w:pPr>
        <w:spacing w:after="0"/>
        <w:ind w:left="567" w:right="-2"/>
      </w:pPr>
      <w:r w:rsidRPr="00563063">
        <w:t xml:space="preserve">Kontinuerlig behandling rekommenderas i de flesta fall men vid långvarig stabil lågaktiv plackpsoriasis (≥ 6 månader) kan man överväga att glesa ut behandlingen genom att förlänga behandlingsintervaller (dosreduktion) (se </w:t>
      </w:r>
      <w:r>
        <w:t>F</w:t>
      </w:r>
      <w:r w:rsidRPr="00563063">
        <w:t xml:space="preserve">igur </w:t>
      </w:r>
      <w:r>
        <w:t>1</w:t>
      </w:r>
      <w:r w:rsidRPr="00563063">
        <w:t xml:space="preserve">). Vid samtidig psoriasisartrit bör man alltid diskutera dosreduktionen (DR) med reumatolog. DR är aldrig aktuell för patienter som behandlas med infliximab pg a risk för infusionsreaktioner. För </w:t>
      </w:r>
      <w:proofErr w:type="spellStart"/>
      <w:r w:rsidRPr="00563063">
        <w:t>adalimumab</w:t>
      </w:r>
      <w:proofErr w:type="spellEnd"/>
      <w:r w:rsidRPr="00563063">
        <w:t xml:space="preserve">, </w:t>
      </w:r>
      <w:proofErr w:type="spellStart"/>
      <w:r w:rsidRPr="00563063">
        <w:t>etanercept</w:t>
      </w:r>
      <w:proofErr w:type="spellEnd"/>
      <w:r w:rsidRPr="00563063">
        <w:t xml:space="preserve"> och </w:t>
      </w:r>
      <w:proofErr w:type="spellStart"/>
      <w:r w:rsidRPr="00563063">
        <w:t>ustekinumab</w:t>
      </w:r>
      <w:proofErr w:type="spellEnd"/>
      <w:r w:rsidRPr="00563063">
        <w:t xml:space="preserve"> så finns tillräckligt med evidens för att kunna rekommendera systematisk DR enligt figur </w:t>
      </w:r>
      <w:r>
        <w:t>1.</w:t>
      </w:r>
      <w:r w:rsidRPr="00563063">
        <w:t xml:space="preserve"> DR kan då även tillämpas vid behandling av barn. För modernare IL23 och IL17 hämmare finns ännu ej tillräckligt med studier för att kunna utfärda tydliga rekommendationer även om man kan överväga off-label DR i enskilda fall efter överenskommelse med en välinformerad patient. </w:t>
      </w:r>
    </w:p>
    <w:p w14:paraId="3B427849" w14:textId="3E790FD4" w:rsidR="00C73346" w:rsidRDefault="00C73346" w:rsidP="00AC38C1">
      <w:pPr>
        <w:pStyle w:val="Beskrivning"/>
        <w:keepNext/>
        <w:spacing w:after="0"/>
      </w:pPr>
      <w:r>
        <w:lastRenderedPageBreak/>
        <w:t xml:space="preserve">Figur </w:t>
      </w:r>
      <w:r>
        <w:fldChar w:fldCharType="begin"/>
      </w:r>
      <w:r>
        <w:instrText xml:space="preserve"> SEQ Figur \* ARABIC </w:instrText>
      </w:r>
      <w:r>
        <w:fldChar w:fldCharType="separate"/>
      </w:r>
      <w:r>
        <w:rPr>
          <w:noProof/>
        </w:rPr>
        <w:t>1</w:t>
      </w:r>
      <w:r>
        <w:fldChar w:fldCharType="end"/>
      </w:r>
    </w:p>
    <w:p w14:paraId="0A9524A8" w14:textId="433AC8D8" w:rsidR="00521025" w:rsidRPr="00195ADB" w:rsidRDefault="00521025" w:rsidP="00C73346">
      <w:pPr>
        <w:keepNext/>
        <w:ind w:left="567" w:right="-2"/>
      </w:pPr>
      <w:r>
        <w:rPr>
          <w:noProof/>
          <w:color w:val="000000"/>
        </w:rPr>
        <w:drawing>
          <wp:inline distT="0" distB="0" distL="0" distR="0" wp14:anchorId="16ABEC92" wp14:editId="7FA579BE">
            <wp:extent cx="5669915" cy="5384800"/>
            <wp:effectExtent l="0" t="0" r="6985" b="6350"/>
            <wp:docPr id="2055888032" name="Bildobjekt 1" descr="En bild som visar text, skärmbild, Teckensnit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888032" name="Bildobjekt 1" descr="En bild som visar text, skärmbild, Teckensnitt, diagram"/>
                    <pic:cNvPicPr>
                      <a:picLocks noChangeAspect="1" noChangeArrowheads="1"/>
                    </pic:cNvPicPr>
                  </pic:nvPicPr>
                  <pic:blipFill rotWithShape="1">
                    <a:blip r:embed="rId20" r:link="rId21">
                      <a:extLst>
                        <a:ext uri="{28A0092B-C50C-407E-A947-70E740481C1C}">
                          <a14:useLocalDpi xmlns:a14="http://schemas.microsoft.com/office/drawing/2010/main" val="0"/>
                        </a:ext>
                      </a:extLst>
                    </a:blip>
                    <a:srcRect t="1837" b="803"/>
                    <a:stretch/>
                  </pic:blipFill>
                  <pic:spPr bwMode="auto">
                    <a:xfrm>
                      <a:off x="0" y="0"/>
                      <a:ext cx="5669915" cy="5384800"/>
                    </a:xfrm>
                    <a:prstGeom prst="rect">
                      <a:avLst/>
                    </a:prstGeom>
                    <a:noFill/>
                    <a:ln>
                      <a:noFill/>
                    </a:ln>
                    <a:extLst>
                      <a:ext uri="{53640926-AAD7-44D8-BBD7-CCE9431645EC}">
                        <a14:shadowObscured xmlns:a14="http://schemas.microsoft.com/office/drawing/2010/main"/>
                      </a:ext>
                    </a:extLst>
                  </pic:spPr>
                </pic:pic>
              </a:graphicData>
            </a:graphic>
          </wp:inline>
        </w:drawing>
      </w:r>
    </w:p>
    <w:p w14:paraId="1065E21E" w14:textId="2740B98E" w:rsidR="006F0F3D" w:rsidRDefault="006F0F3D" w:rsidP="00AC38C1">
      <w:pPr>
        <w:pStyle w:val="MellanrubrikVGR"/>
        <w:spacing w:after="0"/>
        <w:ind w:left="567" w:right="-2"/>
      </w:pPr>
      <w:r w:rsidRPr="006C30C6">
        <w:t>Rekommendationer för byte från konventionell systembehandling till biologiska läkemedel</w:t>
      </w:r>
    </w:p>
    <w:p w14:paraId="13E885DA" w14:textId="500FFCE6" w:rsidR="006F0F3D" w:rsidRPr="006F0F3D" w:rsidRDefault="006F0F3D" w:rsidP="006C30C6">
      <w:pPr>
        <w:ind w:left="567" w:right="-2"/>
      </w:pPr>
      <w:r w:rsidRPr="006F0F3D">
        <w:t xml:space="preserve">Byte av från konventionell systembehandling till behandling med biologiska läkemedel kan ske omgående utan behandlingsfri period om patienten behandlas med metotrexat, ciklosporin, acitretin, </w:t>
      </w:r>
      <w:proofErr w:type="spellStart"/>
      <w:r w:rsidRPr="006F0F3D">
        <w:t>fumarsyra</w:t>
      </w:r>
      <w:proofErr w:type="spellEnd"/>
      <w:r w:rsidRPr="006F0F3D">
        <w:t xml:space="preserve"> eller PUVA. I de fall bytet sker p.g.a. bieffekter försakade av systembehandlingen kan dock ett behandlingsuppehåll rekommenderas tills biverkningarna är under kontroll.</w:t>
      </w:r>
    </w:p>
    <w:p w14:paraId="5A63BDC2" w14:textId="77777777" w:rsidR="006F0F3D" w:rsidRPr="006F0F3D" w:rsidRDefault="006F0F3D" w:rsidP="00AC38C1">
      <w:pPr>
        <w:pStyle w:val="MellanrubrikVGR"/>
        <w:spacing w:after="0"/>
        <w:ind w:left="567" w:right="-2"/>
      </w:pPr>
      <w:r w:rsidRPr="006F0F3D">
        <w:t>Byte mellan biologiska preparat</w:t>
      </w:r>
    </w:p>
    <w:p w14:paraId="3F7392D8" w14:textId="577DE0BD" w:rsidR="006F0F3D" w:rsidRPr="006F0F3D" w:rsidRDefault="006F0F3D" w:rsidP="006C30C6">
      <w:pPr>
        <w:ind w:left="567" w:right="-2"/>
      </w:pPr>
      <w:r>
        <w:t>Förkortade behandlingsintervall eller dosökning under en period bör övervägas vid avtagande. Vid tecken på avtagande effekt och sekundär svikt rekommenderas att man om möjligt mäter serumkoncentrationen och ev</w:t>
      </w:r>
      <w:r w:rsidR="0001584B">
        <w:t>entuell</w:t>
      </w:r>
      <w:r>
        <w:t xml:space="preserve"> uppkomst av </w:t>
      </w:r>
      <w:r w:rsidR="0001584B">
        <w:t>a</w:t>
      </w:r>
      <w:r>
        <w:t xml:space="preserve">ntikroppsbildning mot läkemedlet ifråga. Provet tas lämpligen som ett dalvärde före nästa dosering. Byte till annat biologiskt preparat med annan verkningsmekanism, kan övervägas speciellt i fall med hög kvarvarande serumkoncentration i frånvaro av </w:t>
      </w:r>
      <w:r>
        <w:lastRenderedPageBreak/>
        <w:t>antikroppar och vi rekommenderar vid nästa planerad dos dock helst en månad efter senaste dos. Vid primär behandlingssvikt rekommenderas byte till preparat med annan verkningsmekanism.</w:t>
      </w:r>
    </w:p>
    <w:p w14:paraId="64AC3410" w14:textId="165AAC12" w:rsidR="00737ACC" w:rsidRPr="00893ED9" w:rsidRDefault="00737ACC" w:rsidP="00AC38C1">
      <w:pPr>
        <w:pStyle w:val="MellanrubrikVGR"/>
        <w:spacing w:after="0"/>
        <w:ind w:left="567"/>
      </w:pPr>
      <w:r w:rsidRPr="00893ED9">
        <w:t>Kombinationsbehandling</w:t>
      </w:r>
    </w:p>
    <w:p w14:paraId="3D56479E" w14:textId="77777777" w:rsidR="00737ACC" w:rsidRPr="00932BE9" w:rsidRDefault="00737ACC" w:rsidP="005542BF">
      <w:pPr>
        <w:ind w:left="567" w:right="-2"/>
      </w:pPr>
      <w:r w:rsidRPr="00932BE9">
        <w:t>Det finns ingen godkänd indikation för kombination av konventionella systembehandlingar och biologiska läkemedel.</w:t>
      </w:r>
    </w:p>
    <w:p w14:paraId="32065144" w14:textId="77777777" w:rsidR="00737ACC" w:rsidRPr="00932BE9" w:rsidRDefault="00737ACC" w:rsidP="005542BF">
      <w:pPr>
        <w:ind w:left="567" w:right="-2"/>
      </w:pPr>
      <w:r w:rsidRPr="00932BE9">
        <w:t xml:space="preserve">Kombination av metotrexat och TNF-hämmare är säkert och ger sannolikt bättre effekt samt minskar risken för antikroppsutveckling. </w:t>
      </w:r>
    </w:p>
    <w:p w14:paraId="37686184" w14:textId="77777777" w:rsidR="00737ACC" w:rsidRPr="00932BE9" w:rsidRDefault="00737ACC" w:rsidP="005542BF">
      <w:pPr>
        <w:ind w:left="567" w:right="-2"/>
      </w:pPr>
      <w:r w:rsidRPr="00932BE9">
        <w:t xml:space="preserve">Kombination av metotrexat och </w:t>
      </w:r>
      <w:proofErr w:type="spellStart"/>
      <w:r w:rsidRPr="00932BE9">
        <w:t>ustekinumab</w:t>
      </w:r>
      <w:proofErr w:type="spellEnd"/>
      <w:r w:rsidRPr="00932BE9">
        <w:t xml:space="preserve"> eller med IL-17 hämmare är sannolikt säker men mindre beprövad.</w:t>
      </w:r>
    </w:p>
    <w:p w14:paraId="3A71C731" w14:textId="77777777" w:rsidR="00737ACC" w:rsidRPr="00932BE9" w:rsidRDefault="00737ACC" w:rsidP="005542BF">
      <w:pPr>
        <w:ind w:left="567" w:right="-2"/>
      </w:pPr>
      <w:r w:rsidRPr="00932BE9">
        <w:t>Acitretin går sannolikt att kombinera med biologiska läkemedel men är mindre beprövat.</w:t>
      </w:r>
    </w:p>
    <w:p w14:paraId="629051DE" w14:textId="77777777" w:rsidR="00164EDF" w:rsidRPr="00932BE9" w:rsidRDefault="00737ACC" w:rsidP="00164EDF">
      <w:pPr>
        <w:ind w:left="567" w:right="-2"/>
      </w:pPr>
      <w:r w:rsidRPr="00932BE9">
        <w:t>Kombination av biologiska läkemedel med ciklosporin eller andra biologiska läkemedel bör undvikas.</w:t>
      </w:r>
    </w:p>
    <w:p w14:paraId="7702CD7D" w14:textId="55A19215" w:rsidR="00660D84" w:rsidRDefault="00737ACC" w:rsidP="005542BF">
      <w:pPr>
        <w:ind w:left="567" w:right="-2"/>
      </w:pPr>
      <w:r w:rsidRPr="00932BE9">
        <w:t>Epidemiologiska studier indikerar att patienter behandlade med TNF-hämmare har en ökad risk för att utveckla hudcancer av icke melanomtyp. Vi avråder därför från att kombinera biologiska läkemedel med ljusbehandling (UVB, PUVA) och klimatvård.</w:t>
      </w:r>
    </w:p>
    <w:p w14:paraId="06DF7DB3" w14:textId="41922FF8" w:rsidR="00737ACC" w:rsidRPr="00737ACC" w:rsidRDefault="00737ACC" w:rsidP="00712430">
      <w:pPr>
        <w:pStyle w:val="Rubrik2"/>
        <w:ind w:left="567"/>
        <w:rPr>
          <w:iCs/>
          <w:sz w:val="21"/>
          <w:szCs w:val="21"/>
        </w:rPr>
      </w:pPr>
      <w:bookmarkStart w:id="23" w:name="_Toc190173513"/>
      <w:r w:rsidRPr="00737ACC">
        <w:t>Ansvar</w:t>
      </w:r>
      <w:bookmarkEnd w:id="23"/>
    </w:p>
    <w:p w14:paraId="7B89F768" w14:textId="337CBD39" w:rsidR="00737ACC" w:rsidRPr="00A672E0" w:rsidRDefault="00737ACC" w:rsidP="00A672E0">
      <w:pPr>
        <w:ind w:left="567" w:right="-2"/>
      </w:pPr>
      <w:r w:rsidRPr="00737ACC">
        <w:t xml:space="preserve">Verksamhetens läkare ansvarar för att rutinen följs. </w:t>
      </w:r>
    </w:p>
    <w:p w14:paraId="76E5496A" w14:textId="77777777" w:rsidR="00737ACC" w:rsidRPr="00337D38" w:rsidRDefault="00737ACC" w:rsidP="00337D38">
      <w:pPr>
        <w:pStyle w:val="Rubrik3"/>
        <w:ind w:left="567"/>
      </w:pPr>
      <w:bookmarkStart w:id="24" w:name="_Toc190173514"/>
      <w:r w:rsidRPr="00337D38">
        <w:t>Uppföljning, utvärdering och revision</w:t>
      </w:r>
      <w:bookmarkEnd w:id="24"/>
    </w:p>
    <w:p w14:paraId="553E526E" w14:textId="0FF87ADD" w:rsidR="00737ACC" w:rsidRPr="00337D38" w:rsidRDefault="00737ACC" w:rsidP="00337D38">
      <w:pPr>
        <w:ind w:left="567" w:right="-2"/>
      </w:pPr>
      <w:r w:rsidRPr="00337D38">
        <w:t>Ansvarig läkare för biologisk behandling av psoriasis ansvarar för uppföljning</w:t>
      </w:r>
      <w:r w:rsidR="00B460FA">
        <w:t xml:space="preserve"> och </w:t>
      </w:r>
      <w:r w:rsidRPr="00337D38">
        <w:t>revision av innehållet i rutinen. Medvetet avsteg från rutinen dokumenteras i Melior. Avsteg från denna rutin som medför inträffade negativa händelser, vilka påverkat patientsäkerheten, ska rapporteras i avvikelsesystemet MedControl Pro. Utvärdering och revidering av rutindokumentet ske</w:t>
      </w:r>
      <w:r w:rsidR="009A3E14" w:rsidRPr="00337D38">
        <w:t>r</w:t>
      </w:r>
      <w:r w:rsidRPr="00337D38">
        <w:t xml:space="preserve"> vid behov</w:t>
      </w:r>
      <w:r w:rsidR="00A11698" w:rsidRPr="00337D38">
        <w:t xml:space="preserve"> eller vartannat år</w:t>
      </w:r>
      <w:r w:rsidRPr="00337D38">
        <w:t>.</w:t>
      </w:r>
    </w:p>
    <w:p w14:paraId="105810C9" w14:textId="77777777" w:rsidR="000C24C2" w:rsidRDefault="000C24C2" w:rsidP="000C24C2">
      <w:pPr>
        <w:pStyle w:val="Rubrik2"/>
        <w:ind w:left="567" w:right="-143"/>
        <w:rPr>
          <w:color w:val="auto"/>
        </w:rPr>
      </w:pPr>
      <w:bookmarkStart w:id="25" w:name="_Toc190173515"/>
      <w:r w:rsidRPr="00A74A35">
        <w:rPr>
          <w:color w:val="auto"/>
        </w:rPr>
        <w:t>Relaterad information</w:t>
      </w:r>
      <w:bookmarkEnd w:id="25"/>
    </w:p>
    <w:p w14:paraId="015D7E6F" w14:textId="413B489B" w:rsidR="007B44D9" w:rsidRPr="004F7C7A" w:rsidRDefault="00064A95" w:rsidP="007B44D9">
      <w:pPr>
        <w:ind w:left="567" w:right="-2"/>
      </w:pPr>
      <w:r w:rsidRPr="00BF082E">
        <w:t xml:space="preserve">Biologiskt läkemedel </w:t>
      </w:r>
      <w:r w:rsidR="00CC0B62" w:rsidRPr="00BF082E">
        <w:t>patientinformation</w:t>
      </w:r>
      <w:r w:rsidR="00BF082E" w:rsidRPr="00BF082E">
        <w:t xml:space="preserve"> </w:t>
      </w:r>
      <w:hyperlink r:id="rId22" w:history="1">
        <w:r>
          <w:rPr>
            <w:rStyle w:val="Hyperlnk"/>
          </w:rPr>
          <w:t>Biologiskt läkemedel patientinformation (vgregion.se)</w:t>
        </w:r>
      </w:hyperlink>
      <w:r w:rsidR="00BF082E">
        <w:t xml:space="preserve"> </w:t>
      </w:r>
      <w:r w:rsidR="007B44D9">
        <w:br/>
        <w:t xml:space="preserve">Rutin tuberkulosscreening, länk </w:t>
      </w:r>
      <w:proofErr w:type="spellStart"/>
      <w:r w:rsidR="007B44D9">
        <w:t>pdf</w:t>
      </w:r>
      <w:proofErr w:type="spellEnd"/>
      <w:r w:rsidR="007B44D9">
        <w:t xml:space="preserve"> </w:t>
      </w:r>
      <w:hyperlink r:id="rId23" w:history="1">
        <w:r w:rsidR="007B44D9" w:rsidRPr="006C6216">
          <w:rPr>
            <w:rStyle w:val="Hyperlnk"/>
          </w:rPr>
          <w:t>Tuberkulosscreening inför insättande av immunmodulerande behandling (vgregion.se)</w:t>
        </w:r>
      </w:hyperlink>
      <w:r w:rsidR="007B44D9" w:rsidRPr="006C6216">
        <w:t>.</w:t>
      </w:r>
      <w:r w:rsidR="007B44D9" w:rsidRPr="00D75018">
        <w:rPr>
          <w:rFonts w:ascii="Arial" w:hAnsi="Arial" w:cs="Arial"/>
          <w:color w:val="FF0000"/>
          <w:sz w:val="21"/>
          <w:szCs w:val="21"/>
        </w:rPr>
        <w:t xml:space="preserve"> </w:t>
      </w:r>
    </w:p>
    <w:p w14:paraId="59F9B42D" w14:textId="42C41815" w:rsidR="00CC0B62" w:rsidRPr="00CC0B62" w:rsidRDefault="007B44D9" w:rsidP="007B44D9">
      <w:pPr>
        <w:ind w:left="567" w:right="-2"/>
        <w:rPr>
          <w:color w:val="FF0000"/>
        </w:rPr>
      </w:pPr>
      <w:r>
        <w:t>Hälsodeklaration tuberkulosscreening, länk</w:t>
      </w:r>
      <w:r w:rsidR="31C65904">
        <w:t xml:space="preserve"> till </w:t>
      </w:r>
      <w:r>
        <w:t xml:space="preserve">blankett </w:t>
      </w:r>
      <w:proofErr w:type="spellStart"/>
      <w:r>
        <w:t>pdf</w:t>
      </w:r>
      <w:proofErr w:type="spellEnd"/>
      <w:r>
        <w:t xml:space="preserve"> </w:t>
      </w:r>
      <w:hyperlink r:id="rId24">
        <w:r w:rsidRPr="130040E9">
          <w:rPr>
            <w:rStyle w:val="Hyperlnk"/>
          </w:rPr>
          <w:t>Hälsodeklaration avseende tuberkulos (vgregion.se)</w:t>
        </w:r>
      </w:hyperlink>
      <w:r w:rsidRPr="130040E9">
        <w:rPr>
          <w:color w:val="FF0000"/>
        </w:rPr>
        <w:t>.</w:t>
      </w:r>
    </w:p>
    <w:p w14:paraId="522948DC" w14:textId="77777777" w:rsidR="000B4719" w:rsidRPr="000D04ED" w:rsidRDefault="000B4719" w:rsidP="000B4719">
      <w:pPr>
        <w:pStyle w:val="Rubrik2"/>
        <w:ind w:left="567" w:right="-143"/>
      </w:pPr>
      <w:bookmarkStart w:id="26" w:name="_Toc190173516"/>
      <w:r>
        <w:lastRenderedPageBreak/>
        <w:t>Källförteckning</w:t>
      </w:r>
      <w:bookmarkEnd w:id="26"/>
    </w:p>
    <w:p w14:paraId="099F3DE1" w14:textId="5681CC2B" w:rsidR="00A208A5" w:rsidRPr="00A208A5" w:rsidRDefault="00A208A5" w:rsidP="00A208A5">
      <w:pPr>
        <w:ind w:left="567" w:right="-2"/>
      </w:pPr>
      <w:proofErr w:type="spellStart"/>
      <w:r w:rsidRPr="00A34512">
        <w:t>SSDV:s</w:t>
      </w:r>
      <w:proofErr w:type="spellEnd"/>
      <w:r w:rsidRPr="00A34512">
        <w:t xml:space="preserve"> behandlingsrekommendationer för systemisk behandling av psoriasis (2024-12-15)</w:t>
      </w:r>
      <w:r w:rsidR="00221171">
        <w:t xml:space="preserve">, länk </w:t>
      </w:r>
      <w:proofErr w:type="spellStart"/>
      <w:r w:rsidR="00221171">
        <w:t>pdf</w:t>
      </w:r>
      <w:proofErr w:type="spellEnd"/>
      <w:r>
        <w:t xml:space="preserve"> </w:t>
      </w:r>
      <w:hyperlink r:id="rId25" w:history="1">
        <w:proofErr w:type="spellStart"/>
        <w:r w:rsidRPr="00B93D98">
          <w:rPr>
            <w:rStyle w:val="Hyperlnk"/>
          </w:rPr>
          <w:t>SSDVs</w:t>
        </w:r>
        <w:proofErr w:type="spellEnd"/>
        <w:r w:rsidRPr="00B93D98">
          <w:rPr>
            <w:rStyle w:val="Hyperlnk"/>
          </w:rPr>
          <w:t xml:space="preserve"> behandlingsrekommendationer för systemisk behandling av psoriasis</w:t>
        </w:r>
      </w:hyperlink>
    </w:p>
    <w:p w14:paraId="5E9E97C4" w14:textId="771C0957" w:rsidR="00737ACC" w:rsidRPr="00C94A84" w:rsidRDefault="00737ACC" w:rsidP="00164EDF">
      <w:pPr>
        <w:spacing w:line="276" w:lineRule="auto"/>
        <w:ind w:left="567" w:right="-2"/>
      </w:pPr>
      <w:r w:rsidRPr="00C94A84">
        <w:t>Läkemedelsverket/psoriasis</w:t>
      </w:r>
      <w:r w:rsidR="00700D97">
        <w:t>, länk html</w:t>
      </w:r>
      <w:r w:rsidRPr="00C94A84">
        <w:t xml:space="preserve"> </w:t>
      </w:r>
      <w:hyperlink r:id="rId26" w:history="1">
        <w:r w:rsidR="005F79D2" w:rsidRPr="005F79D2">
          <w:rPr>
            <w:rStyle w:val="Hyperlnk"/>
          </w:rPr>
          <w:t>https://www.lakemedelsverket.se/sv/global-sok?q=psoriasis</w:t>
        </w:r>
      </w:hyperlink>
    </w:p>
    <w:p w14:paraId="05311E50" w14:textId="6DB8E6F7" w:rsidR="00737ACC" w:rsidRPr="00C94A84" w:rsidRDefault="00737ACC" w:rsidP="00164EDF">
      <w:pPr>
        <w:spacing w:line="276" w:lineRule="auto"/>
        <w:ind w:left="567" w:right="-2"/>
      </w:pPr>
      <w:r w:rsidRPr="76BCBBB0">
        <w:rPr>
          <w:color w:val="191919"/>
        </w:rPr>
        <w:t>Läkemedel vid psoriasis och psoriasisartrit – behandlingsrekommendation, Information från läkemedelsverket 2:2019</w:t>
      </w:r>
      <w:r w:rsidR="00520240" w:rsidRPr="76BCBBB0">
        <w:rPr>
          <w:color w:val="191919"/>
        </w:rPr>
        <w:t xml:space="preserve"> länk </w:t>
      </w:r>
      <w:proofErr w:type="spellStart"/>
      <w:r w:rsidRPr="76BCBBB0">
        <w:rPr>
          <w:color w:val="191919"/>
        </w:rPr>
        <w:t>pdf</w:t>
      </w:r>
      <w:proofErr w:type="spellEnd"/>
      <w:r w:rsidRPr="76BCBBB0">
        <w:rPr>
          <w:color w:val="191919"/>
        </w:rPr>
        <w:t xml:space="preserve"> </w:t>
      </w:r>
      <w:hyperlink r:id="rId27">
        <w:r w:rsidR="7B3B6828" w:rsidRPr="76BCBBB0">
          <w:rPr>
            <w:rStyle w:val="Hyperlnk"/>
          </w:rPr>
          <w:t>Läkemedel vid psoriasis och psoriasisartrit - behandlings­rekommendation | Läkemedelsverket</w:t>
        </w:r>
      </w:hyperlink>
    </w:p>
    <w:p w14:paraId="486489F3" w14:textId="04A51698" w:rsidR="00737ACC" w:rsidRPr="00C94A84" w:rsidRDefault="00737ACC" w:rsidP="00042550">
      <w:pPr>
        <w:ind w:left="567" w:right="-2"/>
        <w:rPr>
          <w:color w:val="0000FF"/>
          <w:u w:val="single"/>
        </w:rPr>
      </w:pPr>
      <w:r w:rsidRPr="00BB09D9">
        <w:rPr>
          <w:color w:val="191919"/>
        </w:rPr>
        <w:t>Nationella riktlinjer för vård vid psoriasis,</w:t>
      </w:r>
      <w:r w:rsidRPr="00C94A84">
        <w:rPr>
          <w:color w:val="191919"/>
        </w:rPr>
        <w:t xml:space="preserve"> Socialstyrelsen 2019-03-11</w:t>
      </w:r>
      <w:r w:rsidR="00520240">
        <w:rPr>
          <w:color w:val="191919"/>
        </w:rPr>
        <w:t xml:space="preserve"> länk</w:t>
      </w:r>
      <w:r w:rsidRPr="00C94A84">
        <w:rPr>
          <w:color w:val="191919"/>
        </w:rPr>
        <w:t xml:space="preserve"> </w:t>
      </w:r>
      <w:proofErr w:type="spellStart"/>
      <w:r w:rsidRPr="00C94A84">
        <w:rPr>
          <w:color w:val="191919"/>
        </w:rPr>
        <w:t>pdf</w:t>
      </w:r>
      <w:proofErr w:type="spellEnd"/>
      <w:r w:rsidR="00520240">
        <w:rPr>
          <w:color w:val="191919"/>
        </w:rPr>
        <w:t xml:space="preserve"> </w:t>
      </w:r>
      <w:hyperlink r:id="rId28" w:history="1">
        <w:r w:rsidR="00520240" w:rsidRPr="00854EB5">
          <w:rPr>
            <w:rStyle w:val="Hyperlnk"/>
          </w:rPr>
          <w:t>https://www.socialstyrelsen.se/globalassets/sharepoint-dokument/artikelkatalog/nationella-riktlinjer/2019-3-11.pdf</w:t>
        </w:r>
      </w:hyperlink>
    </w:p>
    <w:p w14:paraId="540D1388" w14:textId="2DAC5A47" w:rsidR="00737ACC" w:rsidRPr="00C94A84" w:rsidRDefault="00737ACC" w:rsidP="4482556D">
      <w:pPr>
        <w:ind w:left="567" w:right="-2"/>
      </w:pPr>
      <w:r w:rsidRPr="76BCBBB0">
        <w:rPr>
          <w:color w:val="191919"/>
        </w:rPr>
        <w:t xml:space="preserve">Rekommendationer avseende anti-inflammatorisk och immunmodulerande behandling i samband med graviditet och amning, </w:t>
      </w:r>
      <w:r>
        <w:t>Svensk Reumatologisk Förening</w:t>
      </w:r>
      <w:r w:rsidRPr="76BCBBB0">
        <w:rPr>
          <w:color w:val="191919"/>
        </w:rPr>
        <w:t xml:space="preserve"> februari 202</w:t>
      </w:r>
      <w:r w:rsidR="7DEB0B6B" w:rsidRPr="76BCBBB0">
        <w:rPr>
          <w:color w:val="191919"/>
        </w:rPr>
        <w:t>4</w:t>
      </w:r>
      <w:r w:rsidRPr="76BCBBB0">
        <w:rPr>
          <w:color w:val="191919"/>
        </w:rPr>
        <w:t>,</w:t>
      </w:r>
      <w:r w:rsidR="01915A4A" w:rsidRPr="76BCBBB0">
        <w:rPr>
          <w:color w:val="191919"/>
        </w:rPr>
        <w:t xml:space="preserve"> länk</w:t>
      </w:r>
      <w:r w:rsidRPr="76BCBBB0">
        <w:rPr>
          <w:color w:val="191919"/>
        </w:rPr>
        <w:t xml:space="preserve"> </w:t>
      </w:r>
      <w:proofErr w:type="spellStart"/>
      <w:r w:rsidR="1C72F9F5" w:rsidRPr="76BCBBB0">
        <w:rPr>
          <w:color w:val="191919"/>
        </w:rPr>
        <w:t>pdf</w:t>
      </w:r>
      <w:proofErr w:type="spellEnd"/>
      <w:r w:rsidR="1C72F9F5" w:rsidRPr="76BCBBB0">
        <w:rPr>
          <w:color w:val="191919"/>
        </w:rPr>
        <w:t xml:space="preserve"> </w:t>
      </w:r>
      <w:r>
        <w:br/>
      </w:r>
      <w:hyperlink r:id="rId29">
        <w:r w:rsidR="2CD87CE6" w:rsidRPr="76BCBBB0">
          <w:rPr>
            <w:rStyle w:val="Hyperlnk"/>
          </w:rPr>
          <w:t>https://riktlinjer.svenskreumatologi.se/wp-content/uploads/2023/04/rekommendationer_graviditet_2024_eb_srf240219-1.pdf</w:t>
        </w:r>
      </w:hyperlink>
      <w:r w:rsidR="2D240F63" w:rsidRPr="76BCBBB0">
        <w:t xml:space="preserve"> </w:t>
      </w:r>
    </w:p>
    <w:p w14:paraId="14B32399" w14:textId="4F12DA92" w:rsidR="00737ACC" w:rsidRPr="00521025" w:rsidRDefault="00737ACC" w:rsidP="4482556D">
      <w:pPr>
        <w:ind w:left="567" w:right="-2"/>
        <w:rPr>
          <w:rStyle w:val="Hyperlnk"/>
        </w:rPr>
      </w:pPr>
      <w:proofErr w:type="spellStart"/>
      <w:r w:rsidRPr="00521025">
        <w:t>Mrowietz</w:t>
      </w:r>
      <w:proofErr w:type="spellEnd"/>
      <w:r w:rsidRPr="00521025">
        <w:t xml:space="preserve"> U, Kragballe K, Reich K, </w:t>
      </w:r>
      <w:proofErr w:type="spellStart"/>
      <w:r w:rsidRPr="00521025">
        <w:t>Spuls</w:t>
      </w:r>
      <w:proofErr w:type="spellEnd"/>
      <w:r w:rsidRPr="00521025">
        <w:t xml:space="preserve"> P, Griffiths CE, </w:t>
      </w:r>
      <w:proofErr w:type="spellStart"/>
      <w:r w:rsidRPr="00521025">
        <w:t>Nast</w:t>
      </w:r>
      <w:proofErr w:type="spellEnd"/>
      <w:r w:rsidRPr="00521025">
        <w:t xml:space="preserve"> A, </w:t>
      </w:r>
      <w:proofErr w:type="spellStart"/>
      <w:r w:rsidRPr="00521025">
        <w:t>Franke</w:t>
      </w:r>
      <w:proofErr w:type="spellEnd"/>
      <w:r w:rsidRPr="00521025">
        <w:t xml:space="preserve"> J, </w:t>
      </w:r>
      <w:proofErr w:type="spellStart"/>
      <w:r w:rsidRPr="00521025">
        <w:t>Antoniou</w:t>
      </w:r>
      <w:proofErr w:type="spellEnd"/>
      <w:r w:rsidRPr="00521025">
        <w:t xml:space="preserve"> C, </w:t>
      </w:r>
      <w:proofErr w:type="spellStart"/>
      <w:r w:rsidRPr="00521025">
        <w:t>Arenberger</w:t>
      </w:r>
      <w:proofErr w:type="spellEnd"/>
      <w:r w:rsidRPr="00521025">
        <w:t xml:space="preserve"> P, </w:t>
      </w:r>
      <w:proofErr w:type="spellStart"/>
      <w:r w:rsidRPr="00521025">
        <w:t>Balieva</w:t>
      </w:r>
      <w:proofErr w:type="spellEnd"/>
      <w:r w:rsidRPr="00521025">
        <w:t xml:space="preserve"> F, </w:t>
      </w:r>
      <w:proofErr w:type="spellStart"/>
      <w:r w:rsidRPr="00521025">
        <w:t>Bylaite</w:t>
      </w:r>
      <w:proofErr w:type="spellEnd"/>
      <w:r w:rsidRPr="00521025">
        <w:t xml:space="preserve"> M, </w:t>
      </w:r>
      <w:proofErr w:type="spellStart"/>
      <w:r w:rsidRPr="00521025">
        <w:t>Correia</w:t>
      </w:r>
      <w:proofErr w:type="spellEnd"/>
      <w:r w:rsidRPr="00521025">
        <w:t xml:space="preserve"> O, </w:t>
      </w:r>
      <w:proofErr w:type="spellStart"/>
      <w:r w:rsidRPr="00521025">
        <w:t>Daudén</w:t>
      </w:r>
      <w:proofErr w:type="spellEnd"/>
      <w:r w:rsidRPr="00521025">
        <w:t xml:space="preserve"> E, </w:t>
      </w:r>
      <w:proofErr w:type="spellStart"/>
      <w:r w:rsidRPr="00521025">
        <w:t>Gisondi</w:t>
      </w:r>
      <w:proofErr w:type="spellEnd"/>
      <w:r w:rsidRPr="00521025">
        <w:t xml:space="preserve"> P, Iversen L, </w:t>
      </w:r>
      <w:proofErr w:type="spellStart"/>
      <w:r w:rsidRPr="00521025">
        <w:t>Kemény</w:t>
      </w:r>
      <w:proofErr w:type="spellEnd"/>
      <w:r w:rsidRPr="00521025">
        <w:t xml:space="preserve"> L, </w:t>
      </w:r>
      <w:proofErr w:type="spellStart"/>
      <w:r w:rsidRPr="00521025">
        <w:t>Lahfa</w:t>
      </w:r>
      <w:proofErr w:type="spellEnd"/>
      <w:r w:rsidRPr="00521025">
        <w:t xml:space="preserve"> M, </w:t>
      </w:r>
      <w:proofErr w:type="spellStart"/>
      <w:r w:rsidRPr="00521025">
        <w:t>Nijsten</w:t>
      </w:r>
      <w:proofErr w:type="spellEnd"/>
      <w:r w:rsidRPr="00521025">
        <w:t xml:space="preserve"> T, Rantanen T, Reich A, </w:t>
      </w:r>
      <w:proofErr w:type="spellStart"/>
      <w:r w:rsidRPr="00521025">
        <w:t>Rosenbach</w:t>
      </w:r>
      <w:proofErr w:type="spellEnd"/>
      <w:r w:rsidRPr="00521025">
        <w:t xml:space="preserve"> T, </w:t>
      </w:r>
      <w:proofErr w:type="spellStart"/>
      <w:r w:rsidRPr="00521025">
        <w:t>Segaert</w:t>
      </w:r>
      <w:proofErr w:type="spellEnd"/>
      <w:r w:rsidRPr="00521025">
        <w:t xml:space="preserve"> S, Smith C, </w:t>
      </w:r>
      <w:proofErr w:type="spellStart"/>
      <w:r w:rsidRPr="00521025">
        <w:t>Talme</w:t>
      </w:r>
      <w:proofErr w:type="spellEnd"/>
      <w:r w:rsidRPr="00521025">
        <w:t xml:space="preserve"> T, </w:t>
      </w:r>
      <w:proofErr w:type="spellStart"/>
      <w:r w:rsidRPr="00521025">
        <w:t>Volc</w:t>
      </w:r>
      <w:proofErr w:type="spellEnd"/>
      <w:r w:rsidRPr="00521025">
        <w:t xml:space="preserve">-Platzer B, </w:t>
      </w:r>
      <w:proofErr w:type="spellStart"/>
      <w:r w:rsidRPr="00521025">
        <w:t>Yawalkar</w:t>
      </w:r>
      <w:proofErr w:type="spellEnd"/>
      <w:r w:rsidRPr="00521025">
        <w:t xml:space="preserve"> N. Definition of </w:t>
      </w:r>
      <w:proofErr w:type="spellStart"/>
      <w:r w:rsidRPr="00521025">
        <w:t>treatment</w:t>
      </w:r>
      <w:proofErr w:type="spellEnd"/>
      <w:r w:rsidRPr="00521025">
        <w:t xml:space="preserve"> </w:t>
      </w:r>
      <w:proofErr w:type="spellStart"/>
      <w:r w:rsidRPr="00521025">
        <w:t>goals</w:t>
      </w:r>
      <w:proofErr w:type="spellEnd"/>
      <w:r w:rsidRPr="00521025">
        <w:t xml:space="preserve"> for moderate to </w:t>
      </w:r>
      <w:proofErr w:type="spellStart"/>
      <w:r w:rsidRPr="00521025">
        <w:t>severe</w:t>
      </w:r>
      <w:proofErr w:type="spellEnd"/>
      <w:r w:rsidRPr="00521025">
        <w:t xml:space="preserve"> psoriasis: a </w:t>
      </w:r>
      <w:proofErr w:type="spellStart"/>
      <w:r w:rsidRPr="00521025">
        <w:t>European</w:t>
      </w:r>
      <w:proofErr w:type="spellEnd"/>
      <w:r w:rsidRPr="00521025">
        <w:t xml:space="preserve"> consensus, 2011 Jan;303(1):1-10. </w:t>
      </w:r>
      <w:r w:rsidR="00011F77" w:rsidRPr="00521025">
        <w:rPr>
          <w:color w:val="232323"/>
          <w:shd w:val="clear" w:color="auto" w:fill="FFFFFF"/>
        </w:rPr>
        <w:t xml:space="preserve">Hämtad från: </w:t>
      </w:r>
      <w:hyperlink r:id="rId30">
        <w:r w:rsidR="4D41410C" w:rsidRPr="00521025">
          <w:rPr>
            <w:rStyle w:val="Hyperlnk"/>
          </w:rPr>
          <w:t>403_2010_Article_1080.pdf (nih.gov)</w:t>
        </w:r>
      </w:hyperlink>
    </w:p>
    <w:p w14:paraId="5FB7655E" w14:textId="1E3B25CF" w:rsidR="00737ACC" w:rsidRPr="001C0FCB" w:rsidRDefault="00737ACC" w:rsidP="4482556D">
      <w:pPr>
        <w:ind w:left="567" w:right="-2"/>
        <w:rPr>
          <w:lang w:val="en-GB"/>
        </w:rPr>
      </w:pPr>
      <w:hyperlink r:id="rId31">
        <w:proofErr w:type="spellStart"/>
        <w:r w:rsidRPr="001C0FCB">
          <w:t>Mrowietz</w:t>
        </w:r>
        <w:proofErr w:type="spellEnd"/>
        <w:r w:rsidRPr="001C0FCB">
          <w:t xml:space="preserve"> U</w:t>
        </w:r>
      </w:hyperlink>
      <w:r w:rsidRPr="001C0FCB">
        <w:t xml:space="preserve">, </w:t>
      </w:r>
      <w:hyperlink r:id="rId32">
        <w:r w:rsidRPr="001C0FCB">
          <w:t>de Jong EM</w:t>
        </w:r>
      </w:hyperlink>
      <w:r w:rsidRPr="001C0FCB">
        <w:t xml:space="preserve">, </w:t>
      </w:r>
      <w:hyperlink r:id="rId33">
        <w:r w:rsidRPr="001C0FCB">
          <w:t>Kragballe K</w:t>
        </w:r>
      </w:hyperlink>
      <w:r w:rsidRPr="001C0FCB">
        <w:t xml:space="preserve">, </w:t>
      </w:r>
      <w:hyperlink r:id="rId34">
        <w:r w:rsidRPr="001C0FCB">
          <w:t>Langley R</w:t>
        </w:r>
      </w:hyperlink>
      <w:r w:rsidRPr="001C0FCB">
        <w:t xml:space="preserve">, </w:t>
      </w:r>
      <w:hyperlink r:id="rId35">
        <w:proofErr w:type="spellStart"/>
        <w:r w:rsidRPr="001C0FCB">
          <w:t>Nast</w:t>
        </w:r>
        <w:proofErr w:type="spellEnd"/>
        <w:r w:rsidRPr="001C0FCB">
          <w:t xml:space="preserve"> A</w:t>
        </w:r>
      </w:hyperlink>
      <w:r w:rsidRPr="001C0FCB">
        <w:t xml:space="preserve">, </w:t>
      </w:r>
      <w:hyperlink r:id="rId36">
        <w:proofErr w:type="spellStart"/>
        <w:r w:rsidRPr="001C0FCB">
          <w:t>Puig</w:t>
        </w:r>
        <w:proofErr w:type="spellEnd"/>
        <w:r w:rsidRPr="001C0FCB">
          <w:t xml:space="preserve"> L</w:t>
        </w:r>
      </w:hyperlink>
      <w:r w:rsidRPr="001C0FCB">
        <w:t xml:space="preserve">, </w:t>
      </w:r>
      <w:hyperlink r:id="rId37">
        <w:r w:rsidRPr="001C0FCB">
          <w:t>Reich K</w:t>
        </w:r>
      </w:hyperlink>
      <w:r w:rsidRPr="001C0FCB">
        <w:t xml:space="preserve">, </w:t>
      </w:r>
      <w:hyperlink r:id="rId38">
        <w:r w:rsidRPr="001C0FCB">
          <w:t>Schmitt J</w:t>
        </w:r>
      </w:hyperlink>
      <w:r w:rsidRPr="001C0FCB">
        <w:t xml:space="preserve">, </w:t>
      </w:r>
      <w:hyperlink r:id="rId39">
        <w:r w:rsidRPr="001C0FCB">
          <w:t>Warren RB</w:t>
        </w:r>
      </w:hyperlink>
      <w:r w:rsidRPr="001C0FCB">
        <w:t xml:space="preserve">.  </w:t>
      </w:r>
      <w:r w:rsidRPr="001C0FCB">
        <w:rPr>
          <w:lang w:val="en-GB"/>
        </w:rPr>
        <w:t>A consensus report on appropriate treatment optimization and transitioning in the management of moderate-to-severe plaque psoriasis, 2014 Apr;28(4):438-453,</w:t>
      </w:r>
      <w:r w:rsidR="00EC4CD2" w:rsidRPr="001C0FCB">
        <w:rPr>
          <w:lang w:val="en-GB"/>
        </w:rPr>
        <w:t xml:space="preserve"> </w:t>
      </w:r>
      <w:proofErr w:type="spellStart"/>
      <w:r w:rsidR="00EC4CD2" w:rsidRPr="001C0FCB">
        <w:rPr>
          <w:lang w:val="en-GB"/>
        </w:rPr>
        <w:t>länk</w:t>
      </w:r>
      <w:proofErr w:type="spellEnd"/>
      <w:r w:rsidR="00EC4CD2" w:rsidRPr="001C0FCB">
        <w:rPr>
          <w:lang w:val="en-GB"/>
        </w:rPr>
        <w:t xml:space="preserve"> </w:t>
      </w:r>
      <w:r w:rsidR="2D8DB0AC" w:rsidRPr="001C0FCB">
        <w:rPr>
          <w:lang w:val="en-GB"/>
        </w:rPr>
        <w:t xml:space="preserve">pdf </w:t>
      </w:r>
      <w:hyperlink r:id="rId40">
        <w:r w:rsidR="38DCAE4B" w:rsidRPr="001C0FCB">
          <w:rPr>
            <w:rStyle w:val="Hyperlnk"/>
            <w:lang w:val="en-GB"/>
          </w:rPr>
          <w:t>A consensus report on appropriate treatment optimization and transitioning in the management of moderate‐to‐severe plaque psoriasis (wiley.com)</w:t>
        </w:r>
      </w:hyperlink>
    </w:p>
    <w:p w14:paraId="19B8C27C" w14:textId="27C907EE" w:rsidR="00737ACC" w:rsidRPr="00737ACC" w:rsidRDefault="006A0B82" w:rsidP="001F63E9">
      <w:pPr>
        <w:pStyle w:val="Rubrik3"/>
        <w:ind w:left="567"/>
      </w:pPr>
      <w:bookmarkStart w:id="27" w:name="_Toc190173517"/>
      <w:r>
        <w:t>A</w:t>
      </w:r>
      <w:r w:rsidR="00737ACC" w:rsidRPr="00737ACC">
        <w:t>rbetsgrupp</w:t>
      </w:r>
      <w:bookmarkEnd w:id="27"/>
    </w:p>
    <w:p w14:paraId="51BCA070" w14:textId="7A8C18FC" w:rsidR="002E4D59" w:rsidRDefault="00737ACC" w:rsidP="002E4D59">
      <w:pPr>
        <w:ind w:left="567"/>
      </w:pPr>
      <w:r w:rsidRPr="006A0B82">
        <w:t xml:space="preserve">Petra Tunbäck, </w:t>
      </w:r>
      <w:r w:rsidR="001940D3">
        <w:t>vårdenhetsöverläkare</w:t>
      </w:r>
      <w:r w:rsidRPr="006A0B82">
        <w:t xml:space="preserve"> Hudbehandling</w:t>
      </w:r>
      <w:r w:rsidR="00BF04C6">
        <w:t xml:space="preserve"> och dagsjukvård</w:t>
      </w:r>
      <w:r w:rsidR="006F3750">
        <w:t xml:space="preserve"> </w:t>
      </w:r>
      <w:r w:rsidRPr="006A0B82">
        <w:t>(</w:t>
      </w:r>
      <w:proofErr w:type="spellStart"/>
      <w:r w:rsidRPr="006A0B82">
        <w:t>pettu</w:t>
      </w:r>
      <w:proofErr w:type="spellEnd"/>
      <w:r w:rsidRPr="006A0B82">
        <w:t>)</w:t>
      </w:r>
      <w:r w:rsidRPr="006A0B82">
        <w:br/>
      </w:r>
      <w:bookmarkEnd w:id="0"/>
      <w:r w:rsidR="002E4D59" w:rsidRPr="002E4D59">
        <w:fldChar w:fldCharType="begin"/>
      </w:r>
      <w:r w:rsidR="002E4D59" w:rsidRPr="002E4D59">
        <w:instrText>HYPERLINK "https://insidan.vgregion.se/forvaltningar/su/sok-person/?vgrid=lenma14&amp;theme="</w:instrText>
      </w:r>
      <w:r w:rsidR="002E4D59" w:rsidRPr="002E4D59">
        <w:fldChar w:fldCharType="separate"/>
      </w:r>
      <w:r w:rsidR="002E4D59" w:rsidRPr="002E4D59">
        <w:t>Lena Mattsson Tollbom</w:t>
      </w:r>
      <w:r w:rsidR="002E4D59">
        <w:t xml:space="preserve">, sjuksköterska, koordinator, </w:t>
      </w:r>
      <w:r w:rsidR="002E4D59" w:rsidRPr="002E4D59">
        <w:t>Hudmottagning</w:t>
      </w:r>
      <w:r w:rsidR="006F3750">
        <w:t xml:space="preserve"> </w:t>
      </w:r>
      <w:r w:rsidR="002E4D59" w:rsidRPr="002E4D59">
        <w:t>(lenma14)</w:t>
      </w:r>
      <w:r w:rsidR="002E4D59" w:rsidRPr="002E4D59">
        <w:fldChar w:fldCharType="end"/>
      </w:r>
      <w:r w:rsidR="006F3750">
        <w:br/>
        <w:t xml:space="preserve">Sofia Pettersson, </w:t>
      </w:r>
      <w:r w:rsidR="006F3750" w:rsidRPr="006F3750">
        <w:t xml:space="preserve">sjuksköterska, </w:t>
      </w:r>
      <w:r w:rsidR="006F3750" w:rsidRPr="006A0B82">
        <w:t>Hudbehandling</w:t>
      </w:r>
      <w:r w:rsidR="006F3750">
        <w:t xml:space="preserve"> och dagsjukvård </w:t>
      </w:r>
      <w:r w:rsidR="006F3750" w:rsidRPr="006F3750">
        <w:t>(</w:t>
      </w:r>
      <w:r w:rsidR="00B139A8">
        <w:t>sofpe29</w:t>
      </w:r>
      <w:r w:rsidR="006F3750" w:rsidRPr="006F3750">
        <w:t>)</w:t>
      </w:r>
    </w:p>
    <w:p w14:paraId="5DB19D07" w14:textId="52DFE076" w:rsidR="006F3750" w:rsidRPr="002E4D59" w:rsidRDefault="00C73346" w:rsidP="002E4D59">
      <w:pPr>
        <w:ind w:left="567"/>
      </w:pPr>
      <w:r>
        <w:t>s</w:t>
      </w:r>
      <w:r w:rsidR="006F3750">
        <w:t xml:space="preserve">amtliga vid </w:t>
      </w:r>
      <w:r w:rsidR="006F3750" w:rsidRPr="006A0B82">
        <w:t>VO Hud- och</w:t>
      </w:r>
      <w:r w:rsidR="006F3750">
        <w:rPr>
          <w:spacing w:val="-33"/>
        </w:rPr>
        <w:t xml:space="preserve"> </w:t>
      </w:r>
      <w:r w:rsidR="006F3750" w:rsidRPr="006A0B82">
        <w:t>könssjukvård</w:t>
      </w:r>
      <w:r w:rsidR="006F3750">
        <w:t xml:space="preserve">, </w:t>
      </w:r>
      <w:r w:rsidR="006F3750" w:rsidRPr="002E4D59">
        <w:t>Sahlgrenska</w:t>
      </w:r>
      <w:r w:rsidR="006F3750">
        <w:t xml:space="preserve"> Universitetssjukhuset</w:t>
      </w:r>
    </w:p>
    <w:p w14:paraId="76B9F95B" w14:textId="29C02B80" w:rsidR="00536A5A" w:rsidRPr="00536A5A" w:rsidRDefault="00536A5A" w:rsidP="00F353B0">
      <w:pPr>
        <w:ind w:left="567" w:right="-2"/>
      </w:pPr>
    </w:p>
    <w:sectPr w:rsidR="00536A5A" w:rsidRPr="00536A5A" w:rsidSect="00737AC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95F31" w14:textId="77777777" w:rsidR="00B013F7" w:rsidRDefault="00B013F7">
      <w:r>
        <w:separator/>
      </w:r>
    </w:p>
  </w:endnote>
  <w:endnote w:type="continuationSeparator" w:id="0">
    <w:p w14:paraId="6C27D186" w14:textId="77777777" w:rsidR="00B013F7" w:rsidRDefault="00B013F7">
      <w:r>
        <w:continuationSeparator/>
      </w:r>
    </w:p>
  </w:endnote>
  <w:endnote w:type="continuationNotice" w:id="1">
    <w:p w14:paraId="1DF1D5E7" w14:textId="77777777" w:rsidR="00B013F7" w:rsidRDefault="00B013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72872261" name="Bildobjekt 12728722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8A646" w14:textId="77777777" w:rsidR="00B013F7" w:rsidRDefault="00B013F7"/>
  </w:footnote>
  <w:footnote w:type="continuationSeparator" w:id="0">
    <w:p w14:paraId="15B74ECF" w14:textId="77777777" w:rsidR="00B013F7" w:rsidRDefault="00B013F7">
      <w:r>
        <w:continuationSeparator/>
      </w:r>
    </w:p>
  </w:footnote>
  <w:footnote w:type="continuationNotice" w:id="1">
    <w:p w14:paraId="0A175D51" w14:textId="77777777" w:rsidR="00B013F7" w:rsidRDefault="00B013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406D10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52E97713">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03211417" name="Bildobjekt 19032114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6C6F22"/>
    <w:multiLevelType w:val="hybridMultilevel"/>
    <w:tmpl w:val="9AC2A7B6"/>
    <w:lvl w:ilvl="0" w:tplc="FFFFFFFF">
      <w:numFmt w:val="bullet"/>
      <w:lvlText w:val=""/>
      <w:lvlJc w:val="left"/>
      <w:pPr>
        <w:ind w:left="720" w:hanging="360"/>
      </w:pPr>
      <w:rPr>
        <w:rFonts w:ascii="Symbol" w:eastAsia="Times New Roman" w:hAnsi="Symbo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906" w:hanging="360"/>
      </w:pPr>
      <w:rPr>
        <w:rFonts w:ascii="Symbol" w:hAnsi="Symbol" w:hint="default"/>
      </w:rPr>
    </w:lvl>
    <w:lvl w:ilvl="1" w:tplc="041D0003" w:tentative="1">
      <w:start w:val="1"/>
      <w:numFmt w:val="bullet"/>
      <w:lvlText w:val="o"/>
      <w:lvlJc w:val="left"/>
      <w:pPr>
        <w:ind w:left="1626" w:hanging="360"/>
      </w:pPr>
      <w:rPr>
        <w:rFonts w:ascii="Courier New" w:hAnsi="Courier New" w:cs="Courier New" w:hint="default"/>
      </w:rPr>
    </w:lvl>
    <w:lvl w:ilvl="2" w:tplc="041D0005" w:tentative="1">
      <w:start w:val="1"/>
      <w:numFmt w:val="bullet"/>
      <w:lvlText w:val=""/>
      <w:lvlJc w:val="left"/>
      <w:pPr>
        <w:ind w:left="2346" w:hanging="360"/>
      </w:pPr>
      <w:rPr>
        <w:rFonts w:ascii="Wingdings" w:hAnsi="Wingdings" w:hint="default"/>
      </w:rPr>
    </w:lvl>
    <w:lvl w:ilvl="3" w:tplc="041D0001" w:tentative="1">
      <w:start w:val="1"/>
      <w:numFmt w:val="bullet"/>
      <w:lvlText w:val=""/>
      <w:lvlJc w:val="left"/>
      <w:pPr>
        <w:ind w:left="3066" w:hanging="360"/>
      </w:pPr>
      <w:rPr>
        <w:rFonts w:ascii="Symbol" w:hAnsi="Symbol" w:hint="default"/>
      </w:rPr>
    </w:lvl>
    <w:lvl w:ilvl="4" w:tplc="041D0003" w:tentative="1">
      <w:start w:val="1"/>
      <w:numFmt w:val="bullet"/>
      <w:lvlText w:val="o"/>
      <w:lvlJc w:val="left"/>
      <w:pPr>
        <w:ind w:left="3786" w:hanging="360"/>
      </w:pPr>
      <w:rPr>
        <w:rFonts w:ascii="Courier New" w:hAnsi="Courier New" w:cs="Courier New" w:hint="default"/>
      </w:rPr>
    </w:lvl>
    <w:lvl w:ilvl="5" w:tplc="041D0005" w:tentative="1">
      <w:start w:val="1"/>
      <w:numFmt w:val="bullet"/>
      <w:lvlText w:val=""/>
      <w:lvlJc w:val="left"/>
      <w:pPr>
        <w:ind w:left="4506" w:hanging="360"/>
      </w:pPr>
      <w:rPr>
        <w:rFonts w:ascii="Wingdings" w:hAnsi="Wingdings" w:hint="default"/>
      </w:rPr>
    </w:lvl>
    <w:lvl w:ilvl="6" w:tplc="041D0001" w:tentative="1">
      <w:start w:val="1"/>
      <w:numFmt w:val="bullet"/>
      <w:lvlText w:val=""/>
      <w:lvlJc w:val="left"/>
      <w:pPr>
        <w:ind w:left="5226" w:hanging="360"/>
      </w:pPr>
      <w:rPr>
        <w:rFonts w:ascii="Symbol" w:hAnsi="Symbol" w:hint="default"/>
      </w:rPr>
    </w:lvl>
    <w:lvl w:ilvl="7" w:tplc="041D0003" w:tentative="1">
      <w:start w:val="1"/>
      <w:numFmt w:val="bullet"/>
      <w:lvlText w:val="o"/>
      <w:lvlJc w:val="left"/>
      <w:pPr>
        <w:ind w:left="5946" w:hanging="360"/>
      </w:pPr>
      <w:rPr>
        <w:rFonts w:ascii="Courier New" w:hAnsi="Courier New" w:cs="Courier New" w:hint="default"/>
      </w:rPr>
    </w:lvl>
    <w:lvl w:ilvl="8" w:tplc="041D0005" w:tentative="1">
      <w:start w:val="1"/>
      <w:numFmt w:val="bullet"/>
      <w:lvlText w:val=""/>
      <w:lvlJc w:val="left"/>
      <w:pPr>
        <w:ind w:left="6666"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A42808"/>
    <w:multiLevelType w:val="hybridMultilevel"/>
    <w:tmpl w:val="924E595C"/>
    <w:lvl w:ilvl="0" w:tplc="FFFFFFFF">
      <w:start w:val="1"/>
      <w:numFmt w:val="bullet"/>
      <w:lvlText w:val=""/>
      <w:lvlJc w:val="left"/>
      <w:pPr>
        <w:ind w:left="360" w:hanging="360"/>
      </w:pPr>
      <w:rPr>
        <w:rFonts w:ascii="Symbol" w:hAnsi="Symbol"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9BE13D8"/>
    <w:multiLevelType w:val="hybridMultilevel"/>
    <w:tmpl w:val="FE92CAE8"/>
    <w:lvl w:ilvl="0" w:tplc="041D0001">
      <w:start w:val="1"/>
      <w:numFmt w:val="bullet"/>
      <w:lvlText w:val=""/>
      <w:lvlJc w:val="left"/>
      <w:pPr>
        <w:ind w:left="360" w:hanging="360"/>
      </w:pPr>
      <w:rPr>
        <w:rFonts w:ascii="Symbol" w:hAnsi="Symbol"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647FCCDB"/>
    <w:multiLevelType w:val="hybridMultilevel"/>
    <w:tmpl w:val="99583FB2"/>
    <w:lvl w:ilvl="0" w:tplc="EF762D7E">
      <w:start w:val="1"/>
      <w:numFmt w:val="bullet"/>
      <w:lvlText w:val="§"/>
      <w:lvlJc w:val="left"/>
      <w:pPr>
        <w:ind w:left="720" w:hanging="360"/>
      </w:pPr>
      <w:rPr>
        <w:rFonts w:ascii="Wingdings" w:hAnsi="Wingdings" w:hint="default"/>
      </w:rPr>
    </w:lvl>
    <w:lvl w:ilvl="1" w:tplc="BA4A56F8">
      <w:start w:val="1"/>
      <w:numFmt w:val="bullet"/>
      <w:lvlText w:val="o"/>
      <w:lvlJc w:val="left"/>
      <w:pPr>
        <w:ind w:left="1440" w:hanging="360"/>
      </w:pPr>
      <w:rPr>
        <w:rFonts w:ascii="Courier New" w:hAnsi="Courier New" w:hint="default"/>
      </w:rPr>
    </w:lvl>
    <w:lvl w:ilvl="2" w:tplc="E9D04F98">
      <w:start w:val="1"/>
      <w:numFmt w:val="bullet"/>
      <w:lvlText w:val=""/>
      <w:lvlJc w:val="left"/>
      <w:pPr>
        <w:ind w:left="2160" w:hanging="360"/>
      </w:pPr>
      <w:rPr>
        <w:rFonts w:ascii="Wingdings" w:hAnsi="Wingdings" w:hint="default"/>
      </w:rPr>
    </w:lvl>
    <w:lvl w:ilvl="3" w:tplc="01EAB642">
      <w:start w:val="1"/>
      <w:numFmt w:val="bullet"/>
      <w:lvlText w:val=""/>
      <w:lvlJc w:val="left"/>
      <w:pPr>
        <w:ind w:left="2880" w:hanging="360"/>
      </w:pPr>
      <w:rPr>
        <w:rFonts w:ascii="Symbol" w:hAnsi="Symbol" w:hint="default"/>
      </w:rPr>
    </w:lvl>
    <w:lvl w:ilvl="4" w:tplc="A434D3C4">
      <w:start w:val="1"/>
      <w:numFmt w:val="bullet"/>
      <w:lvlText w:val="o"/>
      <w:lvlJc w:val="left"/>
      <w:pPr>
        <w:ind w:left="3600" w:hanging="360"/>
      </w:pPr>
      <w:rPr>
        <w:rFonts w:ascii="Courier New" w:hAnsi="Courier New" w:hint="default"/>
      </w:rPr>
    </w:lvl>
    <w:lvl w:ilvl="5" w:tplc="C046C1E8">
      <w:start w:val="1"/>
      <w:numFmt w:val="bullet"/>
      <w:lvlText w:val=""/>
      <w:lvlJc w:val="left"/>
      <w:pPr>
        <w:ind w:left="4320" w:hanging="360"/>
      </w:pPr>
      <w:rPr>
        <w:rFonts w:ascii="Wingdings" w:hAnsi="Wingdings" w:hint="default"/>
      </w:rPr>
    </w:lvl>
    <w:lvl w:ilvl="6" w:tplc="9AB46C30">
      <w:start w:val="1"/>
      <w:numFmt w:val="bullet"/>
      <w:lvlText w:val=""/>
      <w:lvlJc w:val="left"/>
      <w:pPr>
        <w:ind w:left="5040" w:hanging="360"/>
      </w:pPr>
      <w:rPr>
        <w:rFonts w:ascii="Symbol" w:hAnsi="Symbol" w:hint="default"/>
      </w:rPr>
    </w:lvl>
    <w:lvl w:ilvl="7" w:tplc="E1145148">
      <w:start w:val="1"/>
      <w:numFmt w:val="bullet"/>
      <w:lvlText w:val="o"/>
      <w:lvlJc w:val="left"/>
      <w:pPr>
        <w:ind w:left="5760" w:hanging="360"/>
      </w:pPr>
      <w:rPr>
        <w:rFonts w:ascii="Courier New" w:hAnsi="Courier New" w:hint="default"/>
      </w:rPr>
    </w:lvl>
    <w:lvl w:ilvl="8" w:tplc="A2007490">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84392838">
    <w:abstractNumId w:val="21"/>
  </w:num>
  <w:num w:numId="2" w16cid:durableId="1925139443">
    <w:abstractNumId w:val="16"/>
  </w:num>
  <w:num w:numId="3" w16cid:durableId="116530906">
    <w:abstractNumId w:val="0"/>
  </w:num>
  <w:num w:numId="4" w16cid:durableId="1800683511">
    <w:abstractNumId w:val="6"/>
  </w:num>
  <w:num w:numId="5" w16cid:durableId="1309633028">
    <w:abstractNumId w:val="19"/>
  </w:num>
  <w:num w:numId="6" w16cid:durableId="1517112019">
    <w:abstractNumId w:val="2"/>
  </w:num>
  <w:num w:numId="7" w16cid:durableId="1460686916">
    <w:abstractNumId w:val="12"/>
  </w:num>
  <w:num w:numId="8" w16cid:durableId="1424758706">
    <w:abstractNumId w:val="9"/>
  </w:num>
  <w:num w:numId="9" w16cid:durableId="663775311">
    <w:abstractNumId w:val="1"/>
  </w:num>
  <w:num w:numId="10" w16cid:durableId="1954242283">
    <w:abstractNumId w:val="1"/>
  </w:num>
  <w:num w:numId="11" w16cid:durableId="974213969">
    <w:abstractNumId w:val="3"/>
  </w:num>
  <w:num w:numId="12" w16cid:durableId="763837639">
    <w:abstractNumId w:val="4"/>
  </w:num>
  <w:num w:numId="13" w16cid:durableId="979113845">
    <w:abstractNumId w:val="15"/>
  </w:num>
  <w:num w:numId="14" w16cid:durableId="831262429">
    <w:abstractNumId w:val="10"/>
  </w:num>
  <w:num w:numId="15" w16cid:durableId="1290238862">
    <w:abstractNumId w:val="7"/>
  </w:num>
  <w:num w:numId="16" w16cid:durableId="179666850">
    <w:abstractNumId w:val="14"/>
  </w:num>
  <w:num w:numId="17" w16cid:durableId="369770687">
    <w:abstractNumId w:val="5"/>
  </w:num>
  <w:num w:numId="18" w16cid:durableId="195505311">
    <w:abstractNumId w:val="11"/>
  </w:num>
  <w:num w:numId="19" w16cid:durableId="255020750">
    <w:abstractNumId w:val="20"/>
  </w:num>
  <w:num w:numId="20" w16cid:durableId="2057509424">
    <w:abstractNumId w:val="8"/>
  </w:num>
  <w:num w:numId="21" w16cid:durableId="1770733256">
    <w:abstractNumId w:val="13"/>
  </w:num>
  <w:num w:numId="22" w16cid:durableId="1635477058">
    <w:abstractNumId w:val="17"/>
  </w:num>
  <w:num w:numId="23" w16cid:durableId="94950866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3AE"/>
    <w:rsid w:val="00001EC4"/>
    <w:rsid w:val="000051D5"/>
    <w:rsid w:val="00006D2A"/>
    <w:rsid w:val="00010D47"/>
    <w:rsid w:val="00010EB8"/>
    <w:rsid w:val="00011F77"/>
    <w:rsid w:val="0001584B"/>
    <w:rsid w:val="00016CF0"/>
    <w:rsid w:val="0002435C"/>
    <w:rsid w:val="00030DDD"/>
    <w:rsid w:val="000313BB"/>
    <w:rsid w:val="00033ED5"/>
    <w:rsid w:val="000414C2"/>
    <w:rsid w:val="00042550"/>
    <w:rsid w:val="00050500"/>
    <w:rsid w:val="0005691C"/>
    <w:rsid w:val="00056ECB"/>
    <w:rsid w:val="00056ED5"/>
    <w:rsid w:val="00061842"/>
    <w:rsid w:val="00064A95"/>
    <w:rsid w:val="000655CC"/>
    <w:rsid w:val="00065710"/>
    <w:rsid w:val="000700AE"/>
    <w:rsid w:val="00084024"/>
    <w:rsid w:val="0009062C"/>
    <w:rsid w:val="00095368"/>
    <w:rsid w:val="000954C4"/>
    <w:rsid w:val="000A4C35"/>
    <w:rsid w:val="000A611A"/>
    <w:rsid w:val="000A707C"/>
    <w:rsid w:val="000B12D9"/>
    <w:rsid w:val="000B3DFE"/>
    <w:rsid w:val="000B4536"/>
    <w:rsid w:val="000B4719"/>
    <w:rsid w:val="000B7715"/>
    <w:rsid w:val="000C24C2"/>
    <w:rsid w:val="000D0D68"/>
    <w:rsid w:val="000E3B85"/>
    <w:rsid w:val="000E463B"/>
    <w:rsid w:val="000E5A7E"/>
    <w:rsid w:val="000F2632"/>
    <w:rsid w:val="000F43A3"/>
    <w:rsid w:val="000F7681"/>
    <w:rsid w:val="00103031"/>
    <w:rsid w:val="001044FE"/>
    <w:rsid w:val="001139D4"/>
    <w:rsid w:val="001164BC"/>
    <w:rsid w:val="00127925"/>
    <w:rsid w:val="00131B08"/>
    <w:rsid w:val="00132A59"/>
    <w:rsid w:val="00133337"/>
    <w:rsid w:val="00133A0F"/>
    <w:rsid w:val="0013580F"/>
    <w:rsid w:val="00137B6D"/>
    <w:rsid w:val="0014070B"/>
    <w:rsid w:val="00140E05"/>
    <w:rsid w:val="001422C1"/>
    <w:rsid w:val="0014378A"/>
    <w:rsid w:val="001522AE"/>
    <w:rsid w:val="00154AEC"/>
    <w:rsid w:val="00157D5B"/>
    <w:rsid w:val="00161FE6"/>
    <w:rsid w:val="001647EA"/>
    <w:rsid w:val="00164C3D"/>
    <w:rsid w:val="00164EDF"/>
    <w:rsid w:val="00166D3A"/>
    <w:rsid w:val="00181FDC"/>
    <w:rsid w:val="001845E2"/>
    <w:rsid w:val="00185023"/>
    <w:rsid w:val="001860B9"/>
    <w:rsid w:val="00186F2B"/>
    <w:rsid w:val="001874D6"/>
    <w:rsid w:val="001940D3"/>
    <w:rsid w:val="00195ADB"/>
    <w:rsid w:val="0019632A"/>
    <w:rsid w:val="001A4E7C"/>
    <w:rsid w:val="001B762C"/>
    <w:rsid w:val="001C0FCB"/>
    <w:rsid w:val="001C4D0A"/>
    <w:rsid w:val="001C5FEF"/>
    <w:rsid w:val="001E624A"/>
    <w:rsid w:val="001E6F5D"/>
    <w:rsid w:val="001F63E9"/>
    <w:rsid w:val="00205653"/>
    <w:rsid w:val="0020668F"/>
    <w:rsid w:val="00206D71"/>
    <w:rsid w:val="00210601"/>
    <w:rsid w:val="00211487"/>
    <w:rsid w:val="00211D91"/>
    <w:rsid w:val="002126C5"/>
    <w:rsid w:val="00217DEC"/>
    <w:rsid w:val="00221171"/>
    <w:rsid w:val="0023103A"/>
    <w:rsid w:val="00235B57"/>
    <w:rsid w:val="00244FB1"/>
    <w:rsid w:val="00250F24"/>
    <w:rsid w:val="002523C5"/>
    <w:rsid w:val="0025380B"/>
    <w:rsid w:val="0025703A"/>
    <w:rsid w:val="00262F3D"/>
    <w:rsid w:val="00263281"/>
    <w:rsid w:val="002651D6"/>
    <w:rsid w:val="0026551F"/>
    <w:rsid w:val="00272008"/>
    <w:rsid w:val="00275EE1"/>
    <w:rsid w:val="00280A85"/>
    <w:rsid w:val="0028136B"/>
    <w:rsid w:val="00282BB8"/>
    <w:rsid w:val="00283FAA"/>
    <w:rsid w:val="00284119"/>
    <w:rsid w:val="00290B5C"/>
    <w:rsid w:val="0029228D"/>
    <w:rsid w:val="002943B3"/>
    <w:rsid w:val="00294791"/>
    <w:rsid w:val="002A7A9A"/>
    <w:rsid w:val="002B0B30"/>
    <w:rsid w:val="002B0C78"/>
    <w:rsid w:val="002C0C02"/>
    <w:rsid w:val="002C1277"/>
    <w:rsid w:val="002C1A46"/>
    <w:rsid w:val="002C60AD"/>
    <w:rsid w:val="002D0E0E"/>
    <w:rsid w:val="002D6023"/>
    <w:rsid w:val="002E263F"/>
    <w:rsid w:val="002E4D59"/>
    <w:rsid w:val="002E4E95"/>
    <w:rsid w:val="002E6F81"/>
    <w:rsid w:val="002F08BA"/>
    <w:rsid w:val="002F2CFF"/>
    <w:rsid w:val="002F568B"/>
    <w:rsid w:val="002F7818"/>
    <w:rsid w:val="002F7DFC"/>
    <w:rsid w:val="003066D0"/>
    <w:rsid w:val="00311401"/>
    <w:rsid w:val="00317A47"/>
    <w:rsid w:val="003203D7"/>
    <w:rsid w:val="00320DE2"/>
    <w:rsid w:val="00320F86"/>
    <w:rsid w:val="00324171"/>
    <w:rsid w:val="00326C24"/>
    <w:rsid w:val="00337D38"/>
    <w:rsid w:val="00337ED2"/>
    <w:rsid w:val="00337F99"/>
    <w:rsid w:val="0034307B"/>
    <w:rsid w:val="00343A36"/>
    <w:rsid w:val="00345EB1"/>
    <w:rsid w:val="003473A1"/>
    <w:rsid w:val="0034769C"/>
    <w:rsid w:val="00350CC4"/>
    <w:rsid w:val="00360E0D"/>
    <w:rsid w:val="0036357D"/>
    <w:rsid w:val="00363B23"/>
    <w:rsid w:val="0036594C"/>
    <w:rsid w:val="0036596A"/>
    <w:rsid w:val="00367D19"/>
    <w:rsid w:val="00371BED"/>
    <w:rsid w:val="00383B34"/>
    <w:rsid w:val="00384019"/>
    <w:rsid w:val="003854F1"/>
    <w:rsid w:val="0039118E"/>
    <w:rsid w:val="00397F54"/>
    <w:rsid w:val="003A0D43"/>
    <w:rsid w:val="003A6878"/>
    <w:rsid w:val="003B2A4B"/>
    <w:rsid w:val="003B32E4"/>
    <w:rsid w:val="003D099E"/>
    <w:rsid w:val="003D21A2"/>
    <w:rsid w:val="003D29D2"/>
    <w:rsid w:val="003E0705"/>
    <w:rsid w:val="003E2FF7"/>
    <w:rsid w:val="003F1013"/>
    <w:rsid w:val="003F1ACF"/>
    <w:rsid w:val="0040161E"/>
    <w:rsid w:val="00404948"/>
    <w:rsid w:val="00406BEA"/>
    <w:rsid w:val="00413A60"/>
    <w:rsid w:val="004230F7"/>
    <w:rsid w:val="0043167E"/>
    <w:rsid w:val="00433A3E"/>
    <w:rsid w:val="0043409A"/>
    <w:rsid w:val="00435FB2"/>
    <w:rsid w:val="00436544"/>
    <w:rsid w:val="004376AA"/>
    <w:rsid w:val="00443C1E"/>
    <w:rsid w:val="00446255"/>
    <w:rsid w:val="00451935"/>
    <w:rsid w:val="00455EF0"/>
    <w:rsid w:val="00460ED0"/>
    <w:rsid w:val="004633EA"/>
    <w:rsid w:val="00465651"/>
    <w:rsid w:val="00470CE7"/>
    <w:rsid w:val="00470F4F"/>
    <w:rsid w:val="00472482"/>
    <w:rsid w:val="00480DC7"/>
    <w:rsid w:val="004876F6"/>
    <w:rsid w:val="00490264"/>
    <w:rsid w:val="0049236A"/>
    <w:rsid w:val="00492718"/>
    <w:rsid w:val="004A355D"/>
    <w:rsid w:val="004A4970"/>
    <w:rsid w:val="004B2183"/>
    <w:rsid w:val="004B2A01"/>
    <w:rsid w:val="004C2559"/>
    <w:rsid w:val="004D7BA3"/>
    <w:rsid w:val="004DB9EB"/>
    <w:rsid w:val="004E372C"/>
    <w:rsid w:val="004E5079"/>
    <w:rsid w:val="004F1FC8"/>
    <w:rsid w:val="004F4518"/>
    <w:rsid w:val="004F4C62"/>
    <w:rsid w:val="004F7C7A"/>
    <w:rsid w:val="00501433"/>
    <w:rsid w:val="00511CC4"/>
    <w:rsid w:val="00520240"/>
    <w:rsid w:val="00521025"/>
    <w:rsid w:val="00531E60"/>
    <w:rsid w:val="00536131"/>
    <w:rsid w:val="00536902"/>
    <w:rsid w:val="00536A5A"/>
    <w:rsid w:val="00537907"/>
    <w:rsid w:val="00541D07"/>
    <w:rsid w:val="00544BAB"/>
    <w:rsid w:val="00545F31"/>
    <w:rsid w:val="0055238B"/>
    <w:rsid w:val="005542BF"/>
    <w:rsid w:val="005578FA"/>
    <w:rsid w:val="00563063"/>
    <w:rsid w:val="00565129"/>
    <w:rsid w:val="00565CD0"/>
    <w:rsid w:val="00567820"/>
    <w:rsid w:val="005770AD"/>
    <w:rsid w:val="00581414"/>
    <w:rsid w:val="00582490"/>
    <w:rsid w:val="005826FA"/>
    <w:rsid w:val="00597E28"/>
    <w:rsid w:val="005A15A5"/>
    <w:rsid w:val="005A2E3B"/>
    <w:rsid w:val="005A4223"/>
    <w:rsid w:val="005A54ED"/>
    <w:rsid w:val="005A5D5B"/>
    <w:rsid w:val="005A6081"/>
    <w:rsid w:val="005A627D"/>
    <w:rsid w:val="005B78B3"/>
    <w:rsid w:val="005C0045"/>
    <w:rsid w:val="005C084E"/>
    <w:rsid w:val="005C4606"/>
    <w:rsid w:val="005D0B0C"/>
    <w:rsid w:val="005D57DA"/>
    <w:rsid w:val="005E02B3"/>
    <w:rsid w:val="005E0D0A"/>
    <w:rsid w:val="005E1E24"/>
    <w:rsid w:val="005F502B"/>
    <w:rsid w:val="005F79D2"/>
    <w:rsid w:val="0060596B"/>
    <w:rsid w:val="00606D97"/>
    <w:rsid w:val="00614E64"/>
    <w:rsid w:val="00617710"/>
    <w:rsid w:val="00617DD9"/>
    <w:rsid w:val="00617EE6"/>
    <w:rsid w:val="0062184C"/>
    <w:rsid w:val="00623724"/>
    <w:rsid w:val="00625702"/>
    <w:rsid w:val="00627BEA"/>
    <w:rsid w:val="006310EC"/>
    <w:rsid w:val="006319DB"/>
    <w:rsid w:val="006363C3"/>
    <w:rsid w:val="00637660"/>
    <w:rsid w:val="00637D63"/>
    <w:rsid w:val="0065329C"/>
    <w:rsid w:val="0065595B"/>
    <w:rsid w:val="00655C8A"/>
    <w:rsid w:val="0065647D"/>
    <w:rsid w:val="00660269"/>
    <w:rsid w:val="00660D84"/>
    <w:rsid w:val="00665F89"/>
    <w:rsid w:val="00673C92"/>
    <w:rsid w:val="006753EC"/>
    <w:rsid w:val="006A0B82"/>
    <w:rsid w:val="006A2789"/>
    <w:rsid w:val="006A4978"/>
    <w:rsid w:val="006A7261"/>
    <w:rsid w:val="006B0D29"/>
    <w:rsid w:val="006B1819"/>
    <w:rsid w:val="006B5DE7"/>
    <w:rsid w:val="006C30C6"/>
    <w:rsid w:val="006C3293"/>
    <w:rsid w:val="006C5048"/>
    <w:rsid w:val="006C6216"/>
    <w:rsid w:val="006C6A4B"/>
    <w:rsid w:val="006C779F"/>
    <w:rsid w:val="006D01F5"/>
    <w:rsid w:val="006D09C7"/>
    <w:rsid w:val="006D0CFB"/>
    <w:rsid w:val="006D30C0"/>
    <w:rsid w:val="006D7535"/>
    <w:rsid w:val="006D7EDF"/>
    <w:rsid w:val="006E450B"/>
    <w:rsid w:val="006F0D7E"/>
    <w:rsid w:val="006F0F3D"/>
    <w:rsid w:val="006F11A8"/>
    <w:rsid w:val="006F3750"/>
    <w:rsid w:val="00700D97"/>
    <w:rsid w:val="0070428D"/>
    <w:rsid w:val="00710B77"/>
    <w:rsid w:val="00712430"/>
    <w:rsid w:val="0071538D"/>
    <w:rsid w:val="0072075B"/>
    <w:rsid w:val="007221C2"/>
    <w:rsid w:val="00725816"/>
    <w:rsid w:val="00730955"/>
    <w:rsid w:val="00733A9C"/>
    <w:rsid w:val="007340B2"/>
    <w:rsid w:val="0073411C"/>
    <w:rsid w:val="0073577C"/>
    <w:rsid w:val="00736574"/>
    <w:rsid w:val="007367E0"/>
    <w:rsid w:val="00736E87"/>
    <w:rsid w:val="00737215"/>
    <w:rsid w:val="00737ACC"/>
    <w:rsid w:val="00754905"/>
    <w:rsid w:val="00755B2F"/>
    <w:rsid w:val="00760038"/>
    <w:rsid w:val="00762EE0"/>
    <w:rsid w:val="00765C41"/>
    <w:rsid w:val="00771100"/>
    <w:rsid w:val="00771B39"/>
    <w:rsid w:val="007759DD"/>
    <w:rsid w:val="0078609F"/>
    <w:rsid w:val="007917BA"/>
    <w:rsid w:val="007A5C6F"/>
    <w:rsid w:val="007B44D9"/>
    <w:rsid w:val="007C1A32"/>
    <w:rsid w:val="007D4241"/>
    <w:rsid w:val="007D4317"/>
    <w:rsid w:val="007D4EA3"/>
    <w:rsid w:val="007D6D25"/>
    <w:rsid w:val="007E3E61"/>
    <w:rsid w:val="007E6974"/>
    <w:rsid w:val="007F1CFF"/>
    <w:rsid w:val="007F5DD5"/>
    <w:rsid w:val="00802881"/>
    <w:rsid w:val="00803455"/>
    <w:rsid w:val="008056D1"/>
    <w:rsid w:val="00821A1B"/>
    <w:rsid w:val="00824EF6"/>
    <w:rsid w:val="008262E9"/>
    <w:rsid w:val="00827E69"/>
    <w:rsid w:val="00835C4D"/>
    <w:rsid w:val="00835CA4"/>
    <w:rsid w:val="00837518"/>
    <w:rsid w:val="00840E96"/>
    <w:rsid w:val="00843057"/>
    <w:rsid w:val="00843F48"/>
    <w:rsid w:val="00851423"/>
    <w:rsid w:val="00857178"/>
    <w:rsid w:val="00857848"/>
    <w:rsid w:val="008608F3"/>
    <w:rsid w:val="00860A4F"/>
    <w:rsid w:val="00863077"/>
    <w:rsid w:val="008654B6"/>
    <w:rsid w:val="00870D8E"/>
    <w:rsid w:val="0087139C"/>
    <w:rsid w:val="0087486A"/>
    <w:rsid w:val="00880E83"/>
    <w:rsid w:val="00883D9E"/>
    <w:rsid w:val="00892F28"/>
    <w:rsid w:val="00893ED9"/>
    <w:rsid w:val="008A0C5F"/>
    <w:rsid w:val="008A3DEA"/>
    <w:rsid w:val="008A45AF"/>
    <w:rsid w:val="008A4EB9"/>
    <w:rsid w:val="008A661E"/>
    <w:rsid w:val="008A74C0"/>
    <w:rsid w:val="008A792D"/>
    <w:rsid w:val="008B1694"/>
    <w:rsid w:val="008C1F2D"/>
    <w:rsid w:val="008C4B27"/>
    <w:rsid w:val="008C7F2A"/>
    <w:rsid w:val="008D0095"/>
    <w:rsid w:val="008E36F8"/>
    <w:rsid w:val="008E46B2"/>
    <w:rsid w:val="008E682C"/>
    <w:rsid w:val="008E78A1"/>
    <w:rsid w:val="008F589F"/>
    <w:rsid w:val="00906238"/>
    <w:rsid w:val="00907EF9"/>
    <w:rsid w:val="00907F88"/>
    <w:rsid w:val="00910E80"/>
    <w:rsid w:val="009125A7"/>
    <w:rsid w:val="0091295C"/>
    <w:rsid w:val="00914D58"/>
    <w:rsid w:val="00921F47"/>
    <w:rsid w:val="009228AB"/>
    <w:rsid w:val="00924A73"/>
    <w:rsid w:val="00925E6A"/>
    <w:rsid w:val="0093085B"/>
    <w:rsid w:val="00931C57"/>
    <w:rsid w:val="00932BE9"/>
    <w:rsid w:val="009347A5"/>
    <w:rsid w:val="00942257"/>
    <w:rsid w:val="009471BF"/>
    <w:rsid w:val="00950E4E"/>
    <w:rsid w:val="009529BD"/>
    <w:rsid w:val="009533B4"/>
    <w:rsid w:val="00971D93"/>
    <w:rsid w:val="009737EA"/>
    <w:rsid w:val="009A3E14"/>
    <w:rsid w:val="009B1F6B"/>
    <w:rsid w:val="009B2D0C"/>
    <w:rsid w:val="009C02AC"/>
    <w:rsid w:val="009C0D12"/>
    <w:rsid w:val="009C192E"/>
    <w:rsid w:val="009C4511"/>
    <w:rsid w:val="009D6819"/>
    <w:rsid w:val="009D6D1C"/>
    <w:rsid w:val="009E0CF9"/>
    <w:rsid w:val="009E531B"/>
    <w:rsid w:val="009E6C56"/>
    <w:rsid w:val="009E7DCF"/>
    <w:rsid w:val="009F0611"/>
    <w:rsid w:val="009F4A56"/>
    <w:rsid w:val="009F4E65"/>
    <w:rsid w:val="00A006A5"/>
    <w:rsid w:val="00A05942"/>
    <w:rsid w:val="00A06F1A"/>
    <w:rsid w:val="00A07BEC"/>
    <w:rsid w:val="00A11698"/>
    <w:rsid w:val="00A11DD9"/>
    <w:rsid w:val="00A208A5"/>
    <w:rsid w:val="00A264BE"/>
    <w:rsid w:val="00A272CA"/>
    <w:rsid w:val="00A33051"/>
    <w:rsid w:val="00A34512"/>
    <w:rsid w:val="00A407AD"/>
    <w:rsid w:val="00A40923"/>
    <w:rsid w:val="00A41C05"/>
    <w:rsid w:val="00A42426"/>
    <w:rsid w:val="00A514B7"/>
    <w:rsid w:val="00A54A0B"/>
    <w:rsid w:val="00A57F77"/>
    <w:rsid w:val="00A61355"/>
    <w:rsid w:val="00A65FD4"/>
    <w:rsid w:val="00A672E0"/>
    <w:rsid w:val="00A765C4"/>
    <w:rsid w:val="00A81198"/>
    <w:rsid w:val="00A81E48"/>
    <w:rsid w:val="00A82035"/>
    <w:rsid w:val="00A8397B"/>
    <w:rsid w:val="00A90D77"/>
    <w:rsid w:val="00A92E07"/>
    <w:rsid w:val="00A969F2"/>
    <w:rsid w:val="00A97028"/>
    <w:rsid w:val="00A97D51"/>
    <w:rsid w:val="00AA0B3A"/>
    <w:rsid w:val="00AA3934"/>
    <w:rsid w:val="00AA6EB4"/>
    <w:rsid w:val="00AA767D"/>
    <w:rsid w:val="00AB097E"/>
    <w:rsid w:val="00AB0CC9"/>
    <w:rsid w:val="00AC0299"/>
    <w:rsid w:val="00AC38C1"/>
    <w:rsid w:val="00AC3FF6"/>
    <w:rsid w:val="00AC79A5"/>
    <w:rsid w:val="00AD0704"/>
    <w:rsid w:val="00AD677E"/>
    <w:rsid w:val="00AD73EC"/>
    <w:rsid w:val="00AE5BC7"/>
    <w:rsid w:val="00AF5AAF"/>
    <w:rsid w:val="00B013F7"/>
    <w:rsid w:val="00B046D8"/>
    <w:rsid w:val="00B139A8"/>
    <w:rsid w:val="00B13F4C"/>
    <w:rsid w:val="00B16219"/>
    <w:rsid w:val="00B16C59"/>
    <w:rsid w:val="00B210E2"/>
    <w:rsid w:val="00B33FDD"/>
    <w:rsid w:val="00B359CC"/>
    <w:rsid w:val="00B36107"/>
    <w:rsid w:val="00B37386"/>
    <w:rsid w:val="00B378D1"/>
    <w:rsid w:val="00B40A7B"/>
    <w:rsid w:val="00B41789"/>
    <w:rsid w:val="00B460FA"/>
    <w:rsid w:val="00B46C03"/>
    <w:rsid w:val="00B5732B"/>
    <w:rsid w:val="00B60C6C"/>
    <w:rsid w:val="00B619A9"/>
    <w:rsid w:val="00B63210"/>
    <w:rsid w:val="00B65A9D"/>
    <w:rsid w:val="00B66D60"/>
    <w:rsid w:val="00B75EDE"/>
    <w:rsid w:val="00B77D88"/>
    <w:rsid w:val="00B77FAF"/>
    <w:rsid w:val="00B84336"/>
    <w:rsid w:val="00B84989"/>
    <w:rsid w:val="00B851B9"/>
    <w:rsid w:val="00B86453"/>
    <w:rsid w:val="00B8748E"/>
    <w:rsid w:val="00B90054"/>
    <w:rsid w:val="00B92C14"/>
    <w:rsid w:val="00B93D98"/>
    <w:rsid w:val="00BA0066"/>
    <w:rsid w:val="00BB07BD"/>
    <w:rsid w:val="00BB09D9"/>
    <w:rsid w:val="00BB38FB"/>
    <w:rsid w:val="00BB4A57"/>
    <w:rsid w:val="00BB69DB"/>
    <w:rsid w:val="00BB7006"/>
    <w:rsid w:val="00BC2EC5"/>
    <w:rsid w:val="00BC322E"/>
    <w:rsid w:val="00BC3972"/>
    <w:rsid w:val="00BC44CD"/>
    <w:rsid w:val="00BC48A6"/>
    <w:rsid w:val="00BE0849"/>
    <w:rsid w:val="00BE7978"/>
    <w:rsid w:val="00BF04C6"/>
    <w:rsid w:val="00BF082E"/>
    <w:rsid w:val="00C07DDB"/>
    <w:rsid w:val="00C37964"/>
    <w:rsid w:val="00C40B39"/>
    <w:rsid w:val="00C4115D"/>
    <w:rsid w:val="00C43734"/>
    <w:rsid w:val="00C43BDD"/>
    <w:rsid w:val="00C47778"/>
    <w:rsid w:val="00C5011E"/>
    <w:rsid w:val="00C50EE5"/>
    <w:rsid w:val="00C522DC"/>
    <w:rsid w:val="00C5240A"/>
    <w:rsid w:val="00C5398F"/>
    <w:rsid w:val="00C556F5"/>
    <w:rsid w:val="00C571BA"/>
    <w:rsid w:val="00C70E19"/>
    <w:rsid w:val="00C72574"/>
    <w:rsid w:val="00C73346"/>
    <w:rsid w:val="00C7430C"/>
    <w:rsid w:val="00C77803"/>
    <w:rsid w:val="00C859D9"/>
    <w:rsid w:val="00C85DA1"/>
    <w:rsid w:val="00C9071C"/>
    <w:rsid w:val="00C908FF"/>
    <w:rsid w:val="00C9321B"/>
    <w:rsid w:val="00C94A84"/>
    <w:rsid w:val="00C97BD3"/>
    <w:rsid w:val="00CA39EF"/>
    <w:rsid w:val="00CA4DA6"/>
    <w:rsid w:val="00CA521F"/>
    <w:rsid w:val="00CB0493"/>
    <w:rsid w:val="00CB16A9"/>
    <w:rsid w:val="00CB17FF"/>
    <w:rsid w:val="00CB1ED7"/>
    <w:rsid w:val="00CC0B62"/>
    <w:rsid w:val="00CC167C"/>
    <w:rsid w:val="00CC52D9"/>
    <w:rsid w:val="00CD0B9E"/>
    <w:rsid w:val="00CD6647"/>
    <w:rsid w:val="00CE1814"/>
    <w:rsid w:val="00CE3A41"/>
    <w:rsid w:val="00CE4B73"/>
    <w:rsid w:val="00CE5F23"/>
    <w:rsid w:val="00CE75C8"/>
    <w:rsid w:val="00CF0BA2"/>
    <w:rsid w:val="00CF2F0C"/>
    <w:rsid w:val="00CF70BB"/>
    <w:rsid w:val="00D074DB"/>
    <w:rsid w:val="00D139CF"/>
    <w:rsid w:val="00D14E1A"/>
    <w:rsid w:val="00D21296"/>
    <w:rsid w:val="00D37E7F"/>
    <w:rsid w:val="00D47AD7"/>
    <w:rsid w:val="00D51529"/>
    <w:rsid w:val="00D7610E"/>
    <w:rsid w:val="00D85218"/>
    <w:rsid w:val="00D915B1"/>
    <w:rsid w:val="00D92563"/>
    <w:rsid w:val="00DA22C8"/>
    <w:rsid w:val="00DA299D"/>
    <w:rsid w:val="00DA36C4"/>
    <w:rsid w:val="00DA65C4"/>
    <w:rsid w:val="00DB3E8B"/>
    <w:rsid w:val="00DB6868"/>
    <w:rsid w:val="00DD2BE0"/>
    <w:rsid w:val="00DE4447"/>
    <w:rsid w:val="00DE5DA2"/>
    <w:rsid w:val="00DF0033"/>
    <w:rsid w:val="00DF67FA"/>
    <w:rsid w:val="00E026BF"/>
    <w:rsid w:val="00E07B1B"/>
    <w:rsid w:val="00E11853"/>
    <w:rsid w:val="00E436E3"/>
    <w:rsid w:val="00E52A86"/>
    <w:rsid w:val="00E54B47"/>
    <w:rsid w:val="00E553BF"/>
    <w:rsid w:val="00E55D93"/>
    <w:rsid w:val="00E61294"/>
    <w:rsid w:val="00E67130"/>
    <w:rsid w:val="00E7237C"/>
    <w:rsid w:val="00E77C46"/>
    <w:rsid w:val="00E86CE8"/>
    <w:rsid w:val="00E90E82"/>
    <w:rsid w:val="00EA00CB"/>
    <w:rsid w:val="00EA1BAA"/>
    <w:rsid w:val="00EA3409"/>
    <w:rsid w:val="00EA3FCD"/>
    <w:rsid w:val="00EA42A0"/>
    <w:rsid w:val="00EB6714"/>
    <w:rsid w:val="00EC0A68"/>
    <w:rsid w:val="00EC4CD2"/>
    <w:rsid w:val="00EC5006"/>
    <w:rsid w:val="00ED1520"/>
    <w:rsid w:val="00ED49C3"/>
    <w:rsid w:val="00ED69FF"/>
    <w:rsid w:val="00ED6CE8"/>
    <w:rsid w:val="00ED7AA6"/>
    <w:rsid w:val="00EE2A56"/>
    <w:rsid w:val="00EE3818"/>
    <w:rsid w:val="00EF27A6"/>
    <w:rsid w:val="00EF353E"/>
    <w:rsid w:val="00EF7E51"/>
    <w:rsid w:val="00F00911"/>
    <w:rsid w:val="00F00E39"/>
    <w:rsid w:val="00F135AF"/>
    <w:rsid w:val="00F22264"/>
    <w:rsid w:val="00F2564D"/>
    <w:rsid w:val="00F353B0"/>
    <w:rsid w:val="00F35B05"/>
    <w:rsid w:val="00F413D9"/>
    <w:rsid w:val="00F45E22"/>
    <w:rsid w:val="00F503D7"/>
    <w:rsid w:val="00F5135F"/>
    <w:rsid w:val="00F51F78"/>
    <w:rsid w:val="00F5394B"/>
    <w:rsid w:val="00F81406"/>
    <w:rsid w:val="00F86F47"/>
    <w:rsid w:val="00F90B64"/>
    <w:rsid w:val="00FB2F0F"/>
    <w:rsid w:val="00FB5086"/>
    <w:rsid w:val="00FB5411"/>
    <w:rsid w:val="00FB5A2F"/>
    <w:rsid w:val="00FB6392"/>
    <w:rsid w:val="00FC1A85"/>
    <w:rsid w:val="00FD372C"/>
    <w:rsid w:val="00FD3C70"/>
    <w:rsid w:val="00FD6820"/>
    <w:rsid w:val="00FE12D8"/>
    <w:rsid w:val="00FE738F"/>
    <w:rsid w:val="00FF7C02"/>
    <w:rsid w:val="01915A4A"/>
    <w:rsid w:val="0215EF5A"/>
    <w:rsid w:val="024801E3"/>
    <w:rsid w:val="038D1C48"/>
    <w:rsid w:val="0473A47C"/>
    <w:rsid w:val="071BD9C8"/>
    <w:rsid w:val="084313F4"/>
    <w:rsid w:val="09EBC940"/>
    <w:rsid w:val="0B4F8EAF"/>
    <w:rsid w:val="0C25E8A1"/>
    <w:rsid w:val="0C8B9C15"/>
    <w:rsid w:val="0CC3900A"/>
    <w:rsid w:val="0D96205E"/>
    <w:rsid w:val="0D9AA388"/>
    <w:rsid w:val="0F03F644"/>
    <w:rsid w:val="0F1404B3"/>
    <w:rsid w:val="0F1A482B"/>
    <w:rsid w:val="0F342A48"/>
    <w:rsid w:val="1083705F"/>
    <w:rsid w:val="10C7255A"/>
    <w:rsid w:val="10EF722C"/>
    <w:rsid w:val="12022278"/>
    <w:rsid w:val="125B14AC"/>
    <w:rsid w:val="130040E9"/>
    <w:rsid w:val="1362B8AC"/>
    <w:rsid w:val="14DC4471"/>
    <w:rsid w:val="15E26820"/>
    <w:rsid w:val="1611E96E"/>
    <w:rsid w:val="1632F588"/>
    <w:rsid w:val="16585908"/>
    <w:rsid w:val="16DB4751"/>
    <w:rsid w:val="177FF7E2"/>
    <w:rsid w:val="186B257A"/>
    <w:rsid w:val="199FEEC7"/>
    <w:rsid w:val="1C72F9F5"/>
    <w:rsid w:val="1CC277CF"/>
    <w:rsid w:val="1D6E8156"/>
    <w:rsid w:val="1F809CC2"/>
    <w:rsid w:val="21AE2DB2"/>
    <w:rsid w:val="22DAE2FE"/>
    <w:rsid w:val="2445BFCD"/>
    <w:rsid w:val="24781B8A"/>
    <w:rsid w:val="24A6A4B0"/>
    <w:rsid w:val="27B01878"/>
    <w:rsid w:val="28D8F849"/>
    <w:rsid w:val="2A5241AB"/>
    <w:rsid w:val="2BAD6CD7"/>
    <w:rsid w:val="2C136F9B"/>
    <w:rsid w:val="2CD87CE6"/>
    <w:rsid w:val="2D240F63"/>
    <w:rsid w:val="2D50AAE5"/>
    <w:rsid w:val="2D8A0F40"/>
    <w:rsid w:val="2D8DB0AC"/>
    <w:rsid w:val="30789A69"/>
    <w:rsid w:val="31598508"/>
    <w:rsid w:val="31B7C9D3"/>
    <w:rsid w:val="31C65904"/>
    <w:rsid w:val="32435AC8"/>
    <w:rsid w:val="326053D5"/>
    <w:rsid w:val="33E12AD6"/>
    <w:rsid w:val="341E6710"/>
    <w:rsid w:val="341FC968"/>
    <w:rsid w:val="3427C8BD"/>
    <w:rsid w:val="34969CD1"/>
    <w:rsid w:val="34B99A60"/>
    <w:rsid w:val="3544913F"/>
    <w:rsid w:val="359E52F4"/>
    <w:rsid w:val="35C8D252"/>
    <w:rsid w:val="362FC34D"/>
    <w:rsid w:val="3706D9AB"/>
    <w:rsid w:val="373A2355"/>
    <w:rsid w:val="3862F322"/>
    <w:rsid w:val="38630785"/>
    <w:rsid w:val="38812A2F"/>
    <w:rsid w:val="38B49BF9"/>
    <w:rsid w:val="38DCAE4B"/>
    <w:rsid w:val="38E10EE8"/>
    <w:rsid w:val="3A20F040"/>
    <w:rsid w:val="3AEAFD34"/>
    <w:rsid w:val="3C6DEC53"/>
    <w:rsid w:val="3E17BA2A"/>
    <w:rsid w:val="3EDB5FAF"/>
    <w:rsid w:val="3F7BB0AC"/>
    <w:rsid w:val="40BAFF03"/>
    <w:rsid w:val="41580604"/>
    <w:rsid w:val="41DD1457"/>
    <w:rsid w:val="422B0395"/>
    <w:rsid w:val="42AF35B7"/>
    <w:rsid w:val="430A492D"/>
    <w:rsid w:val="4482556D"/>
    <w:rsid w:val="468E4E84"/>
    <w:rsid w:val="46C782C8"/>
    <w:rsid w:val="4791B9B6"/>
    <w:rsid w:val="49E2F189"/>
    <w:rsid w:val="4AABA021"/>
    <w:rsid w:val="4B726711"/>
    <w:rsid w:val="4C6BAD09"/>
    <w:rsid w:val="4CCA3413"/>
    <w:rsid w:val="4D10B4B3"/>
    <w:rsid w:val="4D41410C"/>
    <w:rsid w:val="4E2B678E"/>
    <w:rsid w:val="4E78CB7C"/>
    <w:rsid w:val="4EB26D5D"/>
    <w:rsid w:val="50149BDD"/>
    <w:rsid w:val="5166E76D"/>
    <w:rsid w:val="519E7A51"/>
    <w:rsid w:val="51B7F42F"/>
    <w:rsid w:val="5501F8B7"/>
    <w:rsid w:val="563804ED"/>
    <w:rsid w:val="5848F305"/>
    <w:rsid w:val="58C07638"/>
    <w:rsid w:val="59C36BA9"/>
    <w:rsid w:val="59E4C366"/>
    <w:rsid w:val="5A00C272"/>
    <w:rsid w:val="5D8689BC"/>
    <w:rsid w:val="5F74C2E2"/>
    <w:rsid w:val="6014BC4C"/>
    <w:rsid w:val="60446847"/>
    <w:rsid w:val="61397BFA"/>
    <w:rsid w:val="61BD42BA"/>
    <w:rsid w:val="6262C5DB"/>
    <w:rsid w:val="62A4EAEB"/>
    <w:rsid w:val="647B2B65"/>
    <w:rsid w:val="65435A8A"/>
    <w:rsid w:val="6688C654"/>
    <w:rsid w:val="66B2AEE0"/>
    <w:rsid w:val="67751344"/>
    <w:rsid w:val="687AFB4C"/>
    <w:rsid w:val="68A4390C"/>
    <w:rsid w:val="68ABDAAD"/>
    <w:rsid w:val="68D3EC8E"/>
    <w:rsid w:val="68E191A9"/>
    <w:rsid w:val="695A4346"/>
    <w:rsid w:val="6975D0FC"/>
    <w:rsid w:val="698CF54C"/>
    <w:rsid w:val="69C06716"/>
    <w:rsid w:val="6A16CBAD"/>
    <w:rsid w:val="6AE4F78A"/>
    <w:rsid w:val="6B2CF8ED"/>
    <w:rsid w:val="6B565E57"/>
    <w:rsid w:val="6BD40418"/>
    <w:rsid w:val="6C361AF7"/>
    <w:rsid w:val="6C58C3A2"/>
    <w:rsid w:val="6D3C2113"/>
    <w:rsid w:val="6E30D145"/>
    <w:rsid w:val="7063AD3C"/>
    <w:rsid w:val="747C640C"/>
    <w:rsid w:val="74B1B3BB"/>
    <w:rsid w:val="76BCBBB0"/>
    <w:rsid w:val="77335E47"/>
    <w:rsid w:val="7751B234"/>
    <w:rsid w:val="78AAF0B5"/>
    <w:rsid w:val="790EB572"/>
    <w:rsid w:val="79EBE91D"/>
    <w:rsid w:val="7B3B6828"/>
    <w:rsid w:val="7D00EEB5"/>
    <w:rsid w:val="7D79B74D"/>
    <w:rsid w:val="7DEB0B6B"/>
    <w:rsid w:val="7E9471CF"/>
    <w:rsid w:val="7F24DBB3"/>
    <w:rsid w:val="7F6F463C"/>
    <w:rsid w:val="7FDAFB3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E0FE1C8-F57C-42BD-9C0E-7A7A7E7FE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72008"/>
    <w:pPr>
      <w:tabs>
        <w:tab w:val="right" w:leader="dot" w:pos="8779"/>
      </w:tabs>
      <w:spacing w:line="240" w:lineRule="auto"/>
      <w:ind w:right="14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72008"/>
    <w:pPr>
      <w:tabs>
        <w:tab w:val="right" w:leader="dot" w:pos="8789"/>
      </w:tabs>
      <w:ind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Tabell">
    <w:name w:val="Tabell"/>
    <w:link w:val="TabellChar"/>
    <w:qFormat/>
    <w:rsid w:val="00803455"/>
    <w:pPr>
      <w:spacing w:line="288" w:lineRule="auto"/>
      <w:ind w:right="-142"/>
    </w:pPr>
    <w:rPr>
      <w:sz w:val="24"/>
      <w:szCs w:val="24"/>
    </w:rPr>
  </w:style>
  <w:style w:type="character" w:customStyle="1" w:styleId="TabellChar">
    <w:name w:val="Tabell Char"/>
    <w:basedOn w:val="Standardstycketeckensnitt"/>
    <w:link w:val="Tabell"/>
    <w:rsid w:val="00803455"/>
    <w:rPr>
      <w:sz w:val="24"/>
      <w:szCs w:val="24"/>
    </w:rPr>
  </w:style>
  <w:style w:type="character" w:styleId="AnvndHyperlnk">
    <w:name w:val="FollowedHyperlink"/>
    <w:basedOn w:val="Standardstycketeckensnitt"/>
    <w:uiPriority w:val="99"/>
    <w:semiHidden/>
    <w:unhideWhenUsed/>
    <w:rsid w:val="00C94A84"/>
    <w:rPr>
      <w:color w:val="9EA2A2" w:themeColor="followedHyperlink"/>
      <w:u w:val="single"/>
    </w:rPr>
  </w:style>
  <w:style w:type="character" w:styleId="Olstomnmnande">
    <w:name w:val="Unresolved Mention"/>
    <w:basedOn w:val="Standardstycketeckensnitt"/>
    <w:uiPriority w:val="99"/>
    <w:semiHidden/>
    <w:unhideWhenUsed/>
    <w:rsid w:val="00802881"/>
    <w:rPr>
      <w:color w:val="605E5C"/>
      <w:shd w:val="clear" w:color="auto" w:fill="E1DFDD"/>
    </w:rPr>
  </w:style>
  <w:style w:type="paragraph" w:styleId="Kommentarer">
    <w:name w:val="annotation text"/>
    <w:basedOn w:val="Normal"/>
    <w:link w:val="KommentarerChar"/>
    <w:unhideWhenUsed/>
    <w:rsid w:val="00140E05"/>
    <w:pPr>
      <w:spacing w:line="240" w:lineRule="auto"/>
    </w:pPr>
    <w:rPr>
      <w:sz w:val="20"/>
      <w:szCs w:val="20"/>
    </w:rPr>
  </w:style>
  <w:style w:type="character" w:customStyle="1" w:styleId="KommentarerChar">
    <w:name w:val="Kommentarer Char"/>
    <w:basedOn w:val="Standardstycketeckensnitt"/>
    <w:link w:val="Kommentarer"/>
    <w:rsid w:val="00140E05"/>
  </w:style>
  <w:style w:type="character" w:styleId="Kommentarsreferens">
    <w:name w:val="annotation reference"/>
    <w:basedOn w:val="Standardstycketeckensnitt"/>
    <w:unhideWhenUsed/>
    <w:rsid w:val="00140E0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58592207">
      <w:bodyDiv w:val="1"/>
      <w:marLeft w:val="0"/>
      <w:marRight w:val="0"/>
      <w:marTop w:val="0"/>
      <w:marBottom w:val="0"/>
      <w:divBdr>
        <w:top w:val="none" w:sz="0" w:space="0" w:color="auto"/>
        <w:left w:val="none" w:sz="0" w:space="0" w:color="auto"/>
        <w:bottom w:val="none" w:sz="0" w:space="0" w:color="auto"/>
        <w:right w:val="none" w:sz="0" w:space="0" w:color="auto"/>
      </w:divBdr>
    </w:div>
    <w:div w:id="65006029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98166509">
      <w:bodyDiv w:val="1"/>
      <w:marLeft w:val="0"/>
      <w:marRight w:val="0"/>
      <w:marTop w:val="0"/>
      <w:marBottom w:val="0"/>
      <w:divBdr>
        <w:top w:val="none" w:sz="0" w:space="0" w:color="auto"/>
        <w:left w:val="none" w:sz="0" w:space="0" w:color="auto"/>
        <w:bottom w:val="none" w:sz="0" w:space="0" w:color="auto"/>
        <w:right w:val="none" w:sz="0" w:space="0" w:color="auto"/>
      </w:divBdr>
    </w:div>
    <w:div w:id="1436361633">
      <w:bodyDiv w:val="1"/>
      <w:marLeft w:val="0"/>
      <w:marRight w:val="0"/>
      <w:marTop w:val="0"/>
      <w:marBottom w:val="0"/>
      <w:divBdr>
        <w:top w:val="none" w:sz="0" w:space="0" w:color="auto"/>
        <w:left w:val="none" w:sz="0" w:space="0" w:color="auto"/>
        <w:bottom w:val="none" w:sz="0" w:space="0" w:color="auto"/>
        <w:right w:val="none" w:sz="0" w:space="0" w:color="auto"/>
      </w:divBdr>
    </w:div>
    <w:div w:id="1883208855">
      <w:bodyDiv w:val="1"/>
      <w:marLeft w:val="0"/>
      <w:marRight w:val="0"/>
      <w:marTop w:val="0"/>
      <w:marBottom w:val="0"/>
      <w:divBdr>
        <w:top w:val="none" w:sz="0" w:space="0" w:color="auto"/>
        <w:left w:val="none" w:sz="0" w:space="0" w:color="auto"/>
        <w:bottom w:val="none" w:sz="0" w:space="0" w:color="auto"/>
        <w:right w:val="none" w:sz="0" w:space="0" w:color="auto"/>
      </w:divBdr>
    </w:div>
    <w:div w:id="200782843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829-1037340901-1256/surrogate/H%c3%a4lsodeklaration%20avseende%20tuberkulos.pdf" TargetMode="External" Id="rId18" /><Relationship Type="http://schemas.openxmlformats.org/officeDocument/2006/relationships/hyperlink" Target="https://www.lakemedelsverket.se/sv/global-sok?q=psoriasis" TargetMode="External" Id="rId26" /><Relationship Type="http://schemas.openxmlformats.org/officeDocument/2006/relationships/hyperlink" Target="http://www.ncbi.nlm.nih.gov/pubmed?term=Warren%20RB%5BAuthor%5D&amp;cauthor=true&amp;cauthor_uid=23437792" TargetMode="External" Id="rId39" /><Relationship Type="http://schemas.openxmlformats.org/officeDocument/2006/relationships/image" Target="cid:46e9167e-ba1f-406c-8543-4e2cc0cf4938" TargetMode="External" Id="rId21" /><Relationship Type="http://schemas.openxmlformats.org/officeDocument/2006/relationships/hyperlink" Target="http://www.ncbi.nlm.nih.gov/pubmed?term=Langley%20R%5BAuthor%5D&amp;cauthor=true&amp;cauthor_uid=23437792" TargetMode="External" Id="rId34" /><Relationship Type="http://schemas.openxmlformats.org/officeDocument/2006/relationships/theme" Target="theme/theme1.xml" Id="rId42"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829-1037340901-1450/surrogate/Tuberkulosscreening%20inf%c3%b6r%20ins%c3%a4ttande%20av%20immunmodulerande%20behandling.pdf" TargetMode="External" Id="rId17" /><Relationship Type="http://schemas.openxmlformats.org/officeDocument/2006/relationships/hyperlink" Target="https://www.ssdv.se/images/SSDVs%20behandlingsrekommendationer%20f%C3%B6r%20systemisk%20behandling%20av%20psoriasis%20(2024-12-15).pdf" TargetMode="External" Id="rId25" /><Relationship Type="http://schemas.openxmlformats.org/officeDocument/2006/relationships/hyperlink" Target="http://www.ncbi.nlm.nih.gov/pubmed?term=Kragballe%20K%5BAuthor%5D&amp;cauthor=true&amp;cauthor_uid=23437792" TargetMode="External" Id="rId33" /><Relationship Type="http://schemas.openxmlformats.org/officeDocument/2006/relationships/hyperlink" Target="http://www.ncbi.nlm.nih.gov/pubmed?term=Schmitt%20J%5BAuthor%5D&amp;cauthor=true&amp;cauthor_uid=23437792" TargetMode="External" Id="rId38" /><Relationship Type="http://schemas.openxmlformats.org/officeDocument/2006/relationships/footer" Target="footer3.xml" Id="rId16" /><Relationship Type="http://schemas.openxmlformats.org/officeDocument/2006/relationships/image" Target="media/image3.png" Id="rId20" /><Relationship Type="http://schemas.openxmlformats.org/officeDocument/2006/relationships/hyperlink" Target="https://riktlinjer.svenskreumatologi.se/wp-content/uploads/2023/04/rekommendationer_graviditet_2024_eb_srf240219-1.pdf" TargetMode="External" Id="rId29" /><Relationship Type="http://schemas.openxmlformats.org/officeDocument/2006/relationships/fontTable" Target="fontTable.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3829-1037340901-1256/surrogate/H%c3%a4lsodeklaration%20avseende%20tuberkulos.pdf" TargetMode="External" Id="rId24" /><Relationship Type="http://schemas.openxmlformats.org/officeDocument/2006/relationships/hyperlink" Target="http://www.ncbi.nlm.nih.gov/pubmed?term=de%20Jong%20EM%5BAuthor%5D&amp;cauthor=true&amp;cauthor_uid=23437792" TargetMode="External" Id="rId32" /><Relationship Type="http://schemas.openxmlformats.org/officeDocument/2006/relationships/hyperlink" Target="http://www.ncbi.nlm.nih.gov/pubmed?term=Reich%20K%5BAuthor%5D&amp;cauthor=true&amp;cauthor_uid=23437792" TargetMode="External" Id="rId37" /><Relationship Type="http://schemas.openxmlformats.org/officeDocument/2006/relationships/hyperlink" Target="https://onlinelibrary.wiley.com/doi/epdf/10.1111/jdv.12118" TargetMode="External" Id="rId40"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3829-1037340901-1450/surrogate/Tuberkulosscreening%20inf%c3%b6r%20ins%c3%a4ttande%20av%20immunmodulerande%20behandling.pdf" TargetMode="External" Id="rId23" /><Relationship Type="http://schemas.openxmlformats.org/officeDocument/2006/relationships/hyperlink" Target="https://www.socialstyrelsen.se/globalassets/sharepoint-dokument/artikelkatalog/nationella-riktlinjer/2019-3-11.pdf" TargetMode="External" Id="rId28" /><Relationship Type="http://schemas.openxmlformats.org/officeDocument/2006/relationships/hyperlink" Target="http://www.ncbi.nlm.nih.gov/pubmed?term=Puig%20L%5BAuthor%5D&amp;cauthor=true&amp;cauthor_uid=23437792" TargetMode="External" Id="rId36" /><Relationship Type="http://schemas.openxmlformats.org/officeDocument/2006/relationships/footnotes" Target="footnotes.xml" Id="rId10" /><Relationship Type="http://schemas.openxmlformats.org/officeDocument/2006/relationships/hyperlink" Target="https://reuma.barnlakarforeningen.se/wp-content/uploads/sites/11/2019/08/Vaccination-av-patient-med-JIA-190825.pdf" TargetMode="External" Id="rId19" /><Relationship Type="http://schemas.openxmlformats.org/officeDocument/2006/relationships/hyperlink" Target="http://www.ncbi.nlm.nih.gov/pubmed?term=Mrowietz%20U%5BAuthor%5D&amp;cauthor=true&amp;cauthor_uid=23437792"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3829-1037340901-1247/surrogate/Biologiskt%20l%c3%a4kemedel%20patientinformation.pdf" TargetMode="External" Id="rId22" /><Relationship Type="http://schemas.openxmlformats.org/officeDocument/2006/relationships/hyperlink" Target="https://www.lakemedelsverket.se/sv/behandling-och-forskrivning/behandlingsrekommendationer/sok-behandlingsrekommendationer/lakemedel-vid-psoriasis-och-psoriasisartrit---behandlingsrekommendation" TargetMode="External" Id="rId27" /><Relationship Type="http://schemas.openxmlformats.org/officeDocument/2006/relationships/hyperlink" Target="https://www.ncbi.nlm.nih.gov/pmc/articles/PMC3016217/pdf/403_2010_Article_1080.pdf" TargetMode="External" Id="rId30" /><Relationship Type="http://schemas.openxmlformats.org/officeDocument/2006/relationships/hyperlink" Target="http://www.ncbi.nlm.nih.gov/pubmed?term=Nast%20A%5BAuthor%5D&amp;cauthor=true&amp;cauthor_uid=23437792"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12</Pages>
  <Words>2832</Words>
  <Characters>24911</Characters>
  <Application>Microsoft Office Word</Application>
  <DocSecurity>0</DocSecurity>
  <Lines>207</Lines>
  <Paragraphs>55</Paragraphs>
  <ScaleCrop>false</ScaleCrop>
  <Manager/>
  <Company/>
  <LinksUpToDate>false</LinksUpToDate>
  <CharactersWithSpaces>27688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Biologiska läkemedel för behandling av psoriasis</dc:title>
  <dc:subject/>
  <dc:creator>patrik.jens.johansson@vgregion.se</dc:creator>
  <keywords/>
  <lastModifiedBy>Jenny Karsna</lastModifiedBy>
  <revision>251</revision>
  <lastPrinted>2016-03-31T19:56:00.0000000Z</lastPrinted>
  <dcterms:created xsi:type="dcterms:W3CDTF">2023-10-30T18:03:00.0000000Z</dcterms:created>
  <dcterms:modified xsi:type="dcterms:W3CDTF">2025-10-01T07:09:00.0000000Z</dcterms:modified>
</coreProperties>
</file>