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41377" w:rsidP="00F35B05" w:rsidRDefault="00E41377" w14:paraId="3BD85FFA" w14:textId="77777777">
      <w:pPr>
        <w:pStyle w:val="Rubrik2"/>
        <w:sectPr w:rsidR="00E41377" w:rsidSect="00E4137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0111C7C" w:rsidP="00111C7C" w:rsidRDefault="00621F5D" w14:paraId="1AA5808C" w14:textId="49965BC9">
      <w:pPr>
        <w:pStyle w:val="Rubrik1"/>
        <w:ind w:left="567" w:right="-143"/>
      </w:pPr>
      <w:bookmarkStart w:name="_Hlk114563369" w:id="1"/>
      <w:r>
        <w:t xml:space="preserve">Behandling med </w:t>
      </w:r>
      <w:r w:rsidR="004CB6F8">
        <w:t>M</w:t>
      </w:r>
      <w:r>
        <w:t>etotrexat</w:t>
      </w:r>
    </w:p>
    <w:p w:rsidR="00111C7C" w:rsidP="00111C7C" w:rsidRDefault="00111C7C" w14:paraId="5A414C01" w14:textId="77777777">
      <w:pPr>
        <w:pStyle w:val="Rubrik2"/>
        <w:ind w:left="567" w:right="-143"/>
      </w:pPr>
      <w:bookmarkStart w:name="_Toc114578092" w:id="2"/>
      <w:bookmarkStart w:name="_Hlk114563406" w:id="3"/>
      <w:bookmarkEnd w:id="1"/>
      <w:r>
        <w:t>Förändringar sedan föregående version</w:t>
      </w:r>
      <w:bookmarkEnd w:id="2"/>
    </w:p>
    <w:bookmarkEnd w:id="3"/>
    <w:p w:rsidRPr="00A85DBA" w:rsidR="00B02E45" w:rsidP="4C30DC15" w:rsidRDefault="007864A4" w14:paraId="5100ECB4" w14:textId="7304A05E">
      <w:pPr>
        <w:ind w:left="567" w:right="-143"/>
      </w:pPr>
      <w:r w:rsidRPr="4C30DC15">
        <w:t>Tillägg av</w:t>
      </w:r>
      <w:r w:rsidRPr="4C30DC15" w:rsidR="00642E35">
        <w:t xml:space="preserve"> </w:t>
      </w:r>
      <w:r w:rsidRPr="4C30DC15" w:rsidR="001C6BC4">
        <w:t>ny</w:t>
      </w:r>
      <w:r w:rsidRPr="4C30DC15">
        <w:t xml:space="preserve"> </w:t>
      </w:r>
      <w:r w:rsidRPr="4C30DC15" w:rsidR="00B70B5A">
        <w:t>information om leverprovtagning och vaccination.</w:t>
      </w:r>
    </w:p>
    <w:p w:rsidR="00A85DBA" w:rsidP="00A85DBA" w:rsidRDefault="00A85DBA" w14:paraId="356009D8" w14:textId="77777777">
      <w:pPr>
        <w:pStyle w:val="Rubrik2"/>
        <w:ind w:left="567" w:right="-143"/>
      </w:pPr>
      <w:bookmarkStart w:name="_Toc114578093" w:id="4"/>
      <w:bookmarkStart w:name="_Hlk114563423" w:id="5"/>
      <w:r>
        <w:t>Bakgrund och syfte</w:t>
      </w:r>
      <w:bookmarkStart w:name="_Toc72840807" w:id="6"/>
      <w:bookmarkEnd w:id="4"/>
      <w:r>
        <w:t xml:space="preserve"> </w:t>
      </w:r>
      <w:bookmarkEnd w:id="6"/>
    </w:p>
    <w:bookmarkEnd w:id="5"/>
    <w:p w:rsidR="00E41377" w:rsidP="00A85DBA" w:rsidRDefault="00E41377" w14:paraId="0E47A39B" w14:textId="1866ADFB">
      <w:pPr>
        <w:ind w:left="567" w:right="140"/>
        <w:rPr>
          <w:lang w:eastAsia="en-US"/>
        </w:rPr>
      </w:pPr>
      <w:r w:rsidRPr="00E41377">
        <w:rPr>
          <w:lang w:eastAsia="en-US"/>
        </w:rPr>
        <w:t>Att säkerställa god och säker vård av patienter behandlade med</w:t>
      </w:r>
      <w:r w:rsidRPr="00E41377">
        <w:rPr>
          <w:spacing w:val="-13"/>
          <w:lang w:eastAsia="en-US"/>
        </w:rPr>
        <w:t xml:space="preserve"> </w:t>
      </w:r>
      <w:r w:rsidRPr="00E41377" w:rsidR="3B077FDA">
        <w:rPr>
          <w:spacing w:val="-13"/>
          <w:lang w:eastAsia="en-US"/>
        </w:rPr>
        <w:t>m</w:t>
      </w:r>
      <w:r w:rsidRPr="00E41377">
        <w:rPr>
          <w:lang w:eastAsia="en-US"/>
        </w:rPr>
        <w:t>etotrexat.</w:t>
      </w:r>
    </w:p>
    <w:p w:rsidRPr="00065A6B" w:rsidR="00931446" w:rsidP="00931446" w:rsidRDefault="00931446" w14:paraId="18B7B451" w14:textId="77777777">
      <w:pPr>
        <w:pStyle w:val="Rubrik2"/>
        <w:ind w:left="567" w:right="-143"/>
        <w:rPr>
          <w:color w:val="auto"/>
        </w:rPr>
      </w:pPr>
      <w:bookmarkStart w:name="_Toc114578094" w:id="7"/>
      <w:bookmarkStart w:name="_Hlk114563476" w:id="8"/>
      <w:r w:rsidRPr="00065A6B">
        <w:rPr>
          <w:color w:val="auto"/>
        </w:rPr>
        <w:t>Utförande</w:t>
      </w:r>
      <w:bookmarkEnd w:id="7"/>
    </w:p>
    <w:bookmarkEnd w:id="8"/>
    <w:p w:rsidRPr="00931446" w:rsidR="00E41377" w:rsidP="00931446" w:rsidRDefault="00E41377" w14:paraId="41AE333B" w14:textId="6A26204B">
      <w:pPr>
        <w:ind w:left="567" w:right="-2"/>
        <w:rPr>
          <w:lang w:eastAsia="en-US"/>
        </w:rPr>
      </w:pPr>
      <w:r w:rsidRPr="00E41377">
        <w:rPr>
          <w:b/>
          <w:lang w:eastAsia="en-US"/>
        </w:rPr>
        <w:t xml:space="preserve">Läkemedelsform: </w:t>
      </w:r>
      <w:r w:rsidRPr="00E41377">
        <w:rPr>
          <w:lang w:eastAsia="en-US"/>
        </w:rPr>
        <w:t xml:space="preserve">Metotrexat: tablett á 2,5 mg, </w:t>
      </w:r>
      <w:proofErr w:type="spellStart"/>
      <w:r w:rsidRPr="00E41377">
        <w:rPr>
          <w:lang w:eastAsia="en-US"/>
        </w:rPr>
        <w:t>förfylld</w:t>
      </w:r>
      <w:proofErr w:type="spellEnd"/>
      <w:r w:rsidRPr="00E41377">
        <w:rPr>
          <w:lang w:eastAsia="en-US"/>
        </w:rPr>
        <w:t xml:space="preserve"> spruta och injektionspenna.</w:t>
      </w:r>
    </w:p>
    <w:p w:rsidRPr="00931446" w:rsidR="00E41377" w:rsidP="00931446" w:rsidRDefault="00E41377" w14:paraId="652A2169" w14:textId="3191612A">
      <w:pPr>
        <w:ind w:left="567" w:right="-2"/>
        <w:rPr>
          <w:lang w:eastAsia="en-US"/>
        </w:rPr>
      </w:pPr>
      <w:r w:rsidRPr="00E41377">
        <w:rPr>
          <w:b/>
          <w:lang w:eastAsia="en-US"/>
        </w:rPr>
        <w:t xml:space="preserve">Verkningsmekanism: </w:t>
      </w:r>
      <w:r w:rsidRPr="00E41377">
        <w:rPr>
          <w:lang w:eastAsia="en-US"/>
        </w:rPr>
        <w:t>Folsyraantagonist som förhindrar reduktion av folsyra till</w:t>
      </w:r>
      <w:r w:rsidRPr="00E41377">
        <w:rPr>
          <w:spacing w:val="-23"/>
          <w:lang w:eastAsia="en-US"/>
        </w:rPr>
        <w:t xml:space="preserve"> </w:t>
      </w:r>
      <w:proofErr w:type="spellStart"/>
      <w:r w:rsidRPr="00E41377">
        <w:rPr>
          <w:lang w:eastAsia="en-US"/>
        </w:rPr>
        <w:t>folinsyra</w:t>
      </w:r>
      <w:proofErr w:type="spellEnd"/>
      <w:r w:rsidRPr="00E41377">
        <w:rPr>
          <w:lang w:eastAsia="en-US"/>
        </w:rPr>
        <w:t xml:space="preserve">. </w:t>
      </w:r>
      <w:proofErr w:type="spellStart"/>
      <w:r w:rsidRPr="00E41377">
        <w:rPr>
          <w:lang w:eastAsia="en-US"/>
        </w:rPr>
        <w:t>Antiproliferativ</w:t>
      </w:r>
      <w:proofErr w:type="spellEnd"/>
      <w:r w:rsidRPr="00E41377">
        <w:rPr>
          <w:lang w:eastAsia="en-US"/>
        </w:rPr>
        <w:t>, immunosuppressiv och antiinflammatorisk</w:t>
      </w:r>
      <w:r w:rsidRPr="00E41377">
        <w:rPr>
          <w:spacing w:val="-9"/>
          <w:lang w:eastAsia="en-US"/>
        </w:rPr>
        <w:t xml:space="preserve"> </w:t>
      </w:r>
      <w:r w:rsidRPr="00E41377">
        <w:rPr>
          <w:lang w:eastAsia="en-US"/>
        </w:rPr>
        <w:t>effekt.</w:t>
      </w:r>
    </w:p>
    <w:p w:rsidRPr="00931446" w:rsidR="00E41377" w:rsidP="00931446" w:rsidRDefault="00E41377" w14:paraId="5BA4CDE3" w14:textId="7BAEF871">
      <w:pPr>
        <w:ind w:left="567" w:right="-2"/>
        <w:rPr>
          <w:lang w:eastAsia="en-US"/>
        </w:rPr>
      </w:pPr>
      <w:r w:rsidRPr="00E41377">
        <w:rPr>
          <w:b/>
          <w:lang w:eastAsia="en-US"/>
        </w:rPr>
        <w:t xml:space="preserve">Indikation: </w:t>
      </w:r>
      <w:r w:rsidRPr="00E41377">
        <w:rPr>
          <w:lang w:eastAsia="en-US"/>
        </w:rPr>
        <w:t>Måttlig till svår plackpsoriasis där lokalbehandling och ljusbehandling inte</w:t>
      </w:r>
      <w:r w:rsidRPr="00E41377">
        <w:rPr>
          <w:spacing w:val="-15"/>
          <w:lang w:eastAsia="en-US"/>
        </w:rPr>
        <w:t xml:space="preserve"> </w:t>
      </w:r>
      <w:r w:rsidRPr="00E41377">
        <w:rPr>
          <w:lang w:eastAsia="en-US"/>
        </w:rPr>
        <w:t>ger tillräcklig effekt eller inte är lämplig, svår hand-och fotpsoriasis, bullös pemfigoid, svårt eksem och andra dermatoser.</w:t>
      </w:r>
    </w:p>
    <w:p w:rsidRPr="00931446" w:rsidR="00E41377" w:rsidP="00931446" w:rsidRDefault="00E41377" w14:paraId="063AF5B2" w14:textId="5F4B0B7F">
      <w:pPr>
        <w:ind w:left="567" w:right="-2"/>
        <w:rPr>
          <w:lang w:eastAsia="en-US"/>
        </w:rPr>
      </w:pPr>
      <w:r w:rsidRPr="00E41377">
        <w:rPr>
          <w:b/>
          <w:lang w:eastAsia="en-US"/>
        </w:rPr>
        <w:t xml:space="preserve">Kontraindikation: </w:t>
      </w:r>
      <w:r w:rsidRPr="00E41377">
        <w:rPr>
          <w:lang w:eastAsia="en-US"/>
        </w:rPr>
        <w:t>Påtagligt nedsatt njur- eller leverfunktion, svår</w:t>
      </w:r>
      <w:r w:rsidRPr="00E41377">
        <w:rPr>
          <w:spacing w:val="-8"/>
          <w:lang w:eastAsia="en-US"/>
        </w:rPr>
        <w:t xml:space="preserve"> </w:t>
      </w:r>
      <w:r w:rsidRPr="00E41377">
        <w:rPr>
          <w:lang w:eastAsia="en-US"/>
        </w:rPr>
        <w:t>benmärgspåverkan, följsamhetsproblem till behandlingsregim, alkoholproblem, magsår, svåra</w:t>
      </w:r>
      <w:r w:rsidRPr="00E41377">
        <w:rPr>
          <w:spacing w:val="-12"/>
          <w:lang w:eastAsia="en-US"/>
        </w:rPr>
        <w:t xml:space="preserve"> </w:t>
      </w:r>
      <w:r w:rsidRPr="00E41377">
        <w:rPr>
          <w:lang w:eastAsia="en-US"/>
        </w:rPr>
        <w:t>infektioner, graviditet och amning.</w:t>
      </w:r>
      <w:r w:rsidRPr="00E41377">
        <w:rPr>
          <w:lang w:eastAsia="en-US"/>
        </w:rPr>
        <w:br/>
      </w:r>
      <w:r w:rsidRPr="00E41377">
        <w:rPr>
          <w:lang w:eastAsia="en-US"/>
        </w:rPr>
        <w:t>Maligniteter kan vara relativ kontraindikation och bör diskuteras med ansvarig onkolog.</w:t>
      </w:r>
    </w:p>
    <w:p w:rsidRPr="00931446" w:rsidR="00E41377" w:rsidP="00931446" w:rsidRDefault="00E41377" w14:paraId="08B41DC5" w14:textId="5007592A">
      <w:pPr>
        <w:ind w:left="567" w:right="-2"/>
        <w:rPr>
          <w:lang w:eastAsia="en-US"/>
        </w:rPr>
      </w:pPr>
      <w:r w:rsidRPr="00E41377">
        <w:rPr>
          <w:b/>
          <w:lang w:eastAsia="en-US"/>
        </w:rPr>
        <w:t xml:space="preserve">Biverkningar: </w:t>
      </w:r>
      <w:r w:rsidRPr="00E41377">
        <w:rPr>
          <w:lang w:eastAsia="en-US"/>
        </w:rPr>
        <w:t xml:space="preserve">Gastrointestinala, huvudvärk, leverfibros, </w:t>
      </w:r>
      <w:proofErr w:type="spellStart"/>
      <w:r w:rsidRPr="00E41377">
        <w:rPr>
          <w:lang w:eastAsia="en-US"/>
        </w:rPr>
        <w:t>benmärgssuppression</w:t>
      </w:r>
      <w:proofErr w:type="spellEnd"/>
      <w:r w:rsidRPr="00E41377">
        <w:rPr>
          <w:lang w:eastAsia="en-US"/>
        </w:rPr>
        <w:t>,</w:t>
      </w:r>
      <w:r w:rsidRPr="00E41377">
        <w:rPr>
          <w:spacing w:val="-11"/>
          <w:lang w:eastAsia="en-US"/>
        </w:rPr>
        <w:t xml:space="preserve"> </w:t>
      </w:r>
      <w:proofErr w:type="spellStart"/>
      <w:r w:rsidRPr="00E41377">
        <w:rPr>
          <w:lang w:eastAsia="en-US"/>
        </w:rPr>
        <w:t>pneumonit</w:t>
      </w:r>
      <w:proofErr w:type="spellEnd"/>
      <w:r w:rsidRPr="00E41377">
        <w:rPr>
          <w:lang w:eastAsia="en-US"/>
        </w:rPr>
        <w:t>. För ytterligare information v.g. se</w:t>
      </w:r>
      <w:r w:rsidRPr="00E41377">
        <w:rPr>
          <w:spacing w:val="-9"/>
          <w:lang w:eastAsia="en-US"/>
        </w:rPr>
        <w:t xml:space="preserve"> </w:t>
      </w:r>
      <w:r w:rsidRPr="00E41377">
        <w:rPr>
          <w:lang w:eastAsia="en-US"/>
        </w:rPr>
        <w:t>FASS.</w:t>
      </w:r>
    </w:p>
    <w:p w:rsidRPr="00931446" w:rsidR="00E41377" w:rsidP="00931446" w:rsidRDefault="00E41377" w14:paraId="2E1C83C6" w14:textId="4A01153B">
      <w:pPr>
        <w:ind w:left="567" w:right="-2"/>
        <w:rPr>
          <w:lang w:eastAsia="en-US"/>
        </w:rPr>
      </w:pPr>
      <w:r w:rsidRPr="00E41377">
        <w:rPr>
          <w:b/>
          <w:lang w:eastAsia="en-US"/>
        </w:rPr>
        <w:t xml:space="preserve">Interaktioner: </w:t>
      </w:r>
      <w:r w:rsidRPr="00E41377">
        <w:rPr>
          <w:lang w:eastAsia="en-US"/>
        </w:rPr>
        <w:t>Lågdosbehandling med acetylsalicylsyra utgör inga problem</w:t>
      </w:r>
      <w:r w:rsidRPr="00E41377">
        <w:rPr>
          <w:spacing w:val="-11"/>
          <w:lang w:eastAsia="en-US"/>
        </w:rPr>
        <w:t xml:space="preserve"> (</w:t>
      </w:r>
      <w:r w:rsidRPr="00E41377">
        <w:rPr>
          <w:lang w:eastAsia="en-US"/>
        </w:rPr>
        <w:t xml:space="preserve">exempelvis tabl. Trombyl 75 mg). Kombination av NSAID och lågdos </w:t>
      </w:r>
      <w:r w:rsidR="00DB05F2">
        <w:rPr>
          <w:lang w:eastAsia="en-US"/>
        </w:rPr>
        <w:t>m</w:t>
      </w:r>
      <w:r w:rsidRPr="00E41377">
        <w:rPr>
          <w:lang w:eastAsia="en-US"/>
        </w:rPr>
        <w:t>etotrexat orsakar oftast</w:t>
      </w:r>
      <w:r w:rsidRPr="00E41377">
        <w:rPr>
          <w:spacing w:val="-10"/>
          <w:lang w:eastAsia="en-US"/>
        </w:rPr>
        <w:t xml:space="preserve"> </w:t>
      </w:r>
      <w:r w:rsidRPr="00E41377">
        <w:rPr>
          <w:lang w:eastAsia="en-US"/>
        </w:rPr>
        <w:t xml:space="preserve">inga problem men NSAID bör undvikas </w:t>
      </w:r>
      <w:proofErr w:type="spellStart"/>
      <w:r w:rsidR="00367F5B">
        <w:rPr>
          <w:lang w:eastAsia="en-US"/>
        </w:rPr>
        <w:t>m</w:t>
      </w:r>
      <w:r w:rsidRPr="00E41377">
        <w:rPr>
          <w:lang w:eastAsia="en-US"/>
        </w:rPr>
        <w:t>etotrexatdagen</w:t>
      </w:r>
      <w:proofErr w:type="spellEnd"/>
      <w:r w:rsidRPr="00E41377">
        <w:rPr>
          <w:lang w:eastAsia="en-US"/>
        </w:rPr>
        <w:t>. Kombination med penicillin,</w:t>
      </w:r>
      <w:r w:rsidRPr="00E41377">
        <w:rPr>
          <w:spacing w:val="-7"/>
          <w:lang w:eastAsia="en-US"/>
        </w:rPr>
        <w:t xml:space="preserve"> </w:t>
      </w:r>
      <w:r w:rsidRPr="00E41377">
        <w:rPr>
          <w:lang w:eastAsia="en-US"/>
        </w:rPr>
        <w:t xml:space="preserve">högdos acetylsalicylsyra, sulfonamider och </w:t>
      </w:r>
      <w:proofErr w:type="spellStart"/>
      <w:r w:rsidRPr="00E41377">
        <w:rPr>
          <w:lang w:eastAsia="en-US"/>
        </w:rPr>
        <w:t>probenecid</w:t>
      </w:r>
      <w:proofErr w:type="spellEnd"/>
      <w:r w:rsidRPr="00E41377">
        <w:rPr>
          <w:lang w:eastAsia="en-US"/>
        </w:rPr>
        <w:t xml:space="preserve"> bör undvikas p</w:t>
      </w:r>
      <w:r w:rsidR="001B6F85">
        <w:rPr>
          <w:lang w:eastAsia="en-US"/>
        </w:rPr>
        <w:t>å grund av</w:t>
      </w:r>
      <w:r w:rsidRPr="00E41377">
        <w:rPr>
          <w:lang w:eastAsia="en-US"/>
        </w:rPr>
        <w:t xml:space="preserve"> nedsatt utsöndring</w:t>
      </w:r>
      <w:r w:rsidRPr="00E41377">
        <w:rPr>
          <w:spacing w:val="-9"/>
          <w:lang w:eastAsia="en-US"/>
        </w:rPr>
        <w:t xml:space="preserve"> </w:t>
      </w:r>
      <w:r w:rsidRPr="00E41377">
        <w:rPr>
          <w:lang w:eastAsia="en-US"/>
        </w:rPr>
        <w:t>via njurarna med ökad risk för toxiska biverkningar. För ytterligare information v.g. se</w:t>
      </w:r>
      <w:r w:rsidRPr="00E41377">
        <w:rPr>
          <w:spacing w:val="-15"/>
          <w:lang w:eastAsia="en-US"/>
        </w:rPr>
        <w:t xml:space="preserve"> </w:t>
      </w:r>
      <w:r w:rsidRPr="00E41377">
        <w:rPr>
          <w:lang w:eastAsia="en-US"/>
        </w:rPr>
        <w:t>FASS.</w:t>
      </w:r>
    </w:p>
    <w:p w:rsidRPr="00931446" w:rsidR="00E41377" w:rsidP="00931446" w:rsidRDefault="00E41377" w14:paraId="479CCCEE" w14:textId="28930A71">
      <w:pPr>
        <w:ind w:left="567" w:right="-2"/>
        <w:rPr>
          <w:lang w:eastAsia="en-US"/>
        </w:rPr>
      </w:pPr>
      <w:r w:rsidRPr="00E41377">
        <w:rPr>
          <w:b/>
          <w:lang w:eastAsia="en-US"/>
        </w:rPr>
        <w:t xml:space="preserve">Graviditet och amning: </w:t>
      </w:r>
      <w:r w:rsidRPr="00E41377">
        <w:rPr>
          <w:lang w:eastAsia="en-US"/>
        </w:rPr>
        <w:t>Metotrexat kan ge fosterskador. Antikonception ska användas</w:t>
      </w:r>
      <w:r w:rsidRPr="00E41377">
        <w:rPr>
          <w:spacing w:val="-15"/>
          <w:lang w:eastAsia="en-US"/>
        </w:rPr>
        <w:t xml:space="preserve"> </w:t>
      </w:r>
      <w:r w:rsidRPr="00E41377">
        <w:rPr>
          <w:lang w:eastAsia="en-US"/>
        </w:rPr>
        <w:t xml:space="preserve">under behandlingen och minst </w:t>
      </w:r>
      <w:r w:rsidRPr="00E41377" w:rsidR="7AD0A2C3">
        <w:rPr>
          <w:lang w:eastAsia="en-US"/>
        </w:rPr>
        <w:t>3</w:t>
      </w:r>
      <w:r w:rsidRPr="00E41377">
        <w:rPr>
          <w:lang w:eastAsia="en-US"/>
        </w:rPr>
        <w:t xml:space="preserve"> månader efter utsatt behandling, detta gäller både kvinnor och</w:t>
      </w:r>
      <w:r w:rsidRPr="00E41377">
        <w:rPr>
          <w:spacing w:val="-11"/>
          <w:lang w:eastAsia="en-US"/>
        </w:rPr>
        <w:t xml:space="preserve"> </w:t>
      </w:r>
      <w:r w:rsidRPr="00E41377">
        <w:rPr>
          <w:lang w:eastAsia="en-US"/>
        </w:rPr>
        <w:t>män. Metotrexat får inte ges under vare sig graviditet eller</w:t>
      </w:r>
      <w:r w:rsidRPr="00E41377">
        <w:rPr>
          <w:spacing w:val="-15"/>
          <w:lang w:eastAsia="en-US"/>
        </w:rPr>
        <w:t xml:space="preserve"> </w:t>
      </w:r>
      <w:r w:rsidRPr="00E41377">
        <w:rPr>
          <w:lang w:eastAsia="en-US"/>
        </w:rPr>
        <w:t>amning.</w:t>
      </w:r>
    </w:p>
    <w:p w:rsidRPr="00E41377" w:rsidR="00E41377" w:rsidP="00931446" w:rsidRDefault="00E41377" w14:paraId="656E9B2A" w14:textId="46C417C8">
      <w:pPr>
        <w:ind w:left="567" w:right="-2"/>
        <w:rPr>
          <w:lang w:eastAsia="en-US"/>
        </w:rPr>
      </w:pPr>
      <w:r w:rsidRPr="246E21D9">
        <w:rPr>
          <w:b/>
          <w:bCs/>
          <w:lang w:eastAsia="en-US"/>
        </w:rPr>
        <w:t xml:space="preserve">Dosering: </w:t>
      </w:r>
      <w:r w:rsidRPr="00E41377">
        <w:rPr>
          <w:lang w:eastAsia="en-US"/>
        </w:rPr>
        <w:t>Vanlig startdos är 5–10 mg/vecka med snabb upptitrering till 15 mg/vecka eller</w:t>
      </w:r>
      <w:r w:rsidRPr="00E41377">
        <w:rPr>
          <w:spacing w:val="-16"/>
          <w:lang w:eastAsia="en-US"/>
        </w:rPr>
        <w:t xml:space="preserve"> </w:t>
      </w:r>
      <w:r w:rsidRPr="00E41377">
        <w:rPr>
          <w:lang w:eastAsia="en-US"/>
        </w:rPr>
        <w:t>vid behov 20</w:t>
      </w:r>
      <w:r w:rsidRPr="00E41377" w:rsidR="4F254034">
        <w:rPr>
          <w:lang w:eastAsia="en-US"/>
        </w:rPr>
        <w:t>–25</w:t>
      </w:r>
      <w:r w:rsidRPr="00E41377">
        <w:rPr>
          <w:lang w:eastAsia="en-US"/>
        </w:rPr>
        <w:t xml:space="preserve"> mg/vecka. Metotrexat bör ges som </w:t>
      </w:r>
      <w:r w:rsidRPr="246E21D9">
        <w:rPr>
          <w:b/>
          <w:bCs/>
          <w:lang w:eastAsia="en-US"/>
        </w:rPr>
        <w:t xml:space="preserve">en engångsdos </w:t>
      </w:r>
      <w:r w:rsidRPr="00E41377">
        <w:rPr>
          <w:lang w:eastAsia="en-US"/>
        </w:rPr>
        <w:t>per vecka (gärna kvällstid)</w:t>
      </w:r>
      <w:r w:rsidRPr="00E41377">
        <w:rPr>
          <w:spacing w:val="36"/>
          <w:lang w:eastAsia="en-US"/>
        </w:rPr>
        <w:t xml:space="preserve"> </w:t>
      </w:r>
      <w:r w:rsidRPr="00E41377">
        <w:rPr>
          <w:lang w:eastAsia="en-US"/>
        </w:rPr>
        <w:t>eller i undantagsfall (vid illamående) som tredelad dos över 24 timmar.</w:t>
      </w:r>
    </w:p>
    <w:p w:rsidRPr="00E41377" w:rsidR="00E41377" w:rsidP="00931446" w:rsidRDefault="00E41377" w14:paraId="5F43948A" w14:textId="77777777">
      <w:pPr>
        <w:ind w:left="567" w:right="-2"/>
        <w:rPr>
          <w:lang w:eastAsia="en-US"/>
        </w:rPr>
      </w:pPr>
      <w:r w:rsidRPr="00E41377">
        <w:rPr>
          <w:lang w:eastAsia="en-US"/>
        </w:rPr>
        <w:t>När stabil effekt setts i ca 3–6 månader minskas dosen till lägsta möjliga</w:t>
      </w:r>
      <w:r w:rsidRPr="00E41377">
        <w:rPr>
          <w:spacing w:val="-10"/>
          <w:lang w:eastAsia="en-US"/>
        </w:rPr>
        <w:t xml:space="preserve"> </w:t>
      </w:r>
      <w:r w:rsidRPr="00E41377">
        <w:rPr>
          <w:lang w:eastAsia="en-US"/>
        </w:rPr>
        <w:t>underhållsdos. Behandlingen kan fortgå under långa perioder så länge provsvar är utan anmärkning</w:t>
      </w:r>
      <w:r w:rsidRPr="00E41377">
        <w:rPr>
          <w:spacing w:val="-11"/>
          <w:lang w:eastAsia="en-US"/>
        </w:rPr>
        <w:t xml:space="preserve"> </w:t>
      </w:r>
      <w:r w:rsidRPr="00E41377">
        <w:rPr>
          <w:lang w:eastAsia="en-US"/>
        </w:rPr>
        <w:t>och patienten mår</w:t>
      </w:r>
      <w:r w:rsidRPr="00E41377">
        <w:rPr>
          <w:spacing w:val="-4"/>
          <w:lang w:eastAsia="en-US"/>
        </w:rPr>
        <w:t xml:space="preserve"> </w:t>
      </w:r>
      <w:r w:rsidRPr="00E41377">
        <w:rPr>
          <w:lang w:eastAsia="en-US"/>
        </w:rPr>
        <w:t>bra.</w:t>
      </w:r>
    </w:p>
    <w:p w:rsidRPr="00E41377" w:rsidR="00E41377" w:rsidP="00931446" w:rsidRDefault="00E41377" w14:paraId="3EA65CC2" w14:textId="7629C585">
      <w:pPr>
        <w:ind w:left="567" w:right="-2"/>
      </w:pPr>
      <w:r w:rsidRPr="00E41377">
        <w:rPr>
          <w:lang w:eastAsia="en-US"/>
        </w:rPr>
        <w:t>Tillägg av folsyra (tabl. Folacin 5mg) ges en gång per vecka, ett dygn efter</w:t>
      </w:r>
      <w:r w:rsidRPr="00E41377">
        <w:rPr>
          <w:spacing w:val="-18"/>
          <w:lang w:eastAsia="en-US"/>
        </w:rPr>
        <w:t xml:space="preserve"> </w:t>
      </w:r>
      <w:proofErr w:type="spellStart"/>
      <w:r w:rsidRPr="00E41377">
        <w:rPr>
          <w:lang w:eastAsia="en-US"/>
        </w:rPr>
        <w:t>metotrexatdosen</w:t>
      </w:r>
      <w:proofErr w:type="spellEnd"/>
      <w:r w:rsidRPr="3199CAD7" w:rsidR="483224DF">
        <w:rPr>
          <w:lang w:eastAsia="en-US"/>
        </w:rPr>
        <w:t xml:space="preserve"> </w:t>
      </w:r>
      <w:r w:rsidRPr="3199CAD7" w:rsidR="483224DF">
        <w:rPr>
          <w:color w:val="000000" w:themeColor="text2"/>
        </w:rPr>
        <w:t>alternativt 1 mg 6 dagar i veckan. Vid illamående kan dosen ökas till 2 tabletter á 5 mg i veckan</w:t>
      </w:r>
      <w:r w:rsidRPr="3199CAD7">
        <w:rPr>
          <w:color w:val="000000" w:themeColor="text2"/>
        </w:rPr>
        <w:t>.</w:t>
      </w:r>
    </w:p>
    <w:p w:rsidRPr="00E41377" w:rsidR="00E41377" w:rsidP="00931446" w:rsidRDefault="00E41377" w14:paraId="55E0AFE3" w14:textId="3A5D12D7">
      <w:pPr>
        <w:ind w:left="567" w:right="-2"/>
        <w:rPr>
          <w:sz w:val="20"/>
          <w:szCs w:val="20"/>
          <w:lang w:eastAsia="en-US"/>
        </w:rPr>
      </w:pPr>
      <w:r w:rsidRPr="00E41377">
        <w:rPr>
          <w:lang w:eastAsia="en-US"/>
        </w:rPr>
        <w:t>Som alternativ till metotrexattabletter kan läkemedlet ges i injektionsform, detta</w:t>
      </w:r>
      <w:r w:rsidRPr="00E41377">
        <w:rPr>
          <w:spacing w:val="-17"/>
          <w:lang w:eastAsia="en-US"/>
        </w:rPr>
        <w:t xml:space="preserve"> </w:t>
      </w:r>
      <w:r w:rsidRPr="00E41377">
        <w:rPr>
          <w:lang w:eastAsia="en-US"/>
        </w:rPr>
        <w:t xml:space="preserve">vid terapisvikt eller vid gastrointestinala biverkningar. För psoriasispatienter kan </w:t>
      </w:r>
      <w:r w:rsidR="00DB05F2">
        <w:rPr>
          <w:lang w:eastAsia="en-US"/>
        </w:rPr>
        <w:t>m</w:t>
      </w:r>
      <w:r w:rsidRPr="00E41377">
        <w:rPr>
          <w:lang w:eastAsia="en-US"/>
        </w:rPr>
        <w:t>etotrexat kombineras med ljusbehandling (UVB-TL01)</w:t>
      </w:r>
      <w:r w:rsidRPr="00E41377">
        <w:rPr>
          <w:spacing w:val="-12"/>
          <w:lang w:eastAsia="en-US"/>
        </w:rPr>
        <w:t xml:space="preserve"> </w:t>
      </w:r>
      <w:r w:rsidRPr="00E41377">
        <w:rPr>
          <w:lang w:eastAsia="en-US"/>
        </w:rPr>
        <w:t xml:space="preserve">vilket kan ge bättre </w:t>
      </w:r>
      <w:proofErr w:type="spellStart"/>
      <w:r w:rsidRPr="00E41377">
        <w:rPr>
          <w:lang w:eastAsia="en-US"/>
        </w:rPr>
        <w:t>läkningseffekt</w:t>
      </w:r>
      <w:proofErr w:type="spellEnd"/>
      <w:r w:rsidRPr="00E41377">
        <w:rPr>
          <w:lang w:eastAsia="en-US"/>
        </w:rPr>
        <w:t xml:space="preserve"> än enbart metotrexatbehandling eller</w:t>
      </w:r>
      <w:r w:rsidRPr="00E41377">
        <w:rPr>
          <w:spacing w:val="-17"/>
          <w:lang w:eastAsia="en-US"/>
        </w:rPr>
        <w:t xml:space="preserve"> </w:t>
      </w:r>
      <w:r w:rsidRPr="00E41377">
        <w:rPr>
          <w:lang w:eastAsia="en-US"/>
        </w:rPr>
        <w:t xml:space="preserve">ljusbehandling. </w:t>
      </w:r>
    </w:p>
    <w:p w:rsidRPr="00E41377" w:rsidR="00E41377" w:rsidP="00A13A48" w:rsidRDefault="00E41377" w14:paraId="27C86CE3" w14:textId="0763982A">
      <w:pPr>
        <w:pStyle w:val="MellanrubrikVGR"/>
        <w:ind w:left="567" w:right="-2"/>
      </w:pPr>
      <w:r w:rsidRPr="5995CBFE">
        <w:rPr>
          <w:lang w:eastAsia="en-US"/>
        </w:rPr>
        <w:t xml:space="preserve">Barn </w:t>
      </w:r>
      <w:r>
        <w:br/>
      </w:r>
      <w:r w:rsidRPr="00FA228F">
        <w:rPr>
          <w:rFonts w:ascii="Times New Roman" w:hAnsi="Times New Roman"/>
          <w:b w:val="0"/>
          <w:color w:val="auto"/>
          <w:sz w:val="24"/>
          <w:szCs w:val="24"/>
          <w:lang w:eastAsia="en-US"/>
        </w:rPr>
        <w:t xml:space="preserve">Dosering: 0,2–0,4 mg/kg/vecka. Kontrollera serologi för </w:t>
      </w:r>
      <w:r w:rsidRPr="00FA228F" w:rsidR="638773F9">
        <w:rPr>
          <w:rFonts w:ascii="Times New Roman" w:hAnsi="Times New Roman"/>
          <w:b w:val="0"/>
          <w:color w:val="auto"/>
          <w:sz w:val="24"/>
          <w:szCs w:val="24"/>
          <w:lang w:eastAsia="en-US"/>
        </w:rPr>
        <w:t>v</w:t>
      </w:r>
      <w:r w:rsidRPr="00FA228F">
        <w:rPr>
          <w:rFonts w:ascii="Times New Roman" w:hAnsi="Times New Roman"/>
          <w:b w:val="0"/>
          <w:color w:val="auto"/>
          <w:sz w:val="24"/>
          <w:szCs w:val="24"/>
          <w:lang w:eastAsia="en-US"/>
        </w:rPr>
        <w:t>aricella-IgG innan insatt behandling.</w:t>
      </w:r>
      <w:r w:rsidRPr="00FA228F" w:rsidR="00922E89">
        <w:rPr>
          <w:rFonts w:ascii="Times New Roman" w:hAnsi="Times New Roman"/>
          <w:b w:val="0"/>
          <w:color w:val="auto"/>
          <w:sz w:val="24"/>
          <w:szCs w:val="24"/>
          <w:lang w:eastAsia="en-US"/>
        </w:rPr>
        <w:t xml:space="preserve"> Se Svensk </w:t>
      </w:r>
      <w:proofErr w:type="spellStart"/>
      <w:r w:rsidRPr="00FA228F" w:rsidR="00922E89">
        <w:rPr>
          <w:rFonts w:ascii="Times New Roman" w:hAnsi="Times New Roman"/>
          <w:b w:val="0"/>
          <w:color w:val="auto"/>
          <w:sz w:val="24"/>
          <w:szCs w:val="24"/>
          <w:lang w:eastAsia="en-US"/>
        </w:rPr>
        <w:t>Barnreumatologisk</w:t>
      </w:r>
      <w:proofErr w:type="spellEnd"/>
      <w:r w:rsidRPr="00FA228F" w:rsidR="00922E89">
        <w:rPr>
          <w:rFonts w:ascii="Times New Roman" w:hAnsi="Times New Roman"/>
          <w:b w:val="0"/>
          <w:color w:val="auto"/>
          <w:sz w:val="24"/>
          <w:szCs w:val="24"/>
          <w:lang w:eastAsia="en-US"/>
        </w:rPr>
        <w:t xml:space="preserve"> förenings rekommendationer, länk under Relaterad information.</w:t>
      </w:r>
    </w:p>
    <w:p w:rsidRPr="00E41377" w:rsidR="00E41377" w:rsidP="00C4768A" w:rsidRDefault="00E41377" w14:paraId="4F05F6A3" w14:textId="57950F64">
      <w:pPr>
        <w:pStyle w:val="Rubrik2"/>
        <w:ind w:left="567"/>
        <w:rPr>
          <w:rFonts w:cs="Arial"/>
          <w:sz w:val="22"/>
          <w:szCs w:val="22"/>
          <w:lang w:eastAsia="en-US"/>
        </w:rPr>
      </w:pPr>
      <w:bookmarkStart w:name="_Toc114578095" w:id="9"/>
      <w:r w:rsidRPr="00E41377">
        <w:rPr>
          <w:lang w:eastAsia="en-US"/>
        </w:rPr>
        <w:t>Provtagning och undersökning</w:t>
      </w:r>
      <w:bookmarkEnd w:id="9"/>
    </w:p>
    <w:p w:rsidRPr="00A76299" w:rsidR="00E41377" w:rsidP="64B3C4C7" w:rsidRDefault="00E41377" w14:paraId="32D3B191" w14:textId="5770BDF9">
      <w:pPr>
        <w:ind w:left="567" w:right="140"/>
        <w:rPr>
          <w:lang w:eastAsia="en-US"/>
        </w:rPr>
      </w:pPr>
      <w:r w:rsidRPr="00A76299">
        <w:rPr>
          <w:b/>
          <w:bCs/>
          <w:lang w:eastAsia="en-US"/>
        </w:rPr>
        <w:t>Inför behandlingsstart:</w:t>
      </w:r>
      <w:r w:rsidRPr="00A76299">
        <w:rPr>
          <w:lang w:eastAsia="en-US"/>
        </w:rPr>
        <w:t xml:space="preserve"> Somatiskt rutinstatus. </w:t>
      </w:r>
      <w:proofErr w:type="spellStart"/>
      <w:r w:rsidRPr="00A76299">
        <w:rPr>
          <w:lang w:val="en-GB" w:eastAsia="en-US"/>
        </w:rPr>
        <w:t>Laboratorieprover</w:t>
      </w:r>
      <w:proofErr w:type="spellEnd"/>
      <w:r w:rsidR="006E1411">
        <w:rPr>
          <w:lang w:val="en-GB" w:eastAsia="en-US"/>
        </w:rPr>
        <w:t>:</w:t>
      </w:r>
      <w:r w:rsidRPr="00A76299">
        <w:rPr>
          <w:lang w:val="en-GB" w:eastAsia="en-US"/>
        </w:rPr>
        <w:t xml:space="preserve"> Hb, LPK, TPK, Diff, kreatinin</w:t>
      </w:r>
      <w:r w:rsidRPr="00A76299" w:rsidR="54552FA4">
        <w:rPr>
          <w:lang w:val="en-GB" w:eastAsia="en-US"/>
        </w:rPr>
        <w:t>,</w:t>
      </w:r>
      <w:r w:rsidRPr="00A76299" w:rsidR="00A76299">
        <w:rPr>
          <w:lang w:val="en-GB" w:eastAsia="en-US"/>
        </w:rPr>
        <w:t xml:space="preserve"> </w:t>
      </w:r>
      <w:r w:rsidRPr="00A76299">
        <w:rPr>
          <w:lang w:val="en-GB" w:eastAsia="en-US"/>
        </w:rPr>
        <w:t>ALAT</w:t>
      </w:r>
      <w:r w:rsidRPr="00A76299" w:rsidR="13C00F42">
        <w:rPr>
          <w:lang w:val="en-GB" w:eastAsia="en-US"/>
        </w:rPr>
        <w:t>.</w:t>
      </w:r>
      <w:r w:rsidRPr="00A76299">
        <w:rPr>
          <w:lang w:val="en-GB"/>
        </w:rPr>
        <w:br/>
      </w:r>
      <w:r w:rsidRPr="00A76299" w:rsidR="315E6868">
        <w:rPr>
          <w:lang w:eastAsia="en-US"/>
        </w:rPr>
        <w:t xml:space="preserve">Fib-4 grupp (ASAT, ALAT TPK + ålder) </w:t>
      </w:r>
      <w:r w:rsidRPr="00A76299" w:rsidR="655F1661">
        <w:rPr>
          <w:lang w:eastAsia="en-US"/>
        </w:rPr>
        <w:t xml:space="preserve">tas på </w:t>
      </w:r>
      <w:r w:rsidRPr="00A76299" w:rsidR="315E6868">
        <w:rPr>
          <w:lang w:eastAsia="en-US"/>
        </w:rPr>
        <w:t>patient</w:t>
      </w:r>
      <w:r w:rsidRPr="00A76299" w:rsidR="2AAC68FE">
        <w:rPr>
          <w:lang w:eastAsia="en-US"/>
        </w:rPr>
        <w:t>er &gt; 35 år</w:t>
      </w:r>
      <w:r w:rsidRPr="00A76299" w:rsidR="79F77663">
        <w:rPr>
          <w:lang w:eastAsia="en-US"/>
        </w:rPr>
        <w:t>.</w:t>
      </w:r>
      <w:r w:rsidRPr="00A76299">
        <w:br/>
      </w:r>
      <w:r w:rsidRPr="00A76299">
        <w:rPr>
          <w:lang w:eastAsia="en-US"/>
        </w:rPr>
        <w:t xml:space="preserve">Hepatit B- och C-prover, </w:t>
      </w:r>
      <w:r w:rsidRPr="00A76299" w:rsidR="19A911A6">
        <w:rPr>
          <w:lang w:eastAsia="en-US"/>
        </w:rPr>
        <w:t>HIV-</w:t>
      </w:r>
      <w:r w:rsidRPr="00A76299">
        <w:rPr>
          <w:lang w:eastAsia="en-US"/>
        </w:rPr>
        <w:t>test.</w:t>
      </w:r>
    </w:p>
    <w:p w:rsidRPr="00E41377" w:rsidR="00E41377" w:rsidP="00C4768A" w:rsidRDefault="00E41377" w14:paraId="7E4FE628" w14:textId="22BEE8FD">
      <w:pPr>
        <w:ind w:left="567" w:right="140"/>
        <w:rPr>
          <w:lang w:eastAsia="en-US"/>
        </w:rPr>
      </w:pPr>
      <w:r w:rsidRPr="5995CBFE">
        <w:rPr>
          <w:lang w:eastAsia="en-US"/>
        </w:rPr>
        <w:t>Lungröntgen vid behov. P</w:t>
      </w:r>
      <w:r w:rsidRPr="5995CBFE" w:rsidR="1B3E4EE9">
        <w:rPr>
          <w:lang w:eastAsia="en-US"/>
        </w:rPr>
        <w:t>å grund av</w:t>
      </w:r>
      <w:r w:rsidRPr="5995CBFE">
        <w:rPr>
          <w:lang w:eastAsia="en-US"/>
        </w:rPr>
        <w:t xml:space="preserve"> en ökad risk för leverfibros vid grav övervikt och vid diabetes rekommenderas </w:t>
      </w:r>
      <w:proofErr w:type="spellStart"/>
      <w:r w:rsidRPr="5995CBFE">
        <w:rPr>
          <w:lang w:eastAsia="en-US"/>
        </w:rPr>
        <w:t>leverelastografi</w:t>
      </w:r>
      <w:proofErr w:type="spellEnd"/>
      <w:r w:rsidRPr="5995CBFE">
        <w:rPr>
          <w:lang w:eastAsia="en-US"/>
        </w:rPr>
        <w:t xml:space="preserve"> före behandlingsstart vid misstänkt leverskada och sedan vart </w:t>
      </w:r>
      <w:proofErr w:type="gramStart"/>
      <w:r w:rsidRPr="5995CBFE">
        <w:rPr>
          <w:lang w:eastAsia="en-US"/>
        </w:rPr>
        <w:t>2:a</w:t>
      </w:r>
      <w:proofErr w:type="gramEnd"/>
      <w:r w:rsidRPr="5995CBFE">
        <w:rPr>
          <w:lang w:eastAsia="en-US"/>
        </w:rPr>
        <w:t>-3:e år.</w:t>
      </w:r>
    </w:p>
    <w:p w:rsidRPr="00C4768A" w:rsidR="00E41377" w:rsidP="00C4768A" w:rsidRDefault="00E41377" w14:paraId="0694B6BD" w14:textId="5914D344">
      <w:pPr>
        <w:ind w:left="567" w:right="140"/>
        <w:rPr>
          <w:lang w:eastAsia="en-US"/>
        </w:rPr>
      </w:pPr>
      <w:r w:rsidRPr="00E41377">
        <w:rPr>
          <w:lang w:eastAsia="en-US"/>
        </w:rPr>
        <w:t>Fastande P-glukos, totalkolesterol och LDL ska tas årligen på psoriasis patienter som inte har känd diabetes eller blodfettssänkande behandling i screeningssyfte. Vid avvikande provsvar ska vidare utredning och behandling ske inom primärvården.</w:t>
      </w:r>
    </w:p>
    <w:p w:rsidR="00E41377" w:rsidP="00C4768A" w:rsidRDefault="00E41377" w14:paraId="12332FC1" w14:textId="39A2020F">
      <w:pPr>
        <w:ind w:left="567" w:right="140"/>
        <w:rPr>
          <w:sz w:val="18"/>
          <w:szCs w:val="18"/>
          <w:lang w:eastAsia="en-US"/>
        </w:rPr>
      </w:pPr>
      <w:r w:rsidRPr="00E41377">
        <w:rPr>
          <w:b/>
          <w:lang w:eastAsia="en-US"/>
        </w:rPr>
        <w:t xml:space="preserve">Under behandlingen: </w:t>
      </w:r>
      <w:r w:rsidRPr="00E41377">
        <w:rPr>
          <w:lang w:eastAsia="en-US"/>
        </w:rPr>
        <w:t xml:space="preserve">Somatiskt rutinstatus. </w:t>
      </w:r>
    </w:p>
    <w:p w:rsidRPr="00E41377" w:rsidR="00E41377" w:rsidP="00B46E90" w:rsidRDefault="00F1795C" w14:paraId="1291D36D" w14:textId="4DD01910">
      <w:pPr>
        <w:pStyle w:val="MellanrubrikVGR"/>
        <w:ind w:left="567"/>
        <w:rPr>
          <w:rFonts w:ascii="Arial" w:hAnsi="Arial" w:cs="Arial"/>
          <w:b w:val="0"/>
          <w:sz w:val="22"/>
          <w:szCs w:val="22"/>
          <w:lang w:eastAsia="en-US"/>
        </w:rPr>
      </w:pPr>
      <w:r>
        <w:rPr>
          <w:lang w:eastAsia="en-US"/>
        </w:rPr>
        <w:t>Laboratorieprover</w:t>
      </w:r>
    </w:p>
    <w:tbl>
      <w:tblPr>
        <w:tblStyle w:val="Tabellrutnt"/>
        <w:tblW w:w="7792" w:type="dxa"/>
        <w:tblInd w:w="567" w:type="dxa"/>
        <w:tblLayout w:type="fixed"/>
        <w:tblCellMar>
          <w:top w:w="57" w:type="dxa"/>
          <w:bottom w:w="57" w:type="dxa"/>
        </w:tblCellMar>
        <w:tblLook w:val="04A0" w:firstRow="1" w:lastRow="0" w:firstColumn="1" w:lastColumn="0" w:noHBand="0" w:noVBand="1"/>
      </w:tblPr>
      <w:tblGrid>
        <w:gridCol w:w="1980"/>
        <w:gridCol w:w="1134"/>
        <w:gridCol w:w="1276"/>
        <w:gridCol w:w="567"/>
        <w:gridCol w:w="567"/>
        <w:gridCol w:w="567"/>
        <w:gridCol w:w="1701"/>
      </w:tblGrid>
      <w:tr w:rsidR="00E816C8" w:rsidTr="64B3C4C7" w14:paraId="6C6B4C0B" w14:textId="79B97B78">
        <w:trPr>
          <w:trHeight w:val="300"/>
          <w:tblHeader/>
        </w:trPr>
        <w:tc>
          <w:tcPr>
            <w:tcW w:w="1980" w:type="dxa"/>
            <w:vAlign w:val="center"/>
          </w:tcPr>
          <w:p w:rsidR="00E816C8" w:rsidP="000D3B4E" w:rsidRDefault="00E816C8" w14:paraId="346F1866" w14:textId="442BDF29">
            <w:pPr>
              <w:pStyle w:val="Tabell"/>
              <w:ind w:right="0"/>
            </w:pPr>
            <w:r>
              <w:t>Prover</w:t>
            </w:r>
            <w:r w:rsidR="006C3F13">
              <w:t xml:space="preserve"> </w:t>
            </w:r>
            <w:r w:rsidR="00C065C3">
              <w:t>Tid/veckor</w:t>
            </w:r>
          </w:p>
        </w:tc>
        <w:tc>
          <w:tcPr>
            <w:tcW w:w="1134" w:type="dxa"/>
          </w:tcPr>
          <w:p w:rsidR="00E816C8" w:rsidP="00E816C8" w:rsidRDefault="00E816C8" w14:paraId="2507C9E3" w14:textId="60403131">
            <w:pPr>
              <w:pStyle w:val="Tabell"/>
            </w:pPr>
          </w:p>
        </w:tc>
        <w:tc>
          <w:tcPr>
            <w:tcW w:w="1276" w:type="dxa"/>
          </w:tcPr>
          <w:p w:rsidR="00E816C8" w:rsidP="00E816C8" w:rsidRDefault="00E816C8" w14:paraId="36D8D239" w14:textId="77777777">
            <w:pPr>
              <w:pStyle w:val="Tabell"/>
            </w:pPr>
          </w:p>
        </w:tc>
        <w:tc>
          <w:tcPr>
            <w:tcW w:w="567" w:type="dxa"/>
          </w:tcPr>
          <w:p w:rsidR="00E816C8" w:rsidP="00E816C8" w:rsidRDefault="00E816C8" w14:paraId="3705967F" w14:textId="77777777">
            <w:pPr>
              <w:pStyle w:val="Tabell"/>
            </w:pPr>
          </w:p>
        </w:tc>
        <w:tc>
          <w:tcPr>
            <w:tcW w:w="567" w:type="dxa"/>
          </w:tcPr>
          <w:p w:rsidR="00E816C8" w:rsidP="00E816C8" w:rsidRDefault="00E816C8" w14:paraId="0D599853" w14:textId="77777777">
            <w:pPr>
              <w:pStyle w:val="Tabell"/>
            </w:pPr>
          </w:p>
        </w:tc>
        <w:tc>
          <w:tcPr>
            <w:tcW w:w="567" w:type="dxa"/>
          </w:tcPr>
          <w:p w:rsidR="00E816C8" w:rsidP="00E816C8" w:rsidRDefault="00E816C8" w14:paraId="653C1347" w14:textId="77777777">
            <w:pPr>
              <w:pStyle w:val="Tabell"/>
            </w:pPr>
          </w:p>
        </w:tc>
        <w:tc>
          <w:tcPr>
            <w:tcW w:w="1701" w:type="dxa"/>
          </w:tcPr>
          <w:p w:rsidR="00E816C8" w:rsidP="00E816C8" w:rsidRDefault="00E816C8" w14:paraId="5BC29763" w14:textId="77777777">
            <w:pPr>
              <w:pStyle w:val="Tabell"/>
            </w:pPr>
          </w:p>
        </w:tc>
      </w:tr>
      <w:tr w:rsidR="00E816C8" w:rsidTr="64B3C4C7" w14:paraId="01304C3B" w14:textId="3658CD12">
        <w:trPr>
          <w:trHeight w:val="300"/>
        </w:trPr>
        <w:tc>
          <w:tcPr>
            <w:tcW w:w="1980" w:type="dxa"/>
          </w:tcPr>
          <w:p w:rsidR="00E816C8" w:rsidP="00E816C8" w:rsidRDefault="00E816C8" w14:paraId="6B512DE4" w14:textId="77777777">
            <w:pPr>
              <w:pStyle w:val="Tabell"/>
            </w:pPr>
          </w:p>
        </w:tc>
        <w:tc>
          <w:tcPr>
            <w:tcW w:w="1134" w:type="dxa"/>
          </w:tcPr>
          <w:p w:rsidR="00E816C8" w:rsidP="00E816C8" w:rsidRDefault="00E816C8" w14:paraId="245A7340" w14:textId="7E01E4EA">
            <w:pPr>
              <w:pStyle w:val="Tabell"/>
            </w:pPr>
            <w:r>
              <w:t>Start</w:t>
            </w:r>
          </w:p>
        </w:tc>
        <w:tc>
          <w:tcPr>
            <w:tcW w:w="1276" w:type="dxa"/>
          </w:tcPr>
          <w:p w:rsidR="00E816C8" w:rsidP="00291A0D" w:rsidRDefault="00E816C8" w14:paraId="3D04159F" w14:textId="7FB4CE06">
            <w:pPr>
              <w:pStyle w:val="Tabell"/>
              <w:jc w:val="center"/>
            </w:pPr>
            <w:r w:rsidRPr="00C75CBE">
              <w:t>1</w:t>
            </w:r>
          </w:p>
        </w:tc>
        <w:tc>
          <w:tcPr>
            <w:tcW w:w="567" w:type="dxa"/>
          </w:tcPr>
          <w:p w:rsidR="00E816C8" w:rsidP="00291A0D" w:rsidRDefault="00E816C8" w14:paraId="60BE5784" w14:textId="6E613ED8">
            <w:pPr>
              <w:pStyle w:val="Tabell"/>
              <w:jc w:val="center"/>
            </w:pPr>
            <w:r w:rsidRPr="000A20EF">
              <w:t>3</w:t>
            </w:r>
          </w:p>
        </w:tc>
        <w:tc>
          <w:tcPr>
            <w:tcW w:w="567" w:type="dxa"/>
          </w:tcPr>
          <w:p w:rsidR="00E816C8" w:rsidP="00291A0D" w:rsidRDefault="00E816C8" w14:paraId="59690CF8" w14:textId="23B4CCC5">
            <w:pPr>
              <w:pStyle w:val="Tabell"/>
              <w:jc w:val="center"/>
            </w:pPr>
            <w:r w:rsidRPr="000A20EF">
              <w:t>5</w:t>
            </w:r>
          </w:p>
        </w:tc>
        <w:tc>
          <w:tcPr>
            <w:tcW w:w="567" w:type="dxa"/>
          </w:tcPr>
          <w:p w:rsidR="00E816C8" w:rsidP="00291A0D" w:rsidRDefault="00E816C8" w14:paraId="1D11AB74" w14:textId="6A207569">
            <w:pPr>
              <w:pStyle w:val="Tabell"/>
              <w:jc w:val="center"/>
            </w:pPr>
            <w:r w:rsidRPr="000A20EF">
              <w:t>7</w:t>
            </w:r>
          </w:p>
        </w:tc>
        <w:tc>
          <w:tcPr>
            <w:tcW w:w="1701" w:type="dxa"/>
          </w:tcPr>
          <w:p w:rsidRPr="000A20EF" w:rsidR="00E816C8" w:rsidP="00DD6394" w:rsidRDefault="00E816C8" w14:paraId="07BFEEC1" w14:textId="518FCBD6">
            <w:pPr>
              <w:pStyle w:val="Tabell"/>
              <w:ind w:right="0"/>
            </w:pPr>
            <w:r w:rsidRPr="000128F7">
              <w:t>sedan var 3</w:t>
            </w:r>
            <w:r>
              <w:t>:</w:t>
            </w:r>
            <w:r w:rsidRPr="000128F7">
              <w:t>e till 6</w:t>
            </w:r>
            <w:r w:rsidR="00DD6394">
              <w:t>:</w:t>
            </w:r>
            <w:r w:rsidRPr="000128F7">
              <w:t>e månad</w:t>
            </w:r>
          </w:p>
        </w:tc>
      </w:tr>
      <w:tr w:rsidR="00E816C8" w:rsidTr="64B3C4C7" w14:paraId="333A5372" w14:textId="180D8143">
        <w:trPr>
          <w:trHeight w:val="300"/>
        </w:trPr>
        <w:tc>
          <w:tcPr>
            <w:tcW w:w="1980" w:type="dxa"/>
          </w:tcPr>
          <w:p w:rsidRPr="0053723D" w:rsidR="00E816C8" w:rsidP="00E816C8" w:rsidRDefault="00E816C8" w14:paraId="16C41CE1" w14:textId="77777777">
            <w:pPr>
              <w:pStyle w:val="Tabell"/>
              <w:rPr>
                <w:lang w:val="en-GB"/>
              </w:rPr>
            </w:pPr>
            <w:r w:rsidRPr="0053723D">
              <w:rPr>
                <w:lang w:val="en-GB"/>
              </w:rPr>
              <w:t>Hb, LPK, TPK</w:t>
            </w:r>
          </w:p>
          <w:p w:rsidRPr="0053723D" w:rsidR="00E816C8" w:rsidP="00E816C8" w:rsidRDefault="00E816C8" w14:paraId="6A7B0C21" w14:textId="7C94ACA4">
            <w:pPr>
              <w:pStyle w:val="Tabell"/>
              <w:rPr>
                <w:lang w:val="en-GB"/>
              </w:rPr>
            </w:pPr>
            <w:r w:rsidRPr="0053723D">
              <w:rPr>
                <w:lang w:val="en-GB"/>
              </w:rPr>
              <w:t>B-</w:t>
            </w:r>
            <w:proofErr w:type="spellStart"/>
            <w:r w:rsidRPr="0053723D">
              <w:rPr>
                <w:lang w:val="en-GB"/>
              </w:rPr>
              <w:t>celler</w:t>
            </w:r>
            <w:proofErr w:type="spellEnd"/>
            <w:r w:rsidRPr="0053723D">
              <w:rPr>
                <w:lang w:val="en-GB"/>
              </w:rPr>
              <w:t xml:space="preserve"> (diff)</w:t>
            </w:r>
          </w:p>
        </w:tc>
        <w:tc>
          <w:tcPr>
            <w:tcW w:w="1134" w:type="dxa"/>
          </w:tcPr>
          <w:p w:rsidR="00E816C8" w:rsidP="00DD6394" w:rsidRDefault="00E816C8" w14:paraId="0D8D2DFA" w14:textId="676B2A25">
            <w:pPr>
              <w:pStyle w:val="Tabell"/>
              <w:jc w:val="center"/>
            </w:pPr>
            <w:r w:rsidRPr="00F614E6">
              <w:t>x</w:t>
            </w:r>
          </w:p>
        </w:tc>
        <w:tc>
          <w:tcPr>
            <w:tcW w:w="1276" w:type="dxa"/>
          </w:tcPr>
          <w:p w:rsidR="00E816C8" w:rsidP="00DD6394" w:rsidRDefault="00E816C8" w14:paraId="7C297714" w14:textId="5650C6CC">
            <w:pPr>
              <w:pStyle w:val="Tabell"/>
              <w:jc w:val="center"/>
            </w:pPr>
            <w:r w:rsidRPr="00C75CBE">
              <w:t>x</w:t>
            </w:r>
          </w:p>
        </w:tc>
        <w:tc>
          <w:tcPr>
            <w:tcW w:w="567" w:type="dxa"/>
          </w:tcPr>
          <w:p w:rsidR="00E816C8" w:rsidP="00DD6394" w:rsidRDefault="00E816C8" w14:paraId="5DCA415C" w14:textId="7A4520CC">
            <w:pPr>
              <w:pStyle w:val="Tabell"/>
              <w:jc w:val="center"/>
            </w:pPr>
            <w:r w:rsidRPr="000A20EF">
              <w:t>x</w:t>
            </w:r>
          </w:p>
        </w:tc>
        <w:tc>
          <w:tcPr>
            <w:tcW w:w="567" w:type="dxa"/>
          </w:tcPr>
          <w:p w:rsidR="00E816C8" w:rsidP="00DD6394" w:rsidRDefault="00E816C8" w14:paraId="6B8566C5" w14:textId="49082247">
            <w:pPr>
              <w:pStyle w:val="Tabell"/>
              <w:jc w:val="center"/>
            </w:pPr>
            <w:r w:rsidRPr="000A20EF">
              <w:t>x</w:t>
            </w:r>
          </w:p>
        </w:tc>
        <w:tc>
          <w:tcPr>
            <w:tcW w:w="567" w:type="dxa"/>
          </w:tcPr>
          <w:p w:rsidR="00E816C8" w:rsidP="00DD6394" w:rsidRDefault="00E816C8" w14:paraId="131CD722" w14:textId="5817D47C">
            <w:pPr>
              <w:pStyle w:val="Tabell"/>
              <w:jc w:val="center"/>
            </w:pPr>
            <w:r w:rsidRPr="000A20EF">
              <w:t>x</w:t>
            </w:r>
          </w:p>
        </w:tc>
        <w:tc>
          <w:tcPr>
            <w:tcW w:w="1701" w:type="dxa"/>
          </w:tcPr>
          <w:p w:rsidRPr="000A20EF" w:rsidR="00E816C8" w:rsidP="00DD6394" w:rsidRDefault="00E816C8" w14:paraId="5924A874" w14:textId="2B559AF9">
            <w:pPr>
              <w:pStyle w:val="Tabell"/>
              <w:jc w:val="center"/>
            </w:pPr>
            <w:r w:rsidRPr="000128F7">
              <w:t>x</w:t>
            </w:r>
          </w:p>
        </w:tc>
      </w:tr>
      <w:tr w:rsidR="00E816C8" w:rsidTr="64B3C4C7" w14:paraId="02E02D21" w14:textId="0A929D05">
        <w:trPr>
          <w:trHeight w:val="300"/>
        </w:trPr>
        <w:tc>
          <w:tcPr>
            <w:tcW w:w="1980" w:type="dxa"/>
          </w:tcPr>
          <w:p w:rsidR="00E816C8" w:rsidP="00E816C8" w:rsidRDefault="1BF8A1C1" w14:paraId="0A3D9794" w14:textId="2C83A590">
            <w:pPr>
              <w:pStyle w:val="Tabell"/>
            </w:pPr>
            <w:r>
              <w:t>ALAT</w:t>
            </w:r>
          </w:p>
        </w:tc>
        <w:tc>
          <w:tcPr>
            <w:tcW w:w="1134" w:type="dxa"/>
          </w:tcPr>
          <w:p w:rsidR="00E816C8" w:rsidP="00DD6394" w:rsidRDefault="00E816C8" w14:paraId="77ECCF92" w14:textId="153CC15C">
            <w:pPr>
              <w:pStyle w:val="Tabell"/>
              <w:jc w:val="center"/>
            </w:pPr>
            <w:r w:rsidRPr="00F614E6">
              <w:t>x</w:t>
            </w:r>
          </w:p>
        </w:tc>
        <w:tc>
          <w:tcPr>
            <w:tcW w:w="1276" w:type="dxa"/>
          </w:tcPr>
          <w:p w:rsidR="00E816C8" w:rsidP="00DD6394" w:rsidRDefault="00E816C8" w14:paraId="52E406D4" w14:textId="73E75B72">
            <w:pPr>
              <w:pStyle w:val="Tabell"/>
              <w:jc w:val="center"/>
            </w:pPr>
            <w:r w:rsidRPr="00C75CBE">
              <w:t>x</w:t>
            </w:r>
          </w:p>
        </w:tc>
        <w:tc>
          <w:tcPr>
            <w:tcW w:w="567" w:type="dxa"/>
          </w:tcPr>
          <w:p w:rsidR="00E816C8" w:rsidP="00DD6394" w:rsidRDefault="00E816C8" w14:paraId="10E6D759" w14:textId="253F78F5">
            <w:pPr>
              <w:pStyle w:val="Tabell"/>
              <w:jc w:val="center"/>
            </w:pPr>
            <w:r w:rsidRPr="000A20EF">
              <w:t>x</w:t>
            </w:r>
          </w:p>
        </w:tc>
        <w:tc>
          <w:tcPr>
            <w:tcW w:w="567" w:type="dxa"/>
          </w:tcPr>
          <w:p w:rsidR="00E816C8" w:rsidP="00DD6394" w:rsidRDefault="00E816C8" w14:paraId="33C8A93E" w14:textId="0F1015AA">
            <w:pPr>
              <w:pStyle w:val="Tabell"/>
              <w:jc w:val="center"/>
            </w:pPr>
            <w:r w:rsidRPr="000A20EF">
              <w:t>x</w:t>
            </w:r>
          </w:p>
        </w:tc>
        <w:tc>
          <w:tcPr>
            <w:tcW w:w="567" w:type="dxa"/>
          </w:tcPr>
          <w:p w:rsidR="00E816C8" w:rsidP="00DD6394" w:rsidRDefault="00E816C8" w14:paraId="65FABFBF" w14:textId="771BD93F">
            <w:pPr>
              <w:pStyle w:val="Tabell"/>
              <w:jc w:val="center"/>
            </w:pPr>
            <w:r w:rsidRPr="000A20EF">
              <w:t>x</w:t>
            </w:r>
          </w:p>
        </w:tc>
        <w:tc>
          <w:tcPr>
            <w:tcW w:w="1701" w:type="dxa"/>
          </w:tcPr>
          <w:p w:rsidRPr="000A20EF" w:rsidR="00E816C8" w:rsidP="00DD6394" w:rsidRDefault="00E816C8" w14:paraId="359E8968" w14:textId="0E271E2C">
            <w:pPr>
              <w:pStyle w:val="Tabell"/>
              <w:jc w:val="center"/>
            </w:pPr>
            <w:r w:rsidRPr="000128F7">
              <w:t>x</w:t>
            </w:r>
          </w:p>
        </w:tc>
      </w:tr>
      <w:tr w:rsidR="00E816C8" w:rsidTr="64B3C4C7" w14:paraId="64D0A275" w14:textId="6A5C148C">
        <w:trPr>
          <w:trHeight w:val="300"/>
        </w:trPr>
        <w:tc>
          <w:tcPr>
            <w:tcW w:w="1980" w:type="dxa"/>
          </w:tcPr>
          <w:p w:rsidR="00E816C8" w:rsidP="00E816C8" w:rsidRDefault="00E816C8" w14:paraId="2468CCC7" w14:textId="75615977">
            <w:pPr>
              <w:pStyle w:val="Tabell"/>
            </w:pPr>
            <w:r w:rsidRPr="00D70C22">
              <w:t>S-kreatinin</w:t>
            </w:r>
          </w:p>
        </w:tc>
        <w:tc>
          <w:tcPr>
            <w:tcW w:w="1134" w:type="dxa"/>
          </w:tcPr>
          <w:p w:rsidR="00E816C8" w:rsidP="00DD6394" w:rsidRDefault="00E816C8" w14:paraId="6384B5B3" w14:textId="56D299D2">
            <w:pPr>
              <w:pStyle w:val="Tabell"/>
              <w:jc w:val="center"/>
            </w:pPr>
            <w:r w:rsidRPr="00F614E6">
              <w:t>x</w:t>
            </w:r>
          </w:p>
        </w:tc>
        <w:tc>
          <w:tcPr>
            <w:tcW w:w="1276" w:type="dxa"/>
          </w:tcPr>
          <w:p w:rsidR="00E816C8" w:rsidP="00DD6394" w:rsidRDefault="00E816C8" w14:paraId="753B71D6" w14:textId="0DAC0E5E">
            <w:pPr>
              <w:pStyle w:val="Tabell"/>
              <w:jc w:val="center"/>
            </w:pPr>
            <w:r w:rsidRPr="00C75CBE">
              <w:t>x</w:t>
            </w:r>
          </w:p>
        </w:tc>
        <w:tc>
          <w:tcPr>
            <w:tcW w:w="567" w:type="dxa"/>
          </w:tcPr>
          <w:p w:rsidR="00E816C8" w:rsidP="00DD6394" w:rsidRDefault="00E816C8" w14:paraId="048B0878" w14:textId="026A3276">
            <w:pPr>
              <w:pStyle w:val="Tabell"/>
              <w:jc w:val="center"/>
            </w:pPr>
            <w:r w:rsidRPr="000A20EF">
              <w:t>x</w:t>
            </w:r>
          </w:p>
        </w:tc>
        <w:tc>
          <w:tcPr>
            <w:tcW w:w="567" w:type="dxa"/>
          </w:tcPr>
          <w:p w:rsidR="00E816C8" w:rsidP="00DD6394" w:rsidRDefault="00E816C8" w14:paraId="6A36AF8A" w14:textId="3F1E93FC">
            <w:pPr>
              <w:pStyle w:val="Tabell"/>
              <w:jc w:val="center"/>
            </w:pPr>
            <w:r w:rsidRPr="000A20EF">
              <w:t>x</w:t>
            </w:r>
          </w:p>
        </w:tc>
        <w:tc>
          <w:tcPr>
            <w:tcW w:w="567" w:type="dxa"/>
          </w:tcPr>
          <w:p w:rsidR="00E816C8" w:rsidP="00DD6394" w:rsidRDefault="00E816C8" w14:paraId="4C9DED1A" w14:textId="13201074">
            <w:pPr>
              <w:pStyle w:val="Tabell"/>
              <w:jc w:val="center"/>
            </w:pPr>
            <w:r w:rsidRPr="000A20EF">
              <w:t>x</w:t>
            </w:r>
          </w:p>
        </w:tc>
        <w:tc>
          <w:tcPr>
            <w:tcW w:w="1701" w:type="dxa"/>
          </w:tcPr>
          <w:p w:rsidRPr="000A20EF" w:rsidR="00E816C8" w:rsidP="00DD6394" w:rsidRDefault="00E816C8" w14:paraId="698D2E80" w14:textId="0DBD3E0D">
            <w:pPr>
              <w:pStyle w:val="Tabell"/>
              <w:jc w:val="center"/>
            </w:pPr>
            <w:r w:rsidRPr="000128F7">
              <w:t>x</w:t>
            </w:r>
          </w:p>
        </w:tc>
      </w:tr>
      <w:tr w:rsidR="00E816C8" w:rsidTr="64B3C4C7" w14:paraId="3B3E57D2" w14:textId="2082BA1A">
        <w:trPr>
          <w:trHeight w:val="300"/>
        </w:trPr>
        <w:tc>
          <w:tcPr>
            <w:tcW w:w="1980" w:type="dxa"/>
          </w:tcPr>
          <w:p w:rsidR="00E816C8" w:rsidP="0088771F" w:rsidRDefault="00E816C8" w14:paraId="16A86C79" w14:textId="644A1B2A">
            <w:pPr>
              <w:pStyle w:val="Tabell"/>
            </w:pPr>
            <w:r>
              <w:t>Hepatit B + C</w:t>
            </w:r>
            <w:r>
              <w:br/>
            </w:r>
            <w:r>
              <w:t>Hiv</w:t>
            </w:r>
          </w:p>
        </w:tc>
        <w:tc>
          <w:tcPr>
            <w:tcW w:w="1134" w:type="dxa"/>
          </w:tcPr>
          <w:p w:rsidR="00E816C8" w:rsidP="00DD6394" w:rsidRDefault="00E816C8" w14:paraId="56562DE8" w14:textId="6863FE5B">
            <w:pPr>
              <w:pStyle w:val="Tabell"/>
              <w:jc w:val="center"/>
            </w:pPr>
            <w:r w:rsidRPr="00F614E6">
              <w:t>x</w:t>
            </w:r>
          </w:p>
        </w:tc>
        <w:tc>
          <w:tcPr>
            <w:tcW w:w="1276" w:type="dxa"/>
          </w:tcPr>
          <w:p w:rsidR="00E816C8" w:rsidP="00DD6394" w:rsidRDefault="00E816C8" w14:paraId="432BEFDA" w14:textId="4089603F">
            <w:pPr>
              <w:pStyle w:val="Tabell"/>
              <w:jc w:val="center"/>
            </w:pPr>
          </w:p>
        </w:tc>
        <w:tc>
          <w:tcPr>
            <w:tcW w:w="567" w:type="dxa"/>
          </w:tcPr>
          <w:p w:rsidR="00E816C8" w:rsidP="00DD6394" w:rsidRDefault="00E816C8" w14:paraId="079D5E7B" w14:textId="134CB341">
            <w:pPr>
              <w:pStyle w:val="Tabell"/>
              <w:jc w:val="center"/>
            </w:pPr>
          </w:p>
        </w:tc>
        <w:tc>
          <w:tcPr>
            <w:tcW w:w="567" w:type="dxa"/>
          </w:tcPr>
          <w:p w:rsidR="00E816C8" w:rsidP="00DD6394" w:rsidRDefault="00E816C8" w14:paraId="2DBBF643" w14:textId="1CF8B047">
            <w:pPr>
              <w:pStyle w:val="Tabell"/>
              <w:jc w:val="center"/>
            </w:pPr>
          </w:p>
        </w:tc>
        <w:tc>
          <w:tcPr>
            <w:tcW w:w="567" w:type="dxa"/>
          </w:tcPr>
          <w:p w:rsidR="00E816C8" w:rsidP="00DD6394" w:rsidRDefault="00E816C8" w14:paraId="05E9811B" w14:textId="77777777">
            <w:pPr>
              <w:pStyle w:val="Tabell"/>
              <w:jc w:val="center"/>
            </w:pPr>
          </w:p>
        </w:tc>
        <w:tc>
          <w:tcPr>
            <w:tcW w:w="1701" w:type="dxa"/>
          </w:tcPr>
          <w:p w:rsidR="00E816C8" w:rsidP="00DD6394" w:rsidRDefault="00E816C8" w14:paraId="522A4E36" w14:textId="77777777">
            <w:pPr>
              <w:pStyle w:val="Tabell"/>
              <w:jc w:val="center"/>
            </w:pPr>
          </w:p>
        </w:tc>
      </w:tr>
      <w:tr w:rsidR="00E816C8" w:rsidTr="64B3C4C7" w14:paraId="6CADF536" w14:textId="647401B6">
        <w:trPr>
          <w:trHeight w:val="300"/>
        </w:trPr>
        <w:tc>
          <w:tcPr>
            <w:tcW w:w="1980" w:type="dxa"/>
          </w:tcPr>
          <w:p w:rsidR="00E816C8" w:rsidP="0088771F" w:rsidRDefault="00E816C8" w14:paraId="035D8C0C" w14:textId="70BBB2C4">
            <w:pPr>
              <w:pStyle w:val="Tabell"/>
            </w:pPr>
            <w:r>
              <w:t>Graviditetstest</w:t>
            </w:r>
          </w:p>
        </w:tc>
        <w:tc>
          <w:tcPr>
            <w:tcW w:w="1134" w:type="dxa"/>
          </w:tcPr>
          <w:p w:rsidR="00E816C8" w:rsidP="00DD6394" w:rsidRDefault="00E816C8" w14:paraId="36D26CFF" w14:textId="5F21C691">
            <w:pPr>
              <w:pStyle w:val="Tabell"/>
              <w:jc w:val="center"/>
            </w:pPr>
            <w:r w:rsidRPr="00F614E6">
              <w:t>x</w:t>
            </w:r>
          </w:p>
        </w:tc>
        <w:tc>
          <w:tcPr>
            <w:tcW w:w="1276" w:type="dxa"/>
          </w:tcPr>
          <w:p w:rsidR="00E816C8" w:rsidP="00DD6394" w:rsidRDefault="00E816C8" w14:paraId="41AC34CC" w14:textId="713E348A">
            <w:pPr>
              <w:pStyle w:val="Tabell"/>
              <w:spacing w:line="276" w:lineRule="auto"/>
              <w:jc w:val="center"/>
            </w:pPr>
          </w:p>
        </w:tc>
        <w:tc>
          <w:tcPr>
            <w:tcW w:w="567" w:type="dxa"/>
          </w:tcPr>
          <w:p w:rsidR="00E816C8" w:rsidP="00DD6394" w:rsidRDefault="00E816C8" w14:paraId="06725EDD" w14:textId="557A5F8E">
            <w:pPr>
              <w:pStyle w:val="Tabell"/>
              <w:jc w:val="center"/>
            </w:pPr>
          </w:p>
        </w:tc>
        <w:tc>
          <w:tcPr>
            <w:tcW w:w="567" w:type="dxa"/>
          </w:tcPr>
          <w:p w:rsidR="00E816C8" w:rsidP="00DD6394" w:rsidRDefault="00E816C8" w14:paraId="666C2238" w14:textId="46F99630">
            <w:pPr>
              <w:pStyle w:val="Tabell"/>
              <w:jc w:val="center"/>
            </w:pPr>
          </w:p>
        </w:tc>
        <w:tc>
          <w:tcPr>
            <w:tcW w:w="567" w:type="dxa"/>
          </w:tcPr>
          <w:p w:rsidR="00E816C8" w:rsidP="00DD6394" w:rsidRDefault="00E816C8" w14:paraId="6D65E135" w14:textId="77777777">
            <w:pPr>
              <w:pStyle w:val="Tabell"/>
              <w:jc w:val="center"/>
            </w:pPr>
          </w:p>
        </w:tc>
        <w:tc>
          <w:tcPr>
            <w:tcW w:w="1701" w:type="dxa"/>
          </w:tcPr>
          <w:p w:rsidR="00E816C8" w:rsidP="00DD6394" w:rsidRDefault="00E816C8" w14:paraId="51728C2B" w14:textId="77777777">
            <w:pPr>
              <w:pStyle w:val="Tabell"/>
              <w:jc w:val="center"/>
            </w:pPr>
          </w:p>
        </w:tc>
      </w:tr>
      <w:tr w:rsidR="00E816C8" w:rsidTr="64B3C4C7" w14:paraId="163233E6" w14:textId="2B4B188E">
        <w:trPr>
          <w:trHeight w:val="300"/>
        </w:trPr>
        <w:tc>
          <w:tcPr>
            <w:tcW w:w="1980" w:type="dxa"/>
          </w:tcPr>
          <w:p w:rsidR="00E816C8" w:rsidP="0088771F" w:rsidRDefault="00E816C8" w14:paraId="299BEEBA" w14:textId="640FC083">
            <w:pPr>
              <w:pStyle w:val="Tabell"/>
            </w:pPr>
            <w:r>
              <w:t>Fib-4</w:t>
            </w:r>
          </w:p>
        </w:tc>
        <w:tc>
          <w:tcPr>
            <w:tcW w:w="1134" w:type="dxa"/>
          </w:tcPr>
          <w:p w:rsidR="00E816C8" w:rsidP="00DD6394" w:rsidRDefault="00E816C8" w14:paraId="2DCB9CE4" w14:textId="77777777">
            <w:pPr>
              <w:pStyle w:val="Tabell"/>
              <w:jc w:val="center"/>
            </w:pPr>
            <w:r w:rsidRPr="00F614E6">
              <w:t>x</w:t>
            </w:r>
          </w:p>
          <w:p w:rsidR="00E816C8" w:rsidP="0088771F" w:rsidRDefault="00E816C8" w14:paraId="5E22309B" w14:textId="774EA619">
            <w:pPr>
              <w:pStyle w:val="Tabell"/>
            </w:pPr>
            <w:r w:rsidRPr="00F614E6">
              <w:t xml:space="preserve"> </w:t>
            </w:r>
          </w:p>
        </w:tc>
        <w:tc>
          <w:tcPr>
            <w:tcW w:w="1276" w:type="dxa"/>
          </w:tcPr>
          <w:p w:rsidR="00E816C8" w:rsidP="00250E6C" w:rsidRDefault="00E816C8" w14:paraId="31892A46" w14:textId="77777777">
            <w:pPr>
              <w:pStyle w:val="Tabell"/>
              <w:ind w:right="0"/>
            </w:pPr>
            <w:r w:rsidRPr="00C75CBE">
              <w:t>En gång om året.</w:t>
            </w:r>
          </w:p>
          <w:p w:rsidR="00E816C8" w:rsidP="0088771F" w:rsidRDefault="00E816C8" w14:paraId="60AF9EBF" w14:textId="667AD165">
            <w:pPr>
              <w:pStyle w:val="Tabell"/>
            </w:pPr>
            <w:r w:rsidRPr="0088771F">
              <w:t>Se även kommentar nedan.</w:t>
            </w:r>
          </w:p>
        </w:tc>
        <w:tc>
          <w:tcPr>
            <w:tcW w:w="567" w:type="dxa"/>
          </w:tcPr>
          <w:p w:rsidR="00E816C8" w:rsidP="0088771F" w:rsidRDefault="00E816C8" w14:paraId="4C69E991" w14:textId="77777777">
            <w:pPr>
              <w:pStyle w:val="Tabell"/>
            </w:pPr>
          </w:p>
        </w:tc>
        <w:tc>
          <w:tcPr>
            <w:tcW w:w="567" w:type="dxa"/>
          </w:tcPr>
          <w:p w:rsidR="00E816C8" w:rsidP="0088771F" w:rsidRDefault="00E816C8" w14:paraId="26E140DF" w14:textId="77777777">
            <w:pPr>
              <w:pStyle w:val="Tabell"/>
            </w:pPr>
          </w:p>
        </w:tc>
        <w:tc>
          <w:tcPr>
            <w:tcW w:w="567" w:type="dxa"/>
          </w:tcPr>
          <w:p w:rsidR="00E816C8" w:rsidP="0088771F" w:rsidRDefault="00E816C8" w14:paraId="380C2027" w14:textId="77777777">
            <w:pPr>
              <w:pStyle w:val="Tabell"/>
            </w:pPr>
          </w:p>
        </w:tc>
        <w:tc>
          <w:tcPr>
            <w:tcW w:w="1701" w:type="dxa"/>
          </w:tcPr>
          <w:p w:rsidR="00E816C8" w:rsidP="0088771F" w:rsidRDefault="00E816C8" w14:paraId="7AF9D48D" w14:textId="77777777">
            <w:pPr>
              <w:pStyle w:val="Tabell"/>
            </w:pPr>
          </w:p>
        </w:tc>
      </w:tr>
    </w:tbl>
    <w:p w:rsidRPr="00732849" w:rsidR="00E41377" w:rsidP="005C3921" w:rsidRDefault="005C3921" w14:paraId="09288A96" w14:textId="27D6B83F">
      <w:pPr>
        <w:ind w:left="567" w:right="-2"/>
        <w:rPr>
          <w:b/>
          <w:bCs/>
          <w:lang w:eastAsia="en-US"/>
        </w:rPr>
      </w:pPr>
      <w:r>
        <w:rPr>
          <w:rFonts w:eastAsia="Calibri"/>
          <w:lang w:eastAsia="en-US"/>
        </w:rPr>
        <w:br/>
      </w:r>
      <w:r w:rsidRPr="00E41377" w:rsidR="00E41377">
        <w:rPr>
          <w:rFonts w:eastAsia="Calibri"/>
          <w:lang w:eastAsia="en-US"/>
        </w:rPr>
        <w:t xml:space="preserve">Provtagningen bör alltid göras 1–2 dagar innan nästkommande </w:t>
      </w:r>
      <w:proofErr w:type="spellStart"/>
      <w:r w:rsidRPr="00E41377" w:rsidR="00E41377">
        <w:rPr>
          <w:rFonts w:eastAsia="Calibri"/>
          <w:lang w:eastAsia="en-US"/>
        </w:rPr>
        <w:t>metotrexatdos</w:t>
      </w:r>
      <w:proofErr w:type="spellEnd"/>
      <w:r w:rsidRPr="00E41377" w:rsidR="00E41377">
        <w:rPr>
          <w:rFonts w:eastAsia="Calibri"/>
          <w:lang w:eastAsia="en-US"/>
        </w:rPr>
        <w:t>.</w:t>
      </w:r>
    </w:p>
    <w:p w:rsidRPr="00E41377" w:rsidR="00E41377" w:rsidP="00C71E3D" w:rsidRDefault="00E41377" w14:paraId="459FA048" w14:textId="0F326767">
      <w:pPr>
        <w:ind w:left="567" w:right="-2"/>
        <w:rPr>
          <w:b/>
          <w:u w:val="single"/>
          <w:lang w:eastAsia="en-US"/>
        </w:rPr>
      </w:pPr>
      <w:r w:rsidRPr="00E41377">
        <w:rPr>
          <w:b/>
          <w:lang w:eastAsia="en-US"/>
        </w:rPr>
        <w:t xml:space="preserve">Återbesök: </w:t>
      </w:r>
      <w:r w:rsidRPr="00E41377">
        <w:rPr>
          <w:lang w:eastAsia="en-US"/>
        </w:rPr>
        <w:t>Vid okomplicerad behandling ges återbesök 3–4 månader efter</w:t>
      </w:r>
      <w:r w:rsidRPr="00E41377">
        <w:rPr>
          <w:spacing w:val="-19"/>
          <w:lang w:eastAsia="en-US"/>
        </w:rPr>
        <w:t xml:space="preserve"> b</w:t>
      </w:r>
      <w:r w:rsidRPr="00E41377">
        <w:rPr>
          <w:lang w:eastAsia="en-US"/>
        </w:rPr>
        <w:t>ehandlingsstart, därefter utifrån behandlingseffekten om 3–6 månader och sedan 1</w:t>
      </w:r>
      <w:r w:rsidRPr="00E41377">
        <w:rPr>
          <w:spacing w:val="-16"/>
          <w:lang w:eastAsia="en-US"/>
        </w:rPr>
        <w:t xml:space="preserve"> </w:t>
      </w:r>
      <w:r w:rsidRPr="00E41377">
        <w:rPr>
          <w:lang w:eastAsia="en-US"/>
        </w:rPr>
        <w:t>gång/år om god effekt.</w:t>
      </w:r>
    </w:p>
    <w:p w:rsidRPr="00E41377" w:rsidR="00E41377" w:rsidP="00D23BE5" w:rsidRDefault="00E41377" w14:paraId="17D4C280" w14:textId="50DA6AE5">
      <w:pPr>
        <w:pStyle w:val="MellanrubrikVGR"/>
        <w:spacing w:after="0"/>
        <w:ind w:left="567" w:right="-2"/>
        <w:rPr>
          <w:lang w:eastAsia="en-US"/>
        </w:rPr>
      </w:pPr>
      <w:r w:rsidRPr="00E41377">
        <w:rPr>
          <w:lang w:eastAsia="en-US"/>
        </w:rPr>
        <w:t>Handläggning av patologiska provsvar och biverkningar av metotrexatbehandling</w:t>
      </w:r>
    </w:p>
    <w:p w:rsidRPr="00E41377" w:rsidR="00E41377" w:rsidP="003A7618" w:rsidRDefault="00E41377" w14:paraId="583661E5" w14:textId="77777777">
      <w:pPr>
        <w:ind w:left="567" w:right="-2"/>
        <w:rPr>
          <w:lang w:eastAsia="en-US"/>
        </w:rPr>
      </w:pPr>
      <w:r w:rsidRPr="00E41377">
        <w:rPr>
          <w:b/>
          <w:lang w:eastAsia="en-US"/>
        </w:rPr>
        <w:t xml:space="preserve">Blod: </w:t>
      </w:r>
      <w:r w:rsidRPr="00E41377">
        <w:rPr>
          <w:lang w:eastAsia="en-US"/>
        </w:rPr>
        <w:t>Hb, LPK, TPK: Metotrexat kan ge påverkan på benmärgen, som framför allt ses</w:t>
      </w:r>
      <w:r w:rsidRPr="00E41377">
        <w:rPr>
          <w:spacing w:val="-13"/>
          <w:lang w:eastAsia="en-US"/>
        </w:rPr>
        <w:t xml:space="preserve"> </w:t>
      </w:r>
      <w:r w:rsidRPr="00E41377">
        <w:rPr>
          <w:lang w:eastAsia="en-US"/>
        </w:rPr>
        <w:t>inom 7–10 dagar efter behandlingsstart men kan uppträda när som helst under</w:t>
      </w:r>
      <w:r w:rsidRPr="00E41377">
        <w:rPr>
          <w:spacing w:val="-15"/>
          <w:lang w:eastAsia="en-US"/>
        </w:rPr>
        <w:t xml:space="preserve"> </w:t>
      </w:r>
      <w:r w:rsidRPr="00E41377">
        <w:rPr>
          <w:lang w:eastAsia="en-US"/>
        </w:rPr>
        <w:t>behandlingen.</w:t>
      </w:r>
    </w:p>
    <w:p w:rsidRPr="00E41377" w:rsidR="00E41377" w:rsidP="003A7618" w:rsidRDefault="00E41377" w14:paraId="39566D47" w14:textId="0F94F7C4">
      <w:pPr>
        <w:ind w:left="567" w:right="-2"/>
        <w:rPr>
          <w:lang w:eastAsia="en-US"/>
        </w:rPr>
      </w:pPr>
      <w:r w:rsidRPr="00E41377">
        <w:rPr>
          <w:b/>
          <w:lang w:eastAsia="en-US"/>
        </w:rPr>
        <w:t xml:space="preserve">Hb: </w:t>
      </w:r>
      <w:r w:rsidRPr="00E41377">
        <w:rPr>
          <w:lang w:eastAsia="en-US"/>
        </w:rPr>
        <w:t xml:space="preserve">Individuell bedömning. Sjunkande Hb kan </w:t>
      </w:r>
      <w:r w:rsidRPr="50EF557A" w:rsidR="46071CC0">
        <w:rPr>
          <w:lang w:eastAsia="en-US"/>
        </w:rPr>
        <w:t>bero på</w:t>
      </w:r>
      <w:r w:rsidRPr="00E41377">
        <w:rPr>
          <w:lang w:eastAsia="en-US"/>
        </w:rPr>
        <w:t xml:space="preserve"> benmärgspåverkan men även tyda</w:t>
      </w:r>
      <w:r w:rsidRPr="00E41377">
        <w:rPr>
          <w:spacing w:val="-15"/>
          <w:lang w:eastAsia="en-US"/>
        </w:rPr>
        <w:t xml:space="preserve"> </w:t>
      </w:r>
      <w:r w:rsidRPr="00E41377">
        <w:rPr>
          <w:lang w:eastAsia="en-US"/>
        </w:rPr>
        <w:t xml:space="preserve">på GI-blödning. Utsättning av </w:t>
      </w:r>
      <w:r w:rsidR="004A1333">
        <w:rPr>
          <w:lang w:eastAsia="en-US"/>
        </w:rPr>
        <w:t>m</w:t>
      </w:r>
      <w:r w:rsidRPr="00E41377">
        <w:rPr>
          <w:lang w:eastAsia="en-US"/>
        </w:rPr>
        <w:t>etotrexat och</w:t>
      </w:r>
      <w:r w:rsidRPr="00E41377">
        <w:rPr>
          <w:spacing w:val="-10"/>
          <w:lang w:eastAsia="en-US"/>
        </w:rPr>
        <w:t xml:space="preserve"> </w:t>
      </w:r>
      <w:r w:rsidRPr="00E41377">
        <w:rPr>
          <w:lang w:eastAsia="en-US"/>
        </w:rPr>
        <w:t>utredning.</w:t>
      </w:r>
    </w:p>
    <w:p w:rsidRPr="00E41377" w:rsidR="00E41377" w:rsidP="003A7618" w:rsidRDefault="00E41377" w14:paraId="43AB0386" w14:textId="258BE462">
      <w:pPr>
        <w:ind w:left="567" w:right="-2"/>
        <w:rPr>
          <w:lang w:eastAsia="en-US"/>
        </w:rPr>
      </w:pPr>
      <w:r w:rsidRPr="00E41377">
        <w:rPr>
          <w:b/>
          <w:lang w:eastAsia="en-US"/>
        </w:rPr>
        <w:t xml:space="preserve">LPK: </w:t>
      </w:r>
      <w:proofErr w:type="gramStart"/>
      <w:r w:rsidRPr="00E41377">
        <w:rPr>
          <w:lang w:eastAsia="en-US"/>
        </w:rPr>
        <w:t>&lt; 3500</w:t>
      </w:r>
      <w:proofErr w:type="gramEnd"/>
      <w:r w:rsidRPr="00E41377">
        <w:rPr>
          <w:lang w:eastAsia="en-US"/>
        </w:rPr>
        <w:t xml:space="preserve"> medför uppehåll med metotrexatbehandling i 2-3 veckor. Ny</w:t>
      </w:r>
      <w:r w:rsidRPr="00E41377">
        <w:rPr>
          <w:spacing w:val="-15"/>
          <w:lang w:eastAsia="en-US"/>
        </w:rPr>
        <w:t xml:space="preserve"> </w:t>
      </w:r>
      <w:r w:rsidRPr="00E41377">
        <w:rPr>
          <w:lang w:eastAsia="en-US"/>
        </w:rPr>
        <w:t xml:space="preserve">provtagning. </w:t>
      </w:r>
      <w:r w:rsidRPr="00E41377">
        <w:rPr>
          <w:lang w:eastAsia="en-US"/>
        </w:rPr>
        <w:br/>
      </w:r>
      <w:r w:rsidRPr="00E41377">
        <w:rPr>
          <w:b/>
          <w:lang w:eastAsia="en-US"/>
        </w:rPr>
        <w:t xml:space="preserve">TPK: </w:t>
      </w:r>
      <w:proofErr w:type="gramStart"/>
      <w:r w:rsidRPr="00E41377">
        <w:rPr>
          <w:lang w:eastAsia="en-US"/>
        </w:rPr>
        <w:t>&lt; 150</w:t>
      </w:r>
      <w:proofErr w:type="gramEnd"/>
      <w:r w:rsidRPr="00E41377">
        <w:rPr>
          <w:lang w:eastAsia="en-US"/>
        </w:rPr>
        <w:t xml:space="preserve"> medför ny provtagning inom 1 vecka och ev. dosminskning</w:t>
      </w:r>
      <w:r w:rsidRPr="00E41377">
        <w:rPr>
          <w:spacing w:val="-13"/>
          <w:lang w:eastAsia="en-US"/>
        </w:rPr>
        <w:t xml:space="preserve"> </w:t>
      </w:r>
      <w:r w:rsidRPr="00E41377">
        <w:rPr>
          <w:lang w:eastAsia="en-US"/>
        </w:rPr>
        <w:t xml:space="preserve">eller behandlingsuppehåll. TPK </w:t>
      </w:r>
      <w:proofErr w:type="gramStart"/>
      <w:r w:rsidRPr="00E41377">
        <w:rPr>
          <w:lang w:eastAsia="en-US"/>
        </w:rPr>
        <w:t>&lt; 50</w:t>
      </w:r>
      <w:proofErr w:type="gramEnd"/>
      <w:r w:rsidRPr="00E41377">
        <w:rPr>
          <w:lang w:eastAsia="en-US"/>
        </w:rPr>
        <w:t>, kontakta hematolog, avbryt behandlingen och ta</w:t>
      </w:r>
      <w:r w:rsidRPr="00E41377">
        <w:rPr>
          <w:spacing w:val="-18"/>
          <w:lang w:eastAsia="en-US"/>
        </w:rPr>
        <w:t xml:space="preserve"> </w:t>
      </w:r>
      <w:r w:rsidRPr="00E41377">
        <w:rPr>
          <w:lang w:eastAsia="en-US"/>
        </w:rPr>
        <w:t>dagliga kontrollprover</w:t>
      </w:r>
      <w:r w:rsidRPr="00E41377" w:rsidR="3DBC6092">
        <w:rPr>
          <w:lang w:eastAsia="en-US"/>
        </w:rPr>
        <w:t>.</w:t>
      </w:r>
    </w:p>
    <w:p w:rsidRPr="00E41377" w:rsidR="00E41377" w:rsidP="003A7618" w:rsidRDefault="00E41377" w14:paraId="12B31781" w14:textId="13E21809">
      <w:pPr>
        <w:ind w:left="567" w:right="-2"/>
        <w:rPr>
          <w:lang w:eastAsia="en-US"/>
        </w:rPr>
      </w:pPr>
      <w:r w:rsidRPr="1390F7AF">
        <w:rPr>
          <w:b/>
          <w:bCs/>
          <w:lang w:eastAsia="en-US"/>
        </w:rPr>
        <w:t xml:space="preserve">Njurar: </w:t>
      </w:r>
      <w:r w:rsidRPr="00E41377">
        <w:rPr>
          <w:lang w:eastAsia="en-US"/>
        </w:rPr>
        <w:t xml:space="preserve">Kreatinin: Då </w:t>
      </w:r>
      <w:r w:rsidRPr="00E41377" w:rsidR="70D6E254">
        <w:rPr>
          <w:lang w:eastAsia="en-US"/>
        </w:rPr>
        <w:t>m</w:t>
      </w:r>
      <w:r w:rsidRPr="00E41377">
        <w:rPr>
          <w:lang w:eastAsia="en-US"/>
        </w:rPr>
        <w:t>etotrexat i huvudsak elimineras från njurar är kontroll</w:t>
      </w:r>
      <w:r w:rsidRPr="00E41377">
        <w:rPr>
          <w:spacing w:val="-13"/>
          <w:lang w:eastAsia="en-US"/>
        </w:rPr>
        <w:t xml:space="preserve"> </w:t>
      </w:r>
      <w:r w:rsidRPr="00E41377">
        <w:rPr>
          <w:lang w:eastAsia="en-US"/>
        </w:rPr>
        <w:t xml:space="preserve">av njurfunktionen viktig. Dålig njurfunktion kan medföra för hög </w:t>
      </w:r>
      <w:proofErr w:type="spellStart"/>
      <w:r w:rsidRPr="00E41377">
        <w:rPr>
          <w:lang w:eastAsia="en-US"/>
        </w:rPr>
        <w:t>metotrexatkoncentration</w:t>
      </w:r>
      <w:proofErr w:type="spellEnd"/>
      <w:r w:rsidRPr="00E41377">
        <w:rPr>
          <w:lang w:eastAsia="en-US"/>
        </w:rPr>
        <w:t>.</w:t>
      </w:r>
      <w:r w:rsidRPr="00E41377">
        <w:rPr>
          <w:spacing w:val="-18"/>
          <w:lang w:eastAsia="en-US"/>
        </w:rPr>
        <w:t xml:space="preserve"> </w:t>
      </w:r>
      <w:r w:rsidRPr="00E41377">
        <w:rPr>
          <w:lang w:eastAsia="en-US"/>
        </w:rPr>
        <w:t xml:space="preserve">Det är viktigt att minska </w:t>
      </w:r>
      <w:proofErr w:type="spellStart"/>
      <w:r w:rsidRPr="00E41377">
        <w:rPr>
          <w:lang w:eastAsia="en-US"/>
        </w:rPr>
        <w:t>metotrexatdosen</w:t>
      </w:r>
      <w:proofErr w:type="spellEnd"/>
      <w:r w:rsidRPr="00E41377">
        <w:rPr>
          <w:lang w:eastAsia="en-US"/>
        </w:rPr>
        <w:t xml:space="preserve"> vid nedsatt</w:t>
      </w:r>
      <w:r w:rsidRPr="00E41377">
        <w:rPr>
          <w:spacing w:val="-5"/>
          <w:lang w:eastAsia="en-US"/>
        </w:rPr>
        <w:t xml:space="preserve"> </w:t>
      </w:r>
      <w:r w:rsidRPr="00E41377">
        <w:rPr>
          <w:lang w:eastAsia="en-US"/>
        </w:rPr>
        <w:t>njurfunktion.</w:t>
      </w:r>
    </w:p>
    <w:p w:rsidRPr="00E41377" w:rsidR="00E41377" w:rsidP="009A13FD" w:rsidRDefault="00E41377" w14:paraId="30663F21" w14:textId="41222660">
      <w:pPr>
        <w:spacing w:after="0"/>
        <w:ind w:left="567" w:right="-2"/>
        <w:rPr>
          <w:color w:val="000000" w:themeColor="text2"/>
        </w:rPr>
      </w:pPr>
      <w:r w:rsidRPr="3199CAD7">
        <w:rPr>
          <w:b/>
          <w:bCs/>
          <w:lang w:eastAsia="en-US"/>
        </w:rPr>
        <w:t xml:space="preserve">Lever: </w:t>
      </w:r>
      <w:r w:rsidRPr="3199CAD7" w:rsidR="5AA8B707">
        <w:rPr>
          <w:b/>
          <w:bCs/>
          <w:lang w:eastAsia="en-US"/>
        </w:rPr>
        <w:t>ALAT</w:t>
      </w:r>
      <w:r w:rsidRPr="3199CAD7" w:rsidR="78A00ED1">
        <w:rPr>
          <w:b/>
          <w:bCs/>
          <w:lang w:eastAsia="en-US"/>
        </w:rPr>
        <w:t xml:space="preserve">, </w:t>
      </w:r>
      <w:r w:rsidRPr="3199CAD7" w:rsidR="5AA8B707">
        <w:rPr>
          <w:b/>
          <w:bCs/>
          <w:lang w:eastAsia="en-US"/>
        </w:rPr>
        <w:t>ASAT</w:t>
      </w:r>
      <w:r w:rsidRPr="3199CAD7" w:rsidR="3F4FD517">
        <w:rPr>
          <w:b/>
          <w:bCs/>
          <w:lang w:eastAsia="en-US"/>
        </w:rPr>
        <w:t xml:space="preserve"> och FIB-4</w:t>
      </w:r>
      <w:r w:rsidRPr="3199CAD7" w:rsidR="5AA8B707">
        <w:rPr>
          <w:b/>
          <w:bCs/>
          <w:lang w:eastAsia="en-US"/>
        </w:rPr>
        <w:t xml:space="preserve">. </w:t>
      </w:r>
      <w:r w:rsidRPr="3199CAD7" w:rsidR="5AA8B707">
        <w:rPr>
          <w:lang w:eastAsia="en-US"/>
        </w:rPr>
        <w:t xml:space="preserve">Metotrexat kan ge leverskador som kan leda till </w:t>
      </w:r>
      <w:r w:rsidRPr="3199CAD7" w:rsidR="47BE90CE">
        <w:rPr>
          <w:lang w:eastAsia="en-US"/>
        </w:rPr>
        <w:t xml:space="preserve">   </w:t>
      </w:r>
      <w:r w:rsidRPr="3199CAD7" w:rsidR="5AA8B707">
        <w:rPr>
          <w:lang w:eastAsia="en-US"/>
        </w:rPr>
        <w:t xml:space="preserve">leverfibros och cirrhos. </w:t>
      </w:r>
      <w:r w:rsidRPr="3199CAD7" w:rsidR="7D9371BF">
        <w:rPr>
          <w:lang w:eastAsia="en-US"/>
        </w:rPr>
        <w:t xml:space="preserve">Största riskfaktorerna för </w:t>
      </w:r>
      <w:proofErr w:type="spellStart"/>
      <w:r w:rsidRPr="3199CAD7" w:rsidR="7D9371BF">
        <w:rPr>
          <w:lang w:eastAsia="en-US"/>
        </w:rPr>
        <w:t>metotrexatinducerad</w:t>
      </w:r>
      <w:proofErr w:type="spellEnd"/>
      <w:r w:rsidRPr="3199CAD7" w:rsidR="7D9371BF">
        <w:rPr>
          <w:lang w:eastAsia="en-US"/>
        </w:rPr>
        <w:t xml:space="preserve"> leverfibros vid psoriasis är övervikt och diabetes typ 2. </w:t>
      </w:r>
    </w:p>
    <w:p w:rsidRPr="00391199" w:rsidR="00E41377" w:rsidP="6B138D1C" w:rsidRDefault="5AA8B707" w14:paraId="61B4F98A" w14:textId="4027953C">
      <w:pPr>
        <w:ind w:left="567" w:right="-2"/>
        <w:rPr>
          <w:color w:val="000000" w:themeColor="text2"/>
        </w:rPr>
      </w:pPr>
      <w:r w:rsidRPr="6B138D1C">
        <w:rPr>
          <w:lang w:eastAsia="en-US"/>
        </w:rPr>
        <w:t xml:space="preserve">Vid förhöjda leverenzymer som inte går tillbaka inom 2 veckor, minskas </w:t>
      </w:r>
      <w:proofErr w:type="spellStart"/>
      <w:r w:rsidRPr="6B138D1C">
        <w:rPr>
          <w:lang w:eastAsia="en-US"/>
        </w:rPr>
        <w:t>metotrexatdosen</w:t>
      </w:r>
      <w:proofErr w:type="spellEnd"/>
      <w:r w:rsidRPr="6B138D1C">
        <w:rPr>
          <w:lang w:eastAsia="en-US"/>
        </w:rPr>
        <w:t xml:space="preserve"> och ny kontroll av leverprover. Vid ökning av leverenzymer med dubbla referensvärdet görs behandlingsuppehåll. Anamnes – högt alkoholintag? Hepatit?</w:t>
      </w:r>
      <w:r w:rsidRPr="6B138D1C" w:rsidR="7239786D">
        <w:rPr>
          <w:lang w:eastAsia="en-US"/>
        </w:rPr>
        <w:t xml:space="preserve"> </w:t>
      </w:r>
    </w:p>
    <w:p w:rsidRPr="00391199" w:rsidR="00E41377" w:rsidP="00391199" w:rsidRDefault="6300A3ED" w14:paraId="1626A162" w14:textId="781A4871">
      <w:pPr>
        <w:ind w:left="567" w:right="-2"/>
        <w:rPr>
          <w:color w:val="000000" w:themeColor="text2"/>
        </w:rPr>
      </w:pPr>
      <w:r w:rsidRPr="6B138D1C">
        <w:rPr>
          <w:color w:val="000000" w:themeColor="text2"/>
        </w:rPr>
        <w:t xml:space="preserve">Utveckling av leverfibros och i värsta fall cirros täcks inte genom monitorering med rutinprover. Tidigare togs återkommande leverbiopsier ungefär vart tredje år, vilket idag övergetts </w:t>
      </w:r>
      <w:r w:rsidRPr="6B138D1C" w:rsidR="006B7BD4">
        <w:rPr>
          <w:color w:val="000000" w:themeColor="text2"/>
        </w:rPr>
        <w:t>p.g.a.</w:t>
      </w:r>
      <w:r w:rsidRPr="6B138D1C">
        <w:rPr>
          <w:color w:val="000000" w:themeColor="text2"/>
        </w:rPr>
        <w:t xml:space="preserve"> komplikationsrisken. Det råder ingen konsensus om vad man ska använda och ingen metod är 100% säker. </w:t>
      </w:r>
      <w:r w:rsidRPr="6B138D1C">
        <w:rPr>
          <w:color w:val="3E4547"/>
        </w:rPr>
        <w:t xml:space="preserve">Den mest lättillgängliga algoritmen är </w:t>
      </w:r>
      <w:hyperlink r:id="rId17">
        <w:r w:rsidRPr="6B138D1C">
          <w:rPr>
            <w:rStyle w:val="Hyperlnk"/>
          </w:rPr>
          <w:t>FIB-4</w:t>
        </w:r>
      </w:hyperlink>
      <w:r w:rsidRPr="6B138D1C">
        <w:rPr>
          <w:color w:val="3E4547"/>
        </w:rPr>
        <w:t xml:space="preserve">, som kan användas hos </w:t>
      </w:r>
      <w:proofErr w:type="gramStart"/>
      <w:r w:rsidRPr="6B138D1C">
        <w:rPr>
          <w:color w:val="3E4547"/>
        </w:rPr>
        <w:t>patienter &gt;</w:t>
      </w:r>
      <w:proofErr w:type="gramEnd"/>
      <w:r w:rsidRPr="6B138D1C">
        <w:rPr>
          <w:color w:val="3E4547"/>
        </w:rPr>
        <w:t xml:space="preserve"> 35 år. Erhålls resultatet </w:t>
      </w:r>
      <w:proofErr w:type="gramStart"/>
      <w:r w:rsidRPr="6B138D1C">
        <w:rPr>
          <w:color w:val="3E4547"/>
        </w:rPr>
        <w:t>&lt; 1</w:t>
      </w:r>
      <w:proofErr w:type="gramEnd"/>
      <w:r w:rsidRPr="6B138D1C">
        <w:rPr>
          <w:color w:val="3E4547"/>
        </w:rPr>
        <w:t xml:space="preserve">,3 om patienten är &lt; 65 år eller &lt; 2,0 om patienten är ≥ 65 år är sannolikheten för höggradig leverfibros/levercirros låg. </w:t>
      </w:r>
      <w:r w:rsidRPr="6B138D1C" w:rsidR="00285156">
        <w:rPr>
          <w:color w:val="3E4547"/>
        </w:rPr>
        <w:t xml:space="preserve">Se </w:t>
      </w:r>
      <w:r w:rsidRPr="6B138D1C" w:rsidR="00CC267D">
        <w:rPr>
          <w:color w:val="3E4547"/>
        </w:rPr>
        <w:t xml:space="preserve">Internetmedicin för </w:t>
      </w:r>
      <w:r w:rsidRPr="6B138D1C" w:rsidR="00E6738B">
        <w:rPr>
          <w:color w:val="3E4547"/>
        </w:rPr>
        <w:t>behandlingsöversikt</w:t>
      </w:r>
      <w:r w:rsidRPr="6B138D1C" w:rsidR="00546BA9">
        <w:rPr>
          <w:color w:val="3E4547"/>
        </w:rPr>
        <w:t>, länk</w:t>
      </w:r>
      <w:r w:rsidRPr="6B138D1C" w:rsidR="006C3E7F">
        <w:rPr>
          <w:color w:val="3E4547"/>
        </w:rPr>
        <w:t xml:space="preserve"> </w:t>
      </w:r>
      <w:r w:rsidRPr="6B138D1C" w:rsidR="00E6738B">
        <w:rPr>
          <w:color w:val="3E4547"/>
        </w:rPr>
        <w:t xml:space="preserve">under </w:t>
      </w:r>
      <w:r w:rsidR="00273AA4">
        <w:t>Relaterad informatio</w:t>
      </w:r>
      <w:r w:rsidR="00222FCF">
        <w:t>n</w:t>
      </w:r>
      <w:r w:rsidR="00273AA4">
        <w:t>.</w:t>
      </w:r>
      <w:r w:rsidRPr="6B138D1C">
        <w:rPr>
          <w:color w:val="000000" w:themeColor="text2"/>
        </w:rPr>
        <w:t xml:space="preserve"> Vi rekommenderar att man före behandlingsstart och därefter årligen använder sig av FI</w:t>
      </w:r>
      <w:r w:rsidRPr="00367F5B">
        <w:rPr>
          <w:color w:val="000000" w:themeColor="text2"/>
        </w:rPr>
        <w:t xml:space="preserve">B-4 </w:t>
      </w:r>
      <w:r w:rsidRPr="00367F5B" w:rsidR="00CF466C">
        <w:rPr>
          <w:color w:val="000000" w:themeColor="text2"/>
        </w:rPr>
        <w:t xml:space="preserve">score </w:t>
      </w:r>
      <w:r w:rsidRPr="00367F5B">
        <w:rPr>
          <w:color w:val="000000" w:themeColor="text2"/>
        </w:rPr>
        <w:t>(</w:t>
      </w:r>
      <w:hyperlink r:id="rId18">
        <w:r w:rsidRPr="00367F5B">
          <w:rPr>
            <w:rStyle w:val="Hyperlnk"/>
          </w:rPr>
          <w:t>www.fib4.se</w:t>
        </w:r>
      </w:hyperlink>
      <w:r w:rsidRPr="00367F5B" w:rsidR="63A9E4C0">
        <w:t>)</w:t>
      </w:r>
      <w:r w:rsidRPr="00367F5B" w:rsidR="06985B96">
        <w:t xml:space="preserve">, </w:t>
      </w:r>
      <w:r w:rsidRPr="00367F5B" w:rsidR="06985B96">
        <w:rPr>
          <w:color w:val="000000" w:themeColor="text2"/>
        </w:rPr>
        <w:t xml:space="preserve">som man bör räkna själv via denna länk, </w:t>
      </w:r>
      <w:r w:rsidRPr="00367F5B" w:rsidR="0F5D0176">
        <w:t>på patienter &gt;35 år</w:t>
      </w:r>
      <w:r w:rsidRPr="00367F5B" w:rsidR="63A9E4C0">
        <w:t>.</w:t>
      </w:r>
      <w:r w:rsidRPr="6B138D1C">
        <w:rPr>
          <w:color w:val="000000" w:themeColor="text2"/>
        </w:rPr>
        <w:t xml:space="preserve"> Säkerheten kan ytterligare ökas speciellt vid avvikande värden på FIB-4 om man har möjligheten att undersöka levern med </w:t>
      </w:r>
      <w:proofErr w:type="spellStart"/>
      <w:r w:rsidRPr="6B138D1C">
        <w:rPr>
          <w:color w:val="000000" w:themeColor="text2"/>
        </w:rPr>
        <w:t>transient</w:t>
      </w:r>
      <w:proofErr w:type="spellEnd"/>
      <w:r w:rsidRPr="6B138D1C">
        <w:rPr>
          <w:color w:val="000000" w:themeColor="text2"/>
        </w:rPr>
        <w:t xml:space="preserve"> elastografi (Fibroscan) vart </w:t>
      </w:r>
      <w:proofErr w:type="gramStart"/>
      <w:r w:rsidRPr="6B138D1C">
        <w:rPr>
          <w:color w:val="000000" w:themeColor="text2"/>
        </w:rPr>
        <w:t>2:a</w:t>
      </w:r>
      <w:proofErr w:type="gramEnd"/>
      <w:r w:rsidRPr="6B138D1C">
        <w:rPr>
          <w:color w:val="000000" w:themeColor="text2"/>
        </w:rPr>
        <w:t xml:space="preserve">-3:e år, som alltmer förespråkas som ersättning för återkommande leverbiopsier. </w:t>
      </w:r>
      <w:proofErr w:type="spellStart"/>
      <w:r w:rsidRPr="6B138D1C">
        <w:rPr>
          <w:color w:val="000000" w:themeColor="text2"/>
        </w:rPr>
        <w:t>Leverelastografi</w:t>
      </w:r>
      <w:proofErr w:type="spellEnd"/>
      <w:r w:rsidRPr="6B138D1C">
        <w:rPr>
          <w:color w:val="000000" w:themeColor="text2"/>
        </w:rPr>
        <w:t xml:space="preserve"> kan utföras även före behandlingsstart vid misstanke på leversjukdom</w:t>
      </w:r>
      <w:r w:rsidRPr="50EF557A" w:rsidR="05ADA380">
        <w:rPr>
          <w:color w:val="000000" w:themeColor="text2"/>
        </w:rPr>
        <w:t>, remiss kan skickas till gastro</w:t>
      </w:r>
      <w:r w:rsidRPr="6B138D1C">
        <w:rPr>
          <w:color w:val="000000" w:themeColor="text2"/>
        </w:rPr>
        <w:t>.</w:t>
      </w:r>
      <w:r w:rsidRPr="483965F7">
        <w:rPr>
          <w:color w:val="000000" w:themeColor="text2"/>
        </w:rPr>
        <w:t xml:space="preserve"> </w:t>
      </w:r>
    </w:p>
    <w:p w:rsidRPr="00E41377" w:rsidR="00E41377" w:rsidP="00301799" w:rsidRDefault="00E41377" w14:paraId="6309E732" w14:textId="77777777">
      <w:pPr>
        <w:ind w:left="567" w:right="-2"/>
        <w:rPr>
          <w:lang w:eastAsia="en-US"/>
        </w:rPr>
      </w:pPr>
      <w:proofErr w:type="spellStart"/>
      <w:r w:rsidRPr="00E41377">
        <w:rPr>
          <w:b/>
          <w:bCs/>
          <w:lang w:eastAsia="en-US"/>
        </w:rPr>
        <w:t>Pneumonit</w:t>
      </w:r>
      <w:proofErr w:type="spellEnd"/>
      <w:r w:rsidRPr="00E41377">
        <w:rPr>
          <w:b/>
          <w:bCs/>
          <w:lang w:eastAsia="en-US"/>
        </w:rPr>
        <w:t xml:space="preserve"> </w:t>
      </w:r>
      <w:r w:rsidRPr="00E41377">
        <w:rPr>
          <w:lang w:eastAsia="en-US"/>
        </w:rPr>
        <w:t>– sällsynt men allvarlig</w:t>
      </w:r>
      <w:r w:rsidRPr="00E41377">
        <w:rPr>
          <w:spacing w:val="-12"/>
          <w:lang w:eastAsia="en-US"/>
        </w:rPr>
        <w:t xml:space="preserve"> </w:t>
      </w:r>
      <w:r w:rsidRPr="00E41377">
        <w:rPr>
          <w:lang w:eastAsia="en-US"/>
        </w:rPr>
        <w:t>biverkan.</w:t>
      </w:r>
    </w:p>
    <w:p w:rsidRPr="00301799" w:rsidR="00E41377" w:rsidP="00301799" w:rsidRDefault="00E41377" w14:paraId="62118C30" w14:textId="390D2B22">
      <w:pPr>
        <w:ind w:left="567" w:right="-2"/>
        <w:rPr>
          <w:lang w:eastAsia="en-US"/>
        </w:rPr>
      </w:pPr>
      <w:proofErr w:type="spellStart"/>
      <w:r w:rsidRPr="00E41377">
        <w:rPr>
          <w:lang w:eastAsia="en-US"/>
        </w:rPr>
        <w:t>Pneumonit</w:t>
      </w:r>
      <w:proofErr w:type="spellEnd"/>
      <w:r w:rsidRPr="00E41377">
        <w:rPr>
          <w:lang w:eastAsia="en-US"/>
        </w:rPr>
        <w:t xml:space="preserve"> karaktäriseras av akut insättande feber, hosta, dyspné, cyanos eller</w:t>
      </w:r>
      <w:r w:rsidRPr="00E41377">
        <w:rPr>
          <w:spacing w:val="-9"/>
          <w:lang w:eastAsia="en-US"/>
        </w:rPr>
        <w:t xml:space="preserve"> </w:t>
      </w:r>
      <w:r w:rsidRPr="00E41377">
        <w:rPr>
          <w:lang w:eastAsia="en-US"/>
        </w:rPr>
        <w:t xml:space="preserve">långvarig torrhosta. Vid lungröntgen ses bilaterala infiltrat. </w:t>
      </w:r>
      <w:proofErr w:type="spellStart"/>
      <w:r w:rsidRPr="00E41377">
        <w:rPr>
          <w:lang w:eastAsia="en-US"/>
        </w:rPr>
        <w:t>Pneumonit</w:t>
      </w:r>
      <w:proofErr w:type="spellEnd"/>
      <w:r w:rsidRPr="00E41377">
        <w:rPr>
          <w:lang w:eastAsia="en-US"/>
        </w:rPr>
        <w:t xml:space="preserve"> kan förekomma även</w:t>
      </w:r>
      <w:r w:rsidRPr="00E41377">
        <w:rPr>
          <w:spacing w:val="-7"/>
          <w:lang w:eastAsia="en-US"/>
        </w:rPr>
        <w:t xml:space="preserve"> </w:t>
      </w:r>
      <w:r w:rsidRPr="00E41377">
        <w:rPr>
          <w:lang w:eastAsia="en-US"/>
        </w:rPr>
        <w:t>om röntgen visar normalt fynd. Vid misstanke ska Lungmedicin kontaktas akut och</w:t>
      </w:r>
      <w:r w:rsidRPr="00E41377">
        <w:rPr>
          <w:spacing w:val="-12"/>
          <w:lang w:eastAsia="en-US"/>
        </w:rPr>
        <w:t xml:space="preserve"> </w:t>
      </w:r>
      <w:r w:rsidR="004A1333">
        <w:rPr>
          <w:lang w:eastAsia="en-US"/>
        </w:rPr>
        <w:t>m</w:t>
      </w:r>
      <w:r w:rsidRPr="00E41377">
        <w:rPr>
          <w:lang w:eastAsia="en-US"/>
        </w:rPr>
        <w:t>etotrexat utsättas</w:t>
      </w:r>
      <w:r w:rsidRPr="00E41377">
        <w:rPr>
          <w:spacing w:val="-4"/>
          <w:lang w:eastAsia="en-US"/>
        </w:rPr>
        <w:t xml:space="preserve"> </w:t>
      </w:r>
      <w:r w:rsidRPr="00E41377">
        <w:rPr>
          <w:lang w:eastAsia="en-US"/>
        </w:rPr>
        <w:t>omedelbart.</w:t>
      </w:r>
    </w:p>
    <w:p w:rsidRPr="00301799" w:rsidR="00E41377" w:rsidP="00301799" w:rsidRDefault="00E41377" w14:paraId="56BC3714" w14:textId="0FE9A667">
      <w:pPr>
        <w:ind w:left="567" w:right="-2"/>
        <w:rPr>
          <w:lang w:eastAsia="en-US"/>
        </w:rPr>
      </w:pPr>
      <w:r w:rsidRPr="00E41377">
        <w:rPr>
          <w:b/>
          <w:bCs/>
          <w:lang w:eastAsia="en-US"/>
        </w:rPr>
        <w:t xml:space="preserve">Operationer </w:t>
      </w:r>
      <w:r w:rsidRPr="00E41377">
        <w:rPr>
          <w:lang w:eastAsia="en-US"/>
        </w:rPr>
        <w:t>– Metotrexatbehandling kan bibehållas om operatör inte anger</w:t>
      </w:r>
      <w:r w:rsidRPr="00E41377">
        <w:rPr>
          <w:spacing w:val="-13"/>
          <w:lang w:eastAsia="en-US"/>
        </w:rPr>
        <w:t xml:space="preserve"> </w:t>
      </w:r>
      <w:r w:rsidRPr="00E41377">
        <w:rPr>
          <w:lang w:eastAsia="en-US"/>
        </w:rPr>
        <w:t>annat.</w:t>
      </w:r>
    </w:p>
    <w:p w:rsidRPr="00E41377" w:rsidR="00E41377" w:rsidP="009B54F2" w:rsidRDefault="00E41377" w14:paraId="0D99EBA3" w14:textId="77777777">
      <w:pPr>
        <w:pStyle w:val="Rubrik2"/>
        <w:ind w:left="567"/>
        <w:rPr>
          <w:lang w:eastAsia="en-US"/>
        </w:rPr>
      </w:pPr>
      <w:r w:rsidRPr="00E41377">
        <w:rPr>
          <w:lang w:eastAsia="en-US"/>
        </w:rPr>
        <w:t>Vaccinationer</w:t>
      </w:r>
    </w:p>
    <w:p w:rsidR="68188B36" w:rsidP="50EF557A" w:rsidRDefault="68188B36" w14:paraId="40862D21" w14:textId="137835D2">
      <w:pPr>
        <w:ind w:left="567" w:right="-2"/>
      </w:pPr>
      <w:r w:rsidRPr="50EF557A">
        <w:t>Genomgång av tidigare vaccinationsstatus bör ingå vid första kontakten med patienten. Det är bra om patienten kan vaccineras innan behandling sätts in för att erhålla optimalt vaccinationssvar, men icke levande vaccin kan även ges till patienter under pågående immunmodulerande behandling.</w:t>
      </w:r>
    </w:p>
    <w:p w:rsidR="000A3C2D" w:rsidP="000A3C2D" w:rsidRDefault="00E41377" w14:paraId="17A8117F" w14:textId="5DD252BB">
      <w:pPr>
        <w:ind w:left="567" w:right="-2"/>
        <w:rPr>
          <w:color w:val="000000" w:themeColor="text2"/>
        </w:rPr>
      </w:pPr>
      <w:r w:rsidRPr="3199CAD7">
        <w:rPr>
          <w:lang w:eastAsia="en-US"/>
        </w:rPr>
        <w:t>Influensavaccination rekommenderas årligen</w:t>
      </w:r>
      <w:r w:rsidRPr="3199CAD7">
        <w:rPr>
          <w:spacing w:val="-12"/>
          <w:lang w:eastAsia="en-US"/>
        </w:rPr>
        <w:t xml:space="preserve"> </w:t>
      </w:r>
      <w:r w:rsidRPr="3199CAD7">
        <w:rPr>
          <w:lang w:eastAsia="en-US"/>
        </w:rPr>
        <w:t xml:space="preserve">vid metotrexatbehandling. </w:t>
      </w:r>
      <w:r w:rsidRPr="21988738" w:rsidR="7B6D9203">
        <w:t>Folkhälsomyndigheten rekommenderar också pneumokockvaccination.</w:t>
      </w:r>
      <w:r w:rsidRPr="3199CAD7">
        <w:t xml:space="preserve"> </w:t>
      </w:r>
      <w:r w:rsidRPr="3199CAD7">
        <w:rPr>
          <w:lang w:eastAsia="en-US"/>
        </w:rPr>
        <w:t xml:space="preserve">Om det finns behov för vaccinering med levande virus så görs uppehåll med </w:t>
      </w:r>
      <w:r w:rsidR="00D62240">
        <w:rPr>
          <w:lang w:eastAsia="en-US"/>
        </w:rPr>
        <w:t>m</w:t>
      </w:r>
      <w:r w:rsidRPr="3199CAD7">
        <w:rPr>
          <w:lang w:eastAsia="en-US"/>
        </w:rPr>
        <w:t xml:space="preserve">etotrexat under 3 månader före vaccinering. Systembehandling kan återupptas tidigast en månad efter </w:t>
      </w:r>
      <w:r w:rsidRPr="3199CAD7">
        <w:rPr>
          <w:lang w:eastAsia="en-US"/>
        </w:rPr>
        <w:t>vaccination med levande virus.</w:t>
      </w:r>
      <w:r w:rsidRPr="3199CAD7" w:rsidR="60E690B6">
        <w:rPr>
          <w:lang w:eastAsia="en-US"/>
        </w:rPr>
        <w:t xml:space="preserve"> </w:t>
      </w:r>
      <w:r w:rsidR="00DF058D">
        <w:rPr>
          <w:lang w:eastAsia="en-US"/>
        </w:rPr>
        <w:t xml:space="preserve">Se Folkhälsomyndighetens </w:t>
      </w:r>
      <w:r w:rsidR="00DF058D">
        <w:t>vägledning</w:t>
      </w:r>
      <w:r w:rsidR="00DF058D">
        <w:rPr>
          <w:lang w:eastAsia="en-US"/>
        </w:rPr>
        <w:t xml:space="preserve"> under </w:t>
      </w:r>
      <w:r w:rsidR="00DF058D">
        <w:rPr>
          <w:color w:val="000000" w:themeColor="text2"/>
        </w:rPr>
        <w:t>Relaterad information.</w:t>
      </w:r>
    </w:p>
    <w:p w:rsidRPr="00E41377" w:rsidR="00ED0904" w:rsidP="00ED0904" w:rsidRDefault="28A841E9" w14:paraId="4F0CCD12" w14:textId="1BA7E131">
      <w:pPr>
        <w:ind w:left="567" w:right="-2"/>
        <w:rPr>
          <w:lang w:eastAsia="en-US"/>
        </w:rPr>
      </w:pPr>
      <w:r w:rsidRPr="3199CAD7">
        <w:rPr>
          <w:color w:val="000000" w:themeColor="text2"/>
        </w:rPr>
        <w:t>Vi rekommenderar att patienter med psoriasis vaccinerar sig mot Covid-19.</w:t>
      </w:r>
      <w:r w:rsidR="005A3539">
        <w:t xml:space="preserve"> </w:t>
      </w:r>
      <w:r w:rsidR="00C65341">
        <w:t xml:space="preserve">Se </w:t>
      </w:r>
      <w:r w:rsidR="00303744">
        <w:t xml:space="preserve">Folkhälsomyndighetens </w:t>
      </w:r>
      <w:r w:rsidR="00ED0904">
        <w:t xml:space="preserve">vägledning under </w:t>
      </w:r>
      <w:r w:rsidR="00ED0904">
        <w:rPr>
          <w:color w:val="000000" w:themeColor="text2"/>
        </w:rPr>
        <w:t xml:space="preserve">Relaterad information. </w:t>
      </w:r>
    </w:p>
    <w:p w:rsidRPr="00E41377" w:rsidR="00E41377" w:rsidP="001F3BBB" w:rsidRDefault="00E41377" w14:paraId="69BED7CB" w14:textId="2766605F">
      <w:pPr>
        <w:pStyle w:val="MellanrubrikVGR"/>
        <w:spacing w:after="0"/>
        <w:ind w:left="567"/>
        <w:rPr>
          <w:lang w:eastAsia="en-US"/>
        </w:rPr>
      </w:pPr>
      <w:r w:rsidRPr="00E41377">
        <w:rPr>
          <w:lang w:eastAsia="en-US"/>
        </w:rPr>
        <w:t>Vaccinationer barn</w:t>
      </w:r>
    </w:p>
    <w:p w:rsidRPr="0020778B" w:rsidR="00E41377" w:rsidP="3199CAD7" w:rsidRDefault="00E41377" w14:paraId="0C26C64F" w14:textId="17DC6615">
      <w:pPr>
        <w:ind w:left="567" w:right="-2"/>
        <w:rPr>
          <w:color w:val="FF0000"/>
        </w:rPr>
      </w:pPr>
      <w:r w:rsidRPr="3199CAD7">
        <w:rPr>
          <w:color w:val="000000" w:themeColor="text2"/>
        </w:rPr>
        <w:t xml:space="preserve">Serologi för varicella-IgG bör analyseras på alla barn oavsett hur säker uppgiften om genomgången varicella är innan insättande av metotrexat eller något biologiskt läkemedel. I övrigt hänvisar vi till Svensk </w:t>
      </w:r>
      <w:proofErr w:type="spellStart"/>
      <w:r w:rsidRPr="3199CAD7">
        <w:rPr>
          <w:color w:val="000000" w:themeColor="text2"/>
        </w:rPr>
        <w:t>Barnreumatologisk</w:t>
      </w:r>
      <w:proofErr w:type="spellEnd"/>
      <w:r w:rsidRPr="3199CAD7">
        <w:rPr>
          <w:color w:val="000000" w:themeColor="text2"/>
        </w:rPr>
        <w:t xml:space="preserve"> Förening och deras PM om vaccinationer till barn med reumatiska sjukdomar</w:t>
      </w:r>
      <w:r w:rsidR="00C65341">
        <w:rPr>
          <w:color w:val="000000" w:themeColor="text2"/>
        </w:rPr>
        <w:t>, se länk under Relaterad information.</w:t>
      </w:r>
    </w:p>
    <w:p w:rsidRPr="00E41377" w:rsidR="00E41377" w:rsidP="0CE40D4E" w:rsidRDefault="00E41377" w14:paraId="61BD0279" w14:textId="77777777">
      <w:pPr>
        <w:pStyle w:val="Rubrik2"/>
        <w:ind w:left="567" w:right="-143"/>
        <w:rPr>
          <w:lang w:eastAsia="en-US"/>
        </w:rPr>
      </w:pPr>
      <w:bookmarkStart w:name="_Toc114578096" w:id="10"/>
      <w:r w:rsidRPr="0CE40D4E">
        <w:rPr>
          <w:color w:val="auto"/>
        </w:rPr>
        <w:t>Ansvar</w:t>
      </w:r>
      <w:bookmarkEnd w:id="10"/>
    </w:p>
    <w:p w:rsidRPr="003E2104" w:rsidR="00E41377" w:rsidP="003E2104" w:rsidRDefault="00E41377" w14:paraId="582CBB23" w14:textId="18D18852">
      <w:pPr>
        <w:ind w:left="567" w:right="-2"/>
        <w:rPr>
          <w:rFonts w:eastAsia="Arial"/>
          <w:lang w:eastAsia="en-US"/>
        </w:rPr>
      </w:pPr>
      <w:r w:rsidRPr="00E41377">
        <w:rPr>
          <w:rFonts w:eastAsia="Arial"/>
          <w:lang w:eastAsia="en-US"/>
        </w:rPr>
        <w:t xml:space="preserve">Verksamhetens läkare och annan berörd sjukvårdspersonal ska arbeta efter denna riktlinje. </w:t>
      </w:r>
      <w:r w:rsidR="0075265F">
        <w:rPr>
          <w:rFonts w:eastAsia="Arial"/>
          <w:lang w:eastAsia="en-US"/>
        </w:rPr>
        <w:t>L</w:t>
      </w:r>
      <w:r w:rsidRPr="00E41377">
        <w:rPr>
          <w:rFonts w:eastAsia="Arial"/>
          <w:lang w:eastAsia="en-US"/>
        </w:rPr>
        <w:t>injechef ansvarar för att riktlinjen är känd.</w:t>
      </w:r>
    </w:p>
    <w:p w:rsidRPr="003E2104" w:rsidR="00E41377" w:rsidP="0CE40D4E" w:rsidRDefault="00E41377" w14:paraId="471416D7" w14:textId="77777777">
      <w:pPr>
        <w:pStyle w:val="Rubrik2"/>
        <w:ind w:left="567" w:right="-143"/>
        <w:rPr>
          <w:color w:val="auto"/>
        </w:rPr>
      </w:pPr>
      <w:bookmarkStart w:name="_Toc114578097" w:id="11"/>
      <w:r w:rsidRPr="0CE40D4E">
        <w:rPr>
          <w:color w:val="auto"/>
        </w:rPr>
        <w:t>Uppföljning, utvärdering och revision</w:t>
      </w:r>
      <w:bookmarkEnd w:id="11"/>
    </w:p>
    <w:p w:rsidRPr="009E7764" w:rsidR="00E41377" w:rsidP="009E7764" w:rsidRDefault="00E41377" w14:paraId="3730B310" w14:textId="780136F9">
      <w:pPr>
        <w:ind w:left="567" w:right="-2"/>
        <w:rPr>
          <w:rFonts w:eastAsia="Arial"/>
          <w:lang w:eastAsia="en-US"/>
        </w:rPr>
      </w:pPr>
      <w:r w:rsidRPr="00E41377">
        <w:rPr>
          <w:rFonts w:eastAsia="Calibri"/>
          <w:lang w:eastAsia="en-US"/>
        </w:rPr>
        <w:t>Vårdenhetsöverläkare ansvarar för uppföljning och revision av</w:t>
      </w:r>
      <w:r w:rsidRPr="00E41377">
        <w:rPr>
          <w:rFonts w:eastAsia="Calibri"/>
          <w:spacing w:val="-20"/>
          <w:lang w:eastAsia="en-US"/>
        </w:rPr>
        <w:t xml:space="preserve"> </w:t>
      </w:r>
      <w:r w:rsidRPr="00E41377">
        <w:rPr>
          <w:rFonts w:eastAsia="Calibri"/>
          <w:lang w:eastAsia="en-US"/>
        </w:rPr>
        <w:t>riktlinjerna.</w:t>
      </w:r>
      <w:r w:rsidRPr="00E41377">
        <w:rPr>
          <w:rFonts w:eastAsia="Arial"/>
          <w:lang w:eastAsia="en-US"/>
        </w:rPr>
        <w:t xml:space="preserve"> Medvetet avsteg från riktlinjen dokumenteras i Melior. Övriga orsaker till avsteg från</w:t>
      </w:r>
      <w:r w:rsidRPr="00E41377">
        <w:rPr>
          <w:rFonts w:eastAsia="Arial"/>
          <w:spacing w:val="-26"/>
          <w:lang w:eastAsia="en-US"/>
        </w:rPr>
        <w:t xml:space="preserve"> </w:t>
      </w:r>
      <w:r w:rsidRPr="00E41377">
        <w:rPr>
          <w:rFonts w:eastAsia="Arial"/>
          <w:lang w:eastAsia="en-US"/>
        </w:rPr>
        <w:t>riktlinjen</w:t>
      </w:r>
      <w:r w:rsidRPr="00E41377">
        <w:rPr>
          <w:rFonts w:eastAsia="Arial"/>
          <w:w w:val="99"/>
          <w:lang w:eastAsia="en-US"/>
        </w:rPr>
        <w:t xml:space="preserve"> </w:t>
      </w:r>
      <w:r w:rsidRPr="00E41377">
        <w:rPr>
          <w:rFonts w:eastAsia="Arial"/>
          <w:lang w:eastAsia="en-US"/>
        </w:rPr>
        <w:t>rapporteras i</w:t>
      </w:r>
      <w:r w:rsidRPr="00E41377">
        <w:rPr>
          <w:rFonts w:eastAsia="Arial"/>
          <w:spacing w:val="-10"/>
          <w:lang w:eastAsia="en-US"/>
        </w:rPr>
        <w:t xml:space="preserve"> </w:t>
      </w:r>
      <w:r w:rsidRPr="00E41377">
        <w:rPr>
          <w:rFonts w:eastAsia="Arial"/>
          <w:lang w:eastAsia="en-US"/>
        </w:rPr>
        <w:t>MedControl PRO.</w:t>
      </w:r>
    </w:p>
    <w:p w:rsidRPr="00A74A35" w:rsidR="009E7764" w:rsidP="009E7764" w:rsidRDefault="009E7764" w14:paraId="52FDD1AF" w14:textId="77777777">
      <w:pPr>
        <w:pStyle w:val="Rubrik2"/>
        <w:ind w:left="567" w:right="-143"/>
        <w:rPr>
          <w:color w:val="auto"/>
        </w:rPr>
      </w:pPr>
      <w:bookmarkStart w:name="_Toc114578098" w:id="12"/>
      <w:r w:rsidRPr="00A74A35">
        <w:rPr>
          <w:color w:val="auto"/>
        </w:rPr>
        <w:t>Relaterad information</w:t>
      </w:r>
      <w:bookmarkEnd w:id="12"/>
    </w:p>
    <w:p w:rsidRPr="00E41377" w:rsidR="00E41377" w:rsidP="3C07405A" w:rsidRDefault="00E41377" w14:paraId="07A43AE8" w14:textId="753CCD9C">
      <w:pPr>
        <w:pStyle w:val="Normal"/>
        <w:spacing w:line="240" w:lineRule="auto"/>
        <w:ind w:left="567" w:right="-2"/>
        <w:rPr>
          <w:rFonts w:ascii="Times New Roman" w:hAnsi="Times New Roman" w:eastAsia="Times New Roman" w:cs="Times New Roman"/>
          <w:noProof w:val="0"/>
          <w:sz w:val="20"/>
          <w:szCs w:val="20"/>
          <w:lang w:val="sv-SE"/>
        </w:rPr>
      </w:pPr>
      <w:r w:rsidR="00E41377">
        <w:rPr/>
        <w:t>Läkemedelsverket, Läkemedelsbehandling av psoriasis och psoriasisartrit – behandlingsrekommendation 2:2019</w:t>
      </w:r>
      <w:r w:rsidR="00DD3568">
        <w:rPr/>
        <w:t>,</w:t>
      </w:r>
      <w:r w:rsidR="00E41377">
        <w:rPr/>
        <w:t xml:space="preserve"> länk </w:t>
      </w:r>
      <w:r w:rsidR="00E41377">
        <w:rPr/>
        <w:t>pdf</w:t>
      </w:r>
      <w:r w:rsidR="002A7AB2">
        <w:rPr/>
        <w:t xml:space="preserve"> </w:t>
      </w:r>
      <w:hyperlink w:anchor="hmainbody1" r:id="R63986c47b8d64afb">
        <w:r w:rsidRPr="3C07405A" w:rsidR="6A254DD4">
          <w:rPr>
            <w:rStyle w:val="Hyperlnk"/>
            <w:rFonts w:ascii="Times New Roman" w:hAnsi="Times New Roman" w:eastAsia="Times New Roman" w:cs="Times New Roman"/>
            <w:noProof w:val="0"/>
            <w:sz w:val="20"/>
            <w:szCs w:val="20"/>
            <w:lang w:val="sv-SE"/>
          </w:rPr>
          <w:t>https://www.lakemedelsverket.se/sv/behandling-och-forskrivning/behandlingsrekommendationer/sok-behandlingsrekommendationer/lakemedel-vid-psoriasis-och-psoriasisartrit---behandlingsrekommendation#hmainbody1</w:t>
        </w:r>
      </w:hyperlink>
    </w:p>
    <w:p w:rsidRPr="007B7882" w:rsidR="00E41377" w:rsidP="00066234" w:rsidRDefault="00E41377" w14:paraId="4468737C" w14:textId="6B285913">
      <w:pPr>
        <w:spacing w:line="240" w:lineRule="auto"/>
        <w:ind w:left="567" w:right="-2"/>
        <w:rPr>
          <w:rFonts w:eastAsia="Calibri"/>
          <w:color w:val="000000"/>
          <w:lang w:eastAsia="en-US"/>
        </w:rPr>
      </w:pPr>
      <w:r w:rsidRPr="3199CAD7">
        <w:rPr>
          <w:rFonts w:eastAsia="Calibri"/>
          <w:lang w:eastAsia="en-US"/>
        </w:rPr>
        <w:t xml:space="preserve">Socialstyrelsen, Nationella riktlinjer för vård vid psoriasis, 2019-03- 11, länk </w:t>
      </w:r>
      <w:proofErr w:type="spellStart"/>
      <w:r w:rsidRPr="3199CAD7">
        <w:rPr>
          <w:rFonts w:eastAsia="Calibri"/>
          <w:lang w:eastAsia="en-US"/>
        </w:rPr>
        <w:t>pd</w:t>
      </w:r>
      <w:r w:rsidRPr="3199CAD7" w:rsidR="3B52334B">
        <w:rPr>
          <w:rFonts w:eastAsia="Calibri"/>
          <w:lang w:eastAsia="en-US"/>
        </w:rPr>
        <w:t>f</w:t>
      </w:r>
      <w:proofErr w:type="spellEnd"/>
      <w:r w:rsidRPr="3199CAD7" w:rsidR="3B52334B">
        <w:rPr>
          <w:rFonts w:eastAsia="Calibri"/>
          <w:lang w:eastAsia="en-US"/>
        </w:rPr>
        <w:t xml:space="preserve"> </w:t>
      </w:r>
      <w:hyperlink r:id="rId20">
        <w:r w:rsidRPr="00B812BD">
          <w:rPr>
            <w:rStyle w:val="Hyperlnk"/>
            <w:rFonts w:eastAsia="Calibri"/>
            <w:sz w:val="20"/>
            <w:szCs w:val="20"/>
            <w:lang w:eastAsia="en-US"/>
          </w:rPr>
          <w:t>https://www.socialstyrelsen.se/globalassets/sharepoint-dokument/artikelkatalog/nationella-riktlinjer/2019-3-11.pdf</w:t>
        </w:r>
      </w:hyperlink>
      <w:r w:rsidRPr="3199CAD7">
        <w:rPr>
          <w:rFonts w:eastAsia="Calibri"/>
          <w:color w:val="000000" w:themeColor="text2"/>
          <w:lang w:eastAsia="en-US"/>
        </w:rPr>
        <w:t xml:space="preserve"> </w:t>
      </w:r>
    </w:p>
    <w:p w:rsidR="00ED0904" w:rsidP="3C07405A" w:rsidRDefault="008352AF" w14:paraId="738EEAB6" w14:textId="2B51150E">
      <w:pPr>
        <w:pStyle w:val="Normal"/>
        <w:spacing w:line="240" w:lineRule="auto"/>
        <w:ind w:left="567" w:right="-2"/>
        <w:rPr>
          <w:rFonts w:ascii="Times New Roman" w:hAnsi="Times New Roman" w:eastAsia="Times New Roman" w:cs="Times New Roman"/>
          <w:noProof w:val="0"/>
          <w:sz w:val="24"/>
          <w:szCs w:val="24"/>
          <w:lang w:val="sv-SE"/>
        </w:rPr>
      </w:pPr>
      <w:r w:rsidR="008352AF">
        <w:rPr/>
        <w:t>SSDV:s</w:t>
      </w:r>
      <w:r w:rsidR="008352AF">
        <w:rPr/>
        <w:t xml:space="preserve"> behandlingsrekommendationer för systemisk behandling av psoriasis </w:t>
      </w:r>
      <w:r w:rsidR="008352AF">
        <w:rPr/>
        <w:t>202</w:t>
      </w:r>
      <w:r w:rsidR="7C9B1C8A">
        <w:rPr/>
        <w:t>4</w:t>
      </w:r>
      <w:r w:rsidR="008352AF">
        <w:rPr/>
        <w:t>-0</w:t>
      </w:r>
      <w:r w:rsidR="06B438FB">
        <w:rPr/>
        <w:t>2</w:t>
      </w:r>
      <w:r w:rsidR="06B438FB">
        <w:rPr/>
        <w:t>-15</w:t>
      </w:r>
      <w:r w:rsidR="00D653B9">
        <w:rPr/>
        <w:t xml:space="preserve"> länk </w:t>
      </w:r>
      <w:r w:rsidR="00D653B9">
        <w:rPr/>
        <w:t>pdf</w:t>
      </w:r>
      <w:r w:rsidR="00CE363C">
        <w:rPr/>
        <w:t xml:space="preserve"> </w:t>
      </w:r>
      <w:hyperlink r:id="Rff2d592daae845b5">
        <w:r w:rsidRPr="3C07405A" w:rsidR="09C027CE">
          <w:rPr>
            <w:rStyle w:val="Hyperlnk"/>
            <w:rFonts w:ascii="Times New Roman" w:hAnsi="Times New Roman" w:eastAsia="Times New Roman" w:cs="Times New Roman"/>
            <w:noProof w:val="0"/>
            <w:sz w:val="20"/>
            <w:szCs w:val="20"/>
            <w:lang w:val="sv-SE"/>
          </w:rPr>
          <w:t>ssdvs-behandlingsrekommendationer-for-systemisk-behandling-av-psoriasis-2024-12-15.pdf</w:t>
        </w:r>
      </w:hyperlink>
    </w:p>
    <w:p w:rsidRPr="007A5FED" w:rsidR="00F52677" w:rsidP="00066234" w:rsidRDefault="00F52677" w14:paraId="2EDB10CE" w14:textId="1AD3E377">
      <w:pPr>
        <w:spacing w:line="240" w:lineRule="auto"/>
        <w:ind w:left="567" w:right="-2"/>
        <w:rPr>
          <w:rStyle w:val="Hyperlnk"/>
          <w:sz w:val="20"/>
          <w:szCs w:val="20"/>
        </w:rPr>
      </w:pPr>
      <w:r>
        <w:t xml:space="preserve">Internetmedicin.se </w:t>
      </w:r>
      <w:r w:rsidRPr="00F223F3" w:rsidR="00F223F3">
        <w:t xml:space="preserve">Non </w:t>
      </w:r>
      <w:proofErr w:type="spellStart"/>
      <w:r w:rsidRPr="00F223F3" w:rsidR="00F223F3">
        <w:t>Alcoholic</w:t>
      </w:r>
      <w:proofErr w:type="spellEnd"/>
      <w:r w:rsidRPr="00F223F3" w:rsidR="00F223F3">
        <w:t xml:space="preserve"> </w:t>
      </w:r>
      <w:proofErr w:type="spellStart"/>
      <w:r w:rsidRPr="00F223F3" w:rsidR="00F223F3">
        <w:t>Fatty</w:t>
      </w:r>
      <w:proofErr w:type="spellEnd"/>
      <w:r w:rsidRPr="00F223F3" w:rsidR="00F223F3">
        <w:t xml:space="preserve"> Liver Disease (NAFLD) och Non </w:t>
      </w:r>
      <w:proofErr w:type="spellStart"/>
      <w:r w:rsidRPr="00F223F3" w:rsidR="00F223F3">
        <w:t>Alcoholic</w:t>
      </w:r>
      <w:proofErr w:type="spellEnd"/>
      <w:r w:rsidRPr="00F223F3" w:rsidR="00F223F3">
        <w:t xml:space="preserve"> </w:t>
      </w:r>
      <w:proofErr w:type="spellStart"/>
      <w:r w:rsidRPr="00F223F3" w:rsidR="00F223F3">
        <w:t>Steatohepatitis</w:t>
      </w:r>
      <w:proofErr w:type="spellEnd"/>
      <w:r w:rsidRPr="00F223F3" w:rsidR="00F223F3">
        <w:t xml:space="preserve"> (NASH), vuxna</w:t>
      </w:r>
      <w:r w:rsidR="00F223F3">
        <w:t>, länk html</w:t>
      </w:r>
      <w:r w:rsidR="007A5FED">
        <w:br/>
      </w:r>
      <w:hyperlink w:history="1" r:id="rId22">
        <w:r w:rsidRPr="007A5FED">
          <w:rPr>
            <w:rStyle w:val="Hyperlnk"/>
            <w:sz w:val="20"/>
            <w:szCs w:val="20"/>
          </w:rPr>
          <w:t xml:space="preserve">Non </w:t>
        </w:r>
        <w:proofErr w:type="spellStart"/>
        <w:r w:rsidRPr="007A5FED">
          <w:rPr>
            <w:rStyle w:val="Hyperlnk"/>
            <w:sz w:val="20"/>
            <w:szCs w:val="20"/>
          </w:rPr>
          <w:t>Alcoholic</w:t>
        </w:r>
        <w:proofErr w:type="spellEnd"/>
        <w:r w:rsidRPr="007A5FED">
          <w:rPr>
            <w:rStyle w:val="Hyperlnk"/>
            <w:sz w:val="20"/>
            <w:szCs w:val="20"/>
          </w:rPr>
          <w:t xml:space="preserve"> </w:t>
        </w:r>
        <w:proofErr w:type="spellStart"/>
        <w:r w:rsidRPr="007A5FED">
          <w:rPr>
            <w:rStyle w:val="Hyperlnk"/>
            <w:sz w:val="20"/>
            <w:szCs w:val="20"/>
          </w:rPr>
          <w:t>Fatty</w:t>
        </w:r>
        <w:proofErr w:type="spellEnd"/>
        <w:r w:rsidRPr="007A5FED">
          <w:rPr>
            <w:rStyle w:val="Hyperlnk"/>
            <w:sz w:val="20"/>
            <w:szCs w:val="20"/>
          </w:rPr>
          <w:t xml:space="preserve"> Liver Disease (NAFLD) och Non </w:t>
        </w:r>
        <w:proofErr w:type="spellStart"/>
        <w:r w:rsidRPr="007A5FED">
          <w:rPr>
            <w:rStyle w:val="Hyperlnk"/>
            <w:sz w:val="20"/>
            <w:szCs w:val="20"/>
          </w:rPr>
          <w:t>Alcoholic</w:t>
        </w:r>
        <w:proofErr w:type="spellEnd"/>
        <w:r w:rsidRPr="007A5FED">
          <w:rPr>
            <w:rStyle w:val="Hyperlnk"/>
            <w:sz w:val="20"/>
            <w:szCs w:val="20"/>
          </w:rPr>
          <w:t xml:space="preserve"> </w:t>
        </w:r>
        <w:proofErr w:type="spellStart"/>
        <w:r w:rsidRPr="007A5FED">
          <w:rPr>
            <w:rStyle w:val="Hyperlnk"/>
            <w:sz w:val="20"/>
            <w:szCs w:val="20"/>
          </w:rPr>
          <w:t>Steatohepatitis</w:t>
        </w:r>
        <w:proofErr w:type="spellEnd"/>
        <w:r w:rsidRPr="007A5FED">
          <w:rPr>
            <w:rStyle w:val="Hyperlnk"/>
            <w:sz w:val="20"/>
            <w:szCs w:val="20"/>
          </w:rPr>
          <w:t xml:space="preserve"> (NASH), vuxna - Internetmedicin</w:t>
        </w:r>
      </w:hyperlink>
    </w:p>
    <w:p w:rsidR="00114F41" w:rsidP="3C07405A" w:rsidRDefault="00D84C18" w14:paraId="254B6043" w14:textId="2AAD4ECE">
      <w:pPr>
        <w:pStyle w:val="Normal"/>
        <w:spacing w:line="240" w:lineRule="auto"/>
        <w:ind w:left="567" w:right="-2"/>
        <w:rPr>
          <w:rFonts w:ascii="Times New Roman" w:hAnsi="Times New Roman" w:eastAsia="Times New Roman" w:cs="Times New Roman"/>
          <w:noProof w:val="0"/>
          <w:sz w:val="24"/>
          <w:szCs w:val="24"/>
          <w:lang w:val="sv-SE"/>
        </w:rPr>
      </w:pPr>
      <w:r w:rsidR="00D84C18">
        <w:rPr/>
        <w:t>Folkhälsomyndigheten (folkhalsomyndigheten.se)</w:t>
      </w:r>
      <w:r w:rsidR="00D84C18">
        <w:rPr/>
        <w:t xml:space="preserve"> </w:t>
      </w:r>
      <w:r w:rsidR="00D84C18">
        <w:rPr/>
        <w:t>—</w:t>
      </w:r>
      <w:r w:rsidR="00D84C18">
        <w:rPr/>
        <w:t xml:space="preserve"> </w:t>
      </w:r>
      <w:r w:rsidR="005F1E2B">
        <w:rPr/>
        <w:t>Vägledning och fördjupad information om vaccination mot covid-19</w:t>
      </w:r>
      <w:r w:rsidR="00DC31E4">
        <w:rPr/>
        <w:t xml:space="preserve">, länk html </w:t>
      </w:r>
      <w:hyperlink r:id="R9d9be652e38f443b">
        <w:r w:rsidRPr="3C07405A" w:rsidR="59D869C9">
          <w:rPr>
            <w:rStyle w:val="Hyperlnk"/>
            <w:rFonts w:ascii="Times New Roman" w:hAnsi="Times New Roman" w:eastAsia="Times New Roman" w:cs="Times New Roman"/>
            <w:noProof w:val="0"/>
            <w:sz w:val="20"/>
            <w:szCs w:val="20"/>
            <w:lang w:val="sv-SE"/>
          </w:rPr>
          <w:t>https://www.folkhalsomyndigheten.se/smittskydd-beredskap/vaccinationer/vaccinationer-i-sverige/covid-19/om-vaccination-mot-covid-19-for-personal-inom-vard-och-omsorg/vagledning-och-fordjupad-information-om-vaccination-mot-covid-19/</w:t>
        </w:r>
      </w:hyperlink>
    </w:p>
    <w:p w:rsidRPr="005F3C52" w:rsidR="00114F41" w:rsidP="3C07405A" w:rsidRDefault="00D84C18" w14:paraId="061F6279" w14:textId="07D52709">
      <w:pPr>
        <w:pStyle w:val="Normal"/>
        <w:spacing w:after="0" w:line="240" w:lineRule="auto"/>
        <w:ind w:left="567" w:right="-2"/>
      </w:pPr>
      <w:r w:rsidR="00D84C18">
        <w:rPr/>
        <w:t xml:space="preserve">Folkhälsomyndigheten (folkhalsomyndigheten.se) — </w:t>
      </w:r>
      <w:r w:rsidR="00B46BEB">
        <w:rPr/>
        <w:t>Rekommendationer om pneumokockvaccination till riskgrupper</w:t>
      </w:r>
      <w:r w:rsidR="00C46E9E">
        <w:rPr/>
        <w:t xml:space="preserve">, </w:t>
      </w:r>
      <w:r w:rsidR="00FB21A2">
        <w:rPr/>
        <w:t xml:space="preserve">länk </w:t>
      </w:r>
      <w:r w:rsidR="00D41EA1">
        <w:rPr/>
        <w:t xml:space="preserve">html </w:t>
      </w:r>
      <w:hyperlink r:id="R50be8244b36d4a57">
        <w:r w:rsidRPr="3C07405A" w:rsidR="161C3F73">
          <w:rPr>
            <w:rStyle w:val="Hyperlnk"/>
            <w:rFonts w:ascii="Times New Roman" w:hAnsi="Times New Roman" w:eastAsia="Times New Roman" w:cs="Times New Roman"/>
            <w:noProof w:val="0"/>
            <w:sz w:val="20"/>
            <w:szCs w:val="20"/>
            <w:lang w:val="sv-SE"/>
          </w:rPr>
          <w:t>https://www.folkhalsomyndigheten.se/publikationer-och-material/publikationsarkiv/r/rekommendationer-om-pneumokockvaccination-/?pub=56914</w:t>
        </w:r>
        <w:r>
          <w:br/>
        </w:r>
        <w:r>
          <w:br/>
        </w:r>
      </w:hyperlink>
      <w:r>
        <w:fldChar w:fldCharType="begin"/>
      </w:r>
      <w:r>
        <w:instrText xml:space="preserve"> HYPERLINK "https://www.folkhalsomyndigheten.se/smittskydd-beredskap/utbrott/aktuella-utbrott/covid-19/vaccination-mot-covid-19/for-personal-inom-vard-och-omsorg/for-personal-inom-halso--och-sjukvard/Vagledning-och-fordjupad-information-om-vaccination-mot-covid-19/</w:instrText>
      </w:r>
    </w:p>
    <w:p w:rsidRPr="005F3C52" w:rsidR="0005362A" w:rsidP="4A5E4C24" w:rsidRDefault="00114F41" w14:paraId="0D0B6ADF" w14:textId="7DFCC27B">
      <w:pPr>
        <w:spacing w:after="0" w:line="240" w:lineRule="auto"/>
        <w:ind w:left="0" w:right="-2" w:firstLine="567"/>
      </w:pPr>
      <w:r>
        <w:instrText xml:space="preserve">" </w:instrText>
      </w:r>
      <w:r>
        <w:fldChar w:fldCharType="separate"/>
      </w:r>
      <w:r>
        <w:fldChar w:fldCharType="end"/>
      </w:r>
      <w:r w:rsidR="00DB1165">
        <w:t xml:space="preserve">Svensk </w:t>
      </w:r>
      <w:proofErr w:type="spellStart"/>
      <w:r w:rsidR="00DB1165">
        <w:t>Barnreumatologisk</w:t>
      </w:r>
      <w:proofErr w:type="spellEnd"/>
      <w:r w:rsidR="00DB1165">
        <w:t xml:space="preserve"> </w:t>
      </w:r>
      <w:r w:rsidR="00923331">
        <w:t>förening</w:t>
      </w:r>
      <w:r w:rsidR="61473118">
        <w:t xml:space="preserve"> – </w:t>
      </w:r>
      <w:r w:rsidR="0005362A">
        <w:t>Vaccination</w:t>
      </w:r>
      <w:r w:rsidR="00923331">
        <w:t xml:space="preserve"> </w:t>
      </w:r>
      <w:r w:rsidR="0005362A">
        <w:t>av</w:t>
      </w:r>
      <w:r w:rsidR="00923331">
        <w:t xml:space="preserve"> </w:t>
      </w:r>
      <w:r w:rsidR="0005362A">
        <w:t>patient</w:t>
      </w:r>
      <w:r w:rsidR="00923331">
        <w:t xml:space="preserve"> </w:t>
      </w:r>
      <w:r w:rsidR="0005362A">
        <w:t>med</w:t>
      </w:r>
      <w:r w:rsidR="00923331">
        <w:t xml:space="preserve"> </w:t>
      </w:r>
      <w:r w:rsidR="00D069DD">
        <w:t>juvenil idiopatisk</w:t>
      </w:r>
    </w:p>
    <w:bookmarkEnd w:id="0"/>
    <w:p w:rsidR="0053723D" w:rsidP="246E21D9" w:rsidRDefault="00D069DD" w14:paraId="164D3F4D" w14:textId="054BDA05">
      <w:pPr>
        <w:spacing w:after="0" w:line="240" w:lineRule="auto"/>
        <w:ind w:left="567" w:right="-2"/>
      </w:pPr>
      <w:r>
        <w:t>artrit (JIA)</w:t>
      </w:r>
      <w:r w:rsidR="00011C68">
        <w:t xml:space="preserve"> </w:t>
      </w:r>
      <w:r w:rsidR="0005362A">
        <w:t>22-08-17</w:t>
      </w:r>
      <w:r>
        <w:t xml:space="preserve">, länk </w:t>
      </w:r>
      <w:r w:rsidR="00E351CE">
        <w:t xml:space="preserve">Word </w:t>
      </w:r>
      <w:hyperlink r:id="rId25">
        <w:r w:rsidRPr="246E21D9" w:rsidR="005F3C52">
          <w:rPr>
            <w:rStyle w:val="Hyperlnk"/>
            <w:sz w:val="20"/>
            <w:szCs w:val="20"/>
          </w:rPr>
          <w:t>Vaccination-av-patient-med-JIA-22-08-17.docx (live.com)</w:t>
        </w:r>
      </w:hyperlink>
    </w:p>
    <w:p w:rsidRPr="00536A5A" w:rsidR="0053723D" w:rsidP="3C07405A" w:rsidRDefault="0053723D" w14:paraId="5EE8EA95" w14:textId="3B538D86">
      <w:pPr>
        <w:pStyle w:val="Normal"/>
        <w:spacing w:after="0" w:line="240" w:lineRule="auto"/>
        <w:ind w:left="567" w:right="140"/>
        <w:rPr>
          <w:rFonts w:eastAsia="Arial"/>
          <w:lang w:eastAsia="en-US"/>
        </w:rPr>
      </w:pPr>
    </w:p>
    <w:sectPr w:rsidRPr="00536A5A" w:rsidR="0053723D" w:rsidSect="00E4137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333D38" w:rsidRDefault="00333D38" w14:paraId="0AB7CCDC" w14:textId="77777777">
      <w:r>
        <w:separator/>
      </w:r>
    </w:p>
  </w:endnote>
  <w:endnote w:type="continuationSeparator" w:id="0">
    <w:p w:rsidR="00333D38" w:rsidRDefault="00333D38" w14:paraId="1181EB6C" w14:textId="77777777">
      <w:r>
        <w:continuationSeparator/>
      </w:r>
    </w:p>
  </w:endnote>
  <w:endnote w:type="continuationNotice" w:id="1">
    <w:p w:rsidR="00333D38" w:rsidRDefault="00333D38" w14:paraId="3B0F07A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333D38" w:rsidRDefault="00333D38" w14:paraId="51D03DCA" w14:textId="77777777"/>
  </w:footnote>
  <w:footnote w:type="continuationSeparator" w:id="0">
    <w:p w:rsidR="00333D38" w:rsidRDefault="00333D38" w14:paraId="5FA2C4B1" w14:textId="77777777">
      <w:r>
        <w:continuationSeparator/>
      </w:r>
    </w:p>
  </w:footnote>
  <w:footnote w:type="continuationNotice" w:id="1">
    <w:p w:rsidR="00333D38" w:rsidRDefault="00333D38" w14:paraId="51F9EE6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2492C6D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3EF699BF">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objekt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797259697">
    <w:abstractNumId w:val="17"/>
  </w:num>
  <w:num w:numId="2" w16cid:durableId="628509972">
    <w:abstractNumId w:val="14"/>
  </w:num>
  <w:num w:numId="3" w16cid:durableId="1941646772">
    <w:abstractNumId w:val="0"/>
  </w:num>
  <w:num w:numId="4" w16cid:durableId="1714302160">
    <w:abstractNumId w:val="6"/>
  </w:num>
  <w:num w:numId="5" w16cid:durableId="1071659139">
    <w:abstractNumId w:val="15"/>
  </w:num>
  <w:num w:numId="6" w16cid:durableId="1100099640">
    <w:abstractNumId w:val="2"/>
  </w:num>
  <w:num w:numId="7" w16cid:durableId="2136211847">
    <w:abstractNumId w:val="11"/>
  </w:num>
  <w:num w:numId="8" w16cid:durableId="703208953">
    <w:abstractNumId w:val="8"/>
  </w:num>
  <w:num w:numId="9" w16cid:durableId="70084967">
    <w:abstractNumId w:val="1"/>
  </w:num>
  <w:num w:numId="10" w16cid:durableId="698626365">
    <w:abstractNumId w:val="1"/>
  </w:num>
  <w:num w:numId="11" w16cid:durableId="294870475">
    <w:abstractNumId w:val="3"/>
  </w:num>
  <w:num w:numId="12" w16cid:durableId="77026783">
    <w:abstractNumId w:val="4"/>
  </w:num>
  <w:num w:numId="13" w16cid:durableId="1208100770">
    <w:abstractNumId w:val="13"/>
  </w:num>
  <w:num w:numId="14" w16cid:durableId="1101687203">
    <w:abstractNumId w:val="9"/>
  </w:num>
  <w:num w:numId="15" w16cid:durableId="1431970691">
    <w:abstractNumId w:val="7"/>
  </w:num>
  <w:num w:numId="16" w16cid:durableId="1500853231">
    <w:abstractNumId w:val="12"/>
  </w:num>
  <w:num w:numId="17" w16cid:durableId="1061169596">
    <w:abstractNumId w:val="5"/>
  </w:num>
  <w:num w:numId="18" w16cid:durableId="195166208">
    <w:abstractNumId w:val="10"/>
  </w:num>
  <w:num w:numId="19" w16cid:durableId="537936722">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C68"/>
    <w:rsid w:val="00016CF0"/>
    <w:rsid w:val="0002052D"/>
    <w:rsid w:val="000219E7"/>
    <w:rsid w:val="0002435C"/>
    <w:rsid w:val="00030DDD"/>
    <w:rsid w:val="000313BB"/>
    <w:rsid w:val="00032FF1"/>
    <w:rsid w:val="00033ED5"/>
    <w:rsid w:val="0004299F"/>
    <w:rsid w:val="00046EEA"/>
    <w:rsid w:val="00050500"/>
    <w:rsid w:val="000513F9"/>
    <w:rsid w:val="0005362A"/>
    <w:rsid w:val="0005691C"/>
    <w:rsid w:val="00056ECB"/>
    <w:rsid w:val="00056ED5"/>
    <w:rsid w:val="000655CC"/>
    <w:rsid w:val="00066234"/>
    <w:rsid w:val="000700AE"/>
    <w:rsid w:val="00084024"/>
    <w:rsid w:val="00087E3E"/>
    <w:rsid w:val="0009062C"/>
    <w:rsid w:val="00095368"/>
    <w:rsid w:val="000954C4"/>
    <w:rsid w:val="000A3C2D"/>
    <w:rsid w:val="000A4C35"/>
    <w:rsid w:val="000A6007"/>
    <w:rsid w:val="000A611A"/>
    <w:rsid w:val="000B0BEA"/>
    <w:rsid w:val="000B12D9"/>
    <w:rsid w:val="000B4536"/>
    <w:rsid w:val="000B7715"/>
    <w:rsid w:val="000C2411"/>
    <w:rsid w:val="000D3B4E"/>
    <w:rsid w:val="000E281B"/>
    <w:rsid w:val="000E463B"/>
    <w:rsid w:val="000E5A7E"/>
    <w:rsid w:val="000F1083"/>
    <w:rsid w:val="000F43A3"/>
    <w:rsid w:val="000F7681"/>
    <w:rsid w:val="00103031"/>
    <w:rsid w:val="001044FE"/>
    <w:rsid w:val="00104A64"/>
    <w:rsid w:val="001104D1"/>
    <w:rsid w:val="00111C7C"/>
    <w:rsid w:val="00113970"/>
    <w:rsid w:val="001139D4"/>
    <w:rsid w:val="00114F41"/>
    <w:rsid w:val="00127F2B"/>
    <w:rsid w:val="00131B08"/>
    <w:rsid w:val="0013205F"/>
    <w:rsid w:val="00132A59"/>
    <w:rsid w:val="00133337"/>
    <w:rsid w:val="00133A0F"/>
    <w:rsid w:val="0013580F"/>
    <w:rsid w:val="001363C9"/>
    <w:rsid w:val="00137B6D"/>
    <w:rsid w:val="0014070B"/>
    <w:rsid w:val="001422C1"/>
    <w:rsid w:val="001448BF"/>
    <w:rsid w:val="00146685"/>
    <w:rsid w:val="001522AE"/>
    <w:rsid w:val="00157D5B"/>
    <w:rsid w:val="00161FE6"/>
    <w:rsid w:val="001647EA"/>
    <w:rsid w:val="00164C3D"/>
    <w:rsid w:val="00166D3A"/>
    <w:rsid w:val="00167445"/>
    <w:rsid w:val="00181FDC"/>
    <w:rsid w:val="00182230"/>
    <w:rsid w:val="001860B9"/>
    <w:rsid w:val="00186F2B"/>
    <w:rsid w:val="001874D6"/>
    <w:rsid w:val="00191DCC"/>
    <w:rsid w:val="00195FA8"/>
    <w:rsid w:val="0019632A"/>
    <w:rsid w:val="001A0F1F"/>
    <w:rsid w:val="001A3A30"/>
    <w:rsid w:val="001A3B89"/>
    <w:rsid w:val="001A4E7C"/>
    <w:rsid w:val="001B4DDD"/>
    <w:rsid w:val="001B6F85"/>
    <w:rsid w:val="001B762C"/>
    <w:rsid w:val="001C0464"/>
    <w:rsid w:val="001C4D0A"/>
    <w:rsid w:val="001C5FEF"/>
    <w:rsid w:val="001C6BC4"/>
    <w:rsid w:val="001C7BAD"/>
    <w:rsid w:val="001D389D"/>
    <w:rsid w:val="001D7B77"/>
    <w:rsid w:val="001F3BBB"/>
    <w:rsid w:val="001F4A15"/>
    <w:rsid w:val="00205D18"/>
    <w:rsid w:val="0020618B"/>
    <w:rsid w:val="0020778B"/>
    <w:rsid w:val="00207BC4"/>
    <w:rsid w:val="00211487"/>
    <w:rsid w:val="00211D91"/>
    <w:rsid w:val="00217DEC"/>
    <w:rsid w:val="00222FCF"/>
    <w:rsid w:val="002341FA"/>
    <w:rsid w:val="00235B57"/>
    <w:rsid w:val="00250E6C"/>
    <w:rsid w:val="00250F24"/>
    <w:rsid w:val="002523C5"/>
    <w:rsid w:val="002531E7"/>
    <w:rsid w:val="0025380B"/>
    <w:rsid w:val="00254971"/>
    <w:rsid w:val="0025703A"/>
    <w:rsid w:val="00262589"/>
    <w:rsid w:val="00262F3D"/>
    <w:rsid w:val="00263281"/>
    <w:rsid w:val="00263A28"/>
    <w:rsid w:val="002651D6"/>
    <w:rsid w:val="0026551F"/>
    <w:rsid w:val="00273AA4"/>
    <w:rsid w:val="00280A85"/>
    <w:rsid w:val="00284119"/>
    <w:rsid w:val="00285156"/>
    <w:rsid w:val="00290B5C"/>
    <w:rsid w:val="00291A0D"/>
    <w:rsid w:val="00294791"/>
    <w:rsid w:val="002A4E2B"/>
    <w:rsid w:val="002A7AB2"/>
    <w:rsid w:val="002B0B30"/>
    <w:rsid w:val="002B0C78"/>
    <w:rsid w:val="002C0C02"/>
    <w:rsid w:val="002C1277"/>
    <w:rsid w:val="002C60AD"/>
    <w:rsid w:val="002C6610"/>
    <w:rsid w:val="002C6636"/>
    <w:rsid w:val="002D0E0E"/>
    <w:rsid w:val="002D4071"/>
    <w:rsid w:val="002D6023"/>
    <w:rsid w:val="002E263F"/>
    <w:rsid w:val="002E4A50"/>
    <w:rsid w:val="002E6F81"/>
    <w:rsid w:val="002F08BA"/>
    <w:rsid w:val="002F2CFF"/>
    <w:rsid w:val="002F568B"/>
    <w:rsid w:val="002F7818"/>
    <w:rsid w:val="00300CFA"/>
    <w:rsid w:val="00301799"/>
    <w:rsid w:val="00301982"/>
    <w:rsid w:val="00303744"/>
    <w:rsid w:val="00304355"/>
    <w:rsid w:val="003066D0"/>
    <w:rsid w:val="00307BCB"/>
    <w:rsid w:val="00311401"/>
    <w:rsid w:val="003203D7"/>
    <w:rsid w:val="00320F86"/>
    <w:rsid w:val="00324171"/>
    <w:rsid w:val="00326C24"/>
    <w:rsid w:val="003275E8"/>
    <w:rsid w:val="00333D38"/>
    <w:rsid w:val="00337F99"/>
    <w:rsid w:val="0034307B"/>
    <w:rsid w:val="00345391"/>
    <w:rsid w:val="00345EB1"/>
    <w:rsid w:val="003476C0"/>
    <w:rsid w:val="00350CC4"/>
    <w:rsid w:val="00360191"/>
    <w:rsid w:val="00360E0D"/>
    <w:rsid w:val="0036357D"/>
    <w:rsid w:val="00363B23"/>
    <w:rsid w:val="0036594C"/>
    <w:rsid w:val="00367D19"/>
    <w:rsid w:val="00367F5B"/>
    <w:rsid w:val="00371BED"/>
    <w:rsid w:val="00374490"/>
    <w:rsid w:val="00384019"/>
    <w:rsid w:val="003854F1"/>
    <w:rsid w:val="0039118E"/>
    <w:rsid w:val="00391199"/>
    <w:rsid w:val="00397ADB"/>
    <w:rsid w:val="00397F54"/>
    <w:rsid w:val="003A0D43"/>
    <w:rsid w:val="003A339D"/>
    <w:rsid w:val="003A3D0E"/>
    <w:rsid w:val="003A7618"/>
    <w:rsid w:val="003B2A4B"/>
    <w:rsid w:val="003B54A4"/>
    <w:rsid w:val="003C5D0C"/>
    <w:rsid w:val="003D099E"/>
    <w:rsid w:val="003D21A2"/>
    <w:rsid w:val="003D29D2"/>
    <w:rsid w:val="003E0705"/>
    <w:rsid w:val="003E2104"/>
    <w:rsid w:val="003E22F9"/>
    <w:rsid w:val="003E2FF7"/>
    <w:rsid w:val="003E58D1"/>
    <w:rsid w:val="003F048D"/>
    <w:rsid w:val="003F1013"/>
    <w:rsid w:val="003F1ACF"/>
    <w:rsid w:val="00404948"/>
    <w:rsid w:val="00406BEA"/>
    <w:rsid w:val="00413A60"/>
    <w:rsid w:val="004230F7"/>
    <w:rsid w:val="0043167E"/>
    <w:rsid w:val="0043409A"/>
    <w:rsid w:val="00443C1E"/>
    <w:rsid w:val="00446255"/>
    <w:rsid w:val="00451935"/>
    <w:rsid w:val="0045594E"/>
    <w:rsid w:val="00460ED0"/>
    <w:rsid w:val="00461D0F"/>
    <w:rsid w:val="00465651"/>
    <w:rsid w:val="00467622"/>
    <w:rsid w:val="00470968"/>
    <w:rsid w:val="00470CE7"/>
    <w:rsid w:val="00470F4F"/>
    <w:rsid w:val="00472482"/>
    <w:rsid w:val="00480DC7"/>
    <w:rsid w:val="004876F6"/>
    <w:rsid w:val="0049135A"/>
    <w:rsid w:val="0049236A"/>
    <w:rsid w:val="00492718"/>
    <w:rsid w:val="004A1333"/>
    <w:rsid w:val="004A355D"/>
    <w:rsid w:val="004A4970"/>
    <w:rsid w:val="004A693B"/>
    <w:rsid w:val="004B2183"/>
    <w:rsid w:val="004B2A01"/>
    <w:rsid w:val="004C2559"/>
    <w:rsid w:val="004C414F"/>
    <w:rsid w:val="004CB6F8"/>
    <w:rsid w:val="004D7BA3"/>
    <w:rsid w:val="004F0C8B"/>
    <w:rsid w:val="004F4518"/>
    <w:rsid w:val="004F4C62"/>
    <w:rsid w:val="00501433"/>
    <w:rsid w:val="00502713"/>
    <w:rsid w:val="0050687A"/>
    <w:rsid w:val="00511CC4"/>
    <w:rsid w:val="00531E60"/>
    <w:rsid w:val="005354C8"/>
    <w:rsid w:val="00536A5A"/>
    <w:rsid w:val="00536C52"/>
    <w:rsid w:val="0053723D"/>
    <w:rsid w:val="00541D07"/>
    <w:rsid w:val="00544BAB"/>
    <w:rsid w:val="00545F31"/>
    <w:rsid w:val="00546BA9"/>
    <w:rsid w:val="00547355"/>
    <w:rsid w:val="005519D0"/>
    <w:rsid w:val="005578FA"/>
    <w:rsid w:val="00565129"/>
    <w:rsid w:val="00565CD0"/>
    <w:rsid w:val="00567820"/>
    <w:rsid w:val="005770AD"/>
    <w:rsid w:val="00581414"/>
    <w:rsid w:val="00582490"/>
    <w:rsid w:val="005826FA"/>
    <w:rsid w:val="00597E28"/>
    <w:rsid w:val="005A149C"/>
    <w:rsid w:val="005A2E3B"/>
    <w:rsid w:val="005A3043"/>
    <w:rsid w:val="005A3539"/>
    <w:rsid w:val="005A54ED"/>
    <w:rsid w:val="005A5D5B"/>
    <w:rsid w:val="005A6081"/>
    <w:rsid w:val="005A627D"/>
    <w:rsid w:val="005C0045"/>
    <w:rsid w:val="005C084E"/>
    <w:rsid w:val="005C3921"/>
    <w:rsid w:val="005C42A4"/>
    <w:rsid w:val="005C4606"/>
    <w:rsid w:val="005C6C56"/>
    <w:rsid w:val="005D0B0C"/>
    <w:rsid w:val="005D2CCE"/>
    <w:rsid w:val="005E02B3"/>
    <w:rsid w:val="005E1E24"/>
    <w:rsid w:val="005E23DD"/>
    <w:rsid w:val="005E3A3B"/>
    <w:rsid w:val="005E681F"/>
    <w:rsid w:val="005F1E2B"/>
    <w:rsid w:val="005F36CE"/>
    <w:rsid w:val="005F3C52"/>
    <w:rsid w:val="005F57D8"/>
    <w:rsid w:val="005F5B37"/>
    <w:rsid w:val="006056EA"/>
    <w:rsid w:val="0060596B"/>
    <w:rsid w:val="00606D97"/>
    <w:rsid w:val="00614E64"/>
    <w:rsid w:val="00617710"/>
    <w:rsid w:val="00617EE6"/>
    <w:rsid w:val="0062184C"/>
    <w:rsid w:val="00621EB2"/>
    <w:rsid w:val="00621F5D"/>
    <w:rsid w:val="00622D38"/>
    <w:rsid w:val="00623724"/>
    <w:rsid w:val="00627BEA"/>
    <w:rsid w:val="006319DB"/>
    <w:rsid w:val="00633C5E"/>
    <w:rsid w:val="00635F34"/>
    <w:rsid w:val="0063743C"/>
    <w:rsid w:val="00642E35"/>
    <w:rsid w:val="00651FC9"/>
    <w:rsid w:val="0065595B"/>
    <w:rsid w:val="00656AFD"/>
    <w:rsid w:val="00660269"/>
    <w:rsid w:val="00665F89"/>
    <w:rsid w:val="00671ACE"/>
    <w:rsid w:val="00673C92"/>
    <w:rsid w:val="00674011"/>
    <w:rsid w:val="00674CCA"/>
    <w:rsid w:val="006753EC"/>
    <w:rsid w:val="00677E8D"/>
    <w:rsid w:val="006808A3"/>
    <w:rsid w:val="0069715C"/>
    <w:rsid w:val="00697BB9"/>
    <w:rsid w:val="006A2789"/>
    <w:rsid w:val="006A4978"/>
    <w:rsid w:val="006A6762"/>
    <w:rsid w:val="006A7261"/>
    <w:rsid w:val="006B0D29"/>
    <w:rsid w:val="006B1819"/>
    <w:rsid w:val="006B19DE"/>
    <w:rsid w:val="006B5DE7"/>
    <w:rsid w:val="006B7BD4"/>
    <w:rsid w:val="006C3E7F"/>
    <w:rsid w:val="006C3F13"/>
    <w:rsid w:val="006C5048"/>
    <w:rsid w:val="006C6A4B"/>
    <w:rsid w:val="006C779F"/>
    <w:rsid w:val="006D01F5"/>
    <w:rsid w:val="006D0CFB"/>
    <w:rsid w:val="006D0DF8"/>
    <w:rsid w:val="006D30C0"/>
    <w:rsid w:val="006D5AE9"/>
    <w:rsid w:val="006D7535"/>
    <w:rsid w:val="006E1411"/>
    <w:rsid w:val="006E450B"/>
    <w:rsid w:val="006F0D7E"/>
    <w:rsid w:val="006F3FB4"/>
    <w:rsid w:val="00705A96"/>
    <w:rsid w:val="00710B77"/>
    <w:rsid w:val="00712C9A"/>
    <w:rsid w:val="0072075B"/>
    <w:rsid w:val="007221C2"/>
    <w:rsid w:val="00725816"/>
    <w:rsid w:val="00727F49"/>
    <w:rsid w:val="00730955"/>
    <w:rsid w:val="00732849"/>
    <w:rsid w:val="00732D70"/>
    <w:rsid w:val="00733A9C"/>
    <w:rsid w:val="00736574"/>
    <w:rsid w:val="007367E0"/>
    <w:rsid w:val="00737215"/>
    <w:rsid w:val="0075265F"/>
    <w:rsid w:val="00754905"/>
    <w:rsid w:val="00760038"/>
    <w:rsid w:val="00761FC3"/>
    <w:rsid w:val="00762EE0"/>
    <w:rsid w:val="007638C4"/>
    <w:rsid w:val="00765C41"/>
    <w:rsid w:val="00771100"/>
    <w:rsid w:val="007759DD"/>
    <w:rsid w:val="0078261C"/>
    <w:rsid w:val="0078609F"/>
    <w:rsid w:val="007864A4"/>
    <w:rsid w:val="007917BA"/>
    <w:rsid w:val="007A0088"/>
    <w:rsid w:val="007A5518"/>
    <w:rsid w:val="007A5C6F"/>
    <w:rsid w:val="007A5FED"/>
    <w:rsid w:val="007B3533"/>
    <w:rsid w:val="007B7882"/>
    <w:rsid w:val="007C434F"/>
    <w:rsid w:val="007D4241"/>
    <w:rsid w:val="007D4317"/>
    <w:rsid w:val="007D4EA3"/>
    <w:rsid w:val="007E1E81"/>
    <w:rsid w:val="007F1CFF"/>
    <w:rsid w:val="007F5DD5"/>
    <w:rsid w:val="007F7AD3"/>
    <w:rsid w:val="00806A15"/>
    <w:rsid w:val="008134B5"/>
    <w:rsid w:val="00821A1B"/>
    <w:rsid w:val="008262E9"/>
    <w:rsid w:val="008270B9"/>
    <w:rsid w:val="00827DEF"/>
    <w:rsid w:val="00827E69"/>
    <w:rsid w:val="008352AF"/>
    <w:rsid w:val="008354F5"/>
    <w:rsid w:val="00835C4D"/>
    <w:rsid w:val="008368E3"/>
    <w:rsid w:val="00836F20"/>
    <w:rsid w:val="00843F48"/>
    <w:rsid w:val="00851423"/>
    <w:rsid w:val="00857848"/>
    <w:rsid w:val="008654B6"/>
    <w:rsid w:val="00865FC7"/>
    <w:rsid w:val="0087139C"/>
    <w:rsid w:val="00880E83"/>
    <w:rsid w:val="0088771F"/>
    <w:rsid w:val="00892F28"/>
    <w:rsid w:val="008A0C5F"/>
    <w:rsid w:val="008A3DEA"/>
    <w:rsid w:val="008A4EB9"/>
    <w:rsid w:val="008A6B6A"/>
    <w:rsid w:val="008A74C0"/>
    <w:rsid w:val="008B1694"/>
    <w:rsid w:val="008C4B27"/>
    <w:rsid w:val="008C7F2A"/>
    <w:rsid w:val="008D01B4"/>
    <w:rsid w:val="008D7D27"/>
    <w:rsid w:val="008E36F8"/>
    <w:rsid w:val="008E46B2"/>
    <w:rsid w:val="008E682C"/>
    <w:rsid w:val="008E78A1"/>
    <w:rsid w:val="008F589F"/>
    <w:rsid w:val="00903C5B"/>
    <w:rsid w:val="00906238"/>
    <w:rsid w:val="00907EF9"/>
    <w:rsid w:val="00911667"/>
    <w:rsid w:val="00911D5B"/>
    <w:rsid w:val="0091295C"/>
    <w:rsid w:val="00914D58"/>
    <w:rsid w:val="00921B8C"/>
    <w:rsid w:val="00921F47"/>
    <w:rsid w:val="009228AB"/>
    <w:rsid w:val="00922E89"/>
    <w:rsid w:val="00923331"/>
    <w:rsid w:val="0093085B"/>
    <w:rsid w:val="00931446"/>
    <w:rsid w:val="00931C57"/>
    <w:rsid w:val="00932EBE"/>
    <w:rsid w:val="009347A5"/>
    <w:rsid w:val="00942257"/>
    <w:rsid w:val="009471BF"/>
    <w:rsid w:val="00950E4E"/>
    <w:rsid w:val="009529BD"/>
    <w:rsid w:val="009533B4"/>
    <w:rsid w:val="009558BD"/>
    <w:rsid w:val="00971D93"/>
    <w:rsid w:val="00975C50"/>
    <w:rsid w:val="00986879"/>
    <w:rsid w:val="009A13FD"/>
    <w:rsid w:val="009B1F6B"/>
    <w:rsid w:val="009B54F2"/>
    <w:rsid w:val="009C0D12"/>
    <w:rsid w:val="009C14D2"/>
    <w:rsid w:val="009C192E"/>
    <w:rsid w:val="009C5723"/>
    <w:rsid w:val="009D6819"/>
    <w:rsid w:val="009D6D1C"/>
    <w:rsid w:val="009E0CF9"/>
    <w:rsid w:val="009E531B"/>
    <w:rsid w:val="009E6C56"/>
    <w:rsid w:val="009E7764"/>
    <w:rsid w:val="009E7DCF"/>
    <w:rsid w:val="009F4A56"/>
    <w:rsid w:val="009F4E65"/>
    <w:rsid w:val="009F4F27"/>
    <w:rsid w:val="009F6EE4"/>
    <w:rsid w:val="00A003B3"/>
    <w:rsid w:val="00A006A5"/>
    <w:rsid w:val="00A05942"/>
    <w:rsid w:val="00A07BEC"/>
    <w:rsid w:val="00A13A48"/>
    <w:rsid w:val="00A23A43"/>
    <w:rsid w:val="00A264BE"/>
    <w:rsid w:val="00A272CA"/>
    <w:rsid w:val="00A33051"/>
    <w:rsid w:val="00A369A1"/>
    <w:rsid w:val="00A407AD"/>
    <w:rsid w:val="00A40923"/>
    <w:rsid w:val="00A41C05"/>
    <w:rsid w:val="00A42426"/>
    <w:rsid w:val="00A42787"/>
    <w:rsid w:val="00A510EC"/>
    <w:rsid w:val="00A514B7"/>
    <w:rsid w:val="00A54A0B"/>
    <w:rsid w:val="00A55DDC"/>
    <w:rsid w:val="00A603A4"/>
    <w:rsid w:val="00A62992"/>
    <w:rsid w:val="00A64BDA"/>
    <w:rsid w:val="00A65FD4"/>
    <w:rsid w:val="00A76299"/>
    <w:rsid w:val="00A81198"/>
    <w:rsid w:val="00A81E48"/>
    <w:rsid w:val="00A82035"/>
    <w:rsid w:val="00A85DBA"/>
    <w:rsid w:val="00A8691E"/>
    <w:rsid w:val="00A90D77"/>
    <w:rsid w:val="00A92459"/>
    <w:rsid w:val="00A92E07"/>
    <w:rsid w:val="00A96803"/>
    <w:rsid w:val="00AA0B3A"/>
    <w:rsid w:val="00AA3A65"/>
    <w:rsid w:val="00AA6EB4"/>
    <w:rsid w:val="00AA767D"/>
    <w:rsid w:val="00AB0B0C"/>
    <w:rsid w:val="00AB0CC9"/>
    <w:rsid w:val="00AC3FF6"/>
    <w:rsid w:val="00AC6A58"/>
    <w:rsid w:val="00AD73EC"/>
    <w:rsid w:val="00AE5BC7"/>
    <w:rsid w:val="00AF09FD"/>
    <w:rsid w:val="00AF5AAF"/>
    <w:rsid w:val="00B02E45"/>
    <w:rsid w:val="00B046D8"/>
    <w:rsid w:val="00B13F4C"/>
    <w:rsid w:val="00B14216"/>
    <w:rsid w:val="00B16219"/>
    <w:rsid w:val="00B16C59"/>
    <w:rsid w:val="00B336EB"/>
    <w:rsid w:val="00B33FDD"/>
    <w:rsid w:val="00B359CC"/>
    <w:rsid w:val="00B36107"/>
    <w:rsid w:val="00B36CDB"/>
    <w:rsid w:val="00B41025"/>
    <w:rsid w:val="00B41789"/>
    <w:rsid w:val="00B46BEB"/>
    <w:rsid w:val="00B46C03"/>
    <w:rsid w:val="00B46E90"/>
    <w:rsid w:val="00B5324E"/>
    <w:rsid w:val="00B60C6C"/>
    <w:rsid w:val="00B619A9"/>
    <w:rsid w:val="00B65A9D"/>
    <w:rsid w:val="00B66D60"/>
    <w:rsid w:val="00B67462"/>
    <w:rsid w:val="00B70B5A"/>
    <w:rsid w:val="00B75EDE"/>
    <w:rsid w:val="00B76D48"/>
    <w:rsid w:val="00B77D88"/>
    <w:rsid w:val="00B77FAF"/>
    <w:rsid w:val="00B812BD"/>
    <w:rsid w:val="00B84336"/>
    <w:rsid w:val="00B851B9"/>
    <w:rsid w:val="00B86453"/>
    <w:rsid w:val="00B8C398"/>
    <w:rsid w:val="00B90054"/>
    <w:rsid w:val="00B91845"/>
    <w:rsid w:val="00B92C14"/>
    <w:rsid w:val="00BA0066"/>
    <w:rsid w:val="00BA50D1"/>
    <w:rsid w:val="00BB0774"/>
    <w:rsid w:val="00BB69DB"/>
    <w:rsid w:val="00BC322E"/>
    <w:rsid w:val="00BC40CC"/>
    <w:rsid w:val="00BC44CD"/>
    <w:rsid w:val="00BC48A6"/>
    <w:rsid w:val="00BE7978"/>
    <w:rsid w:val="00C065C3"/>
    <w:rsid w:val="00C07DDB"/>
    <w:rsid w:val="00C23056"/>
    <w:rsid w:val="00C4115D"/>
    <w:rsid w:val="00C43BDD"/>
    <w:rsid w:val="00C46E9E"/>
    <w:rsid w:val="00C4768A"/>
    <w:rsid w:val="00C47778"/>
    <w:rsid w:val="00C5011E"/>
    <w:rsid w:val="00C50EE5"/>
    <w:rsid w:val="00C5240A"/>
    <w:rsid w:val="00C5398F"/>
    <w:rsid w:val="00C556F5"/>
    <w:rsid w:val="00C64524"/>
    <w:rsid w:val="00C65341"/>
    <w:rsid w:val="00C70E19"/>
    <w:rsid w:val="00C71709"/>
    <w:rsid w:val="00C717FF"/>
    <w:rsid w:val="00C71E3D"/>
    <w:rsid w:val="00C72574"/>
    <w:rsid w:val="00C7430C"/>
    <w:rsid w:val="00C85DA1"/>
    <w:rsid w:val="00C9071C"/>
    <w:rsid w:val="00C908FF"/>
    <w:rsid w:val="00C90CEE"/>
    <w:rsid w:val="00C95CCE"/>
    <w:rsid w:val="00C97BD3"/>
    <w:rsid w:val="00CA39EF"/>
    <w:rsid w:val="00CA521F"/>
    <w:rsid w:val="00CA56C2"/>
    <w:rsid w:val="00CA73DD"/>
    <w:rsid w:val="00CB02C7"/>
    <w:rsid w:val="00CB0493"/>
    <w:rsid w:val="00CB17FF"/>
    <w:rsid w:val="00CB1ED7"/>
    <w:rsid w:val="00CC0870"/>
    <w:rsid w:val="00CC167C"/>
    <w:rsid w:val="00CC267D"/>
    <w:rsid w:val="00CC52D9"/>
    <w:rsid w:val="00CD11CE"/>
    <w:rsid w:val="00CD2EC5"/>
    <w:rsid w:val="00CD6647"/>
    <w:rsid w:val="00CE363C"/>
    <w:rsid w:val="00CE4B73"/>
    <w:rsid w:val="00CF466C"/>
    <w:rsid w:val="00CF70BB"/>
    <w:rsid w:val="00D024A6"/>
    <w:rsid w:val="00D069DD"/>
    <w:rsid w:val="00D074DB"/>
    <w:rsid w:val="00D139CF"/>
    <w:rsid w:val="00D23BE5"/>
    <w:rsid w:val="00D334A9"/>
    <w:rsid w:val="00D35B71"/>
    <w:rsid w:val="00D37E7F"/>
    <w:rsid w:val="00D41EA1"/>
    <w:rsid w:val="00D41F7E"/>
    <w:rsid w:val="00D47AD7"/>
    <w:rsid w:val="00D51529"/>
    <w:rsid w:val="00D55A11"/>
    <w:rsid w:val="00D5650B"/>
    <w:rsid w:val="00D62240"/>
    <w:rsid w:val="00D653B9"/>
    <w:rsid w:val="00D66351"/>
    <w:rsid w:val="00D76547"/>
    <w:rsid w:val="00D84C18"/>
    <w:rsid w:val="00D85218"/>
    <w:rsid w:val="00D915B1"/>
    <w:rsid w:val="00DA299D"/>
    <w:rsid w:val="00DA65C4"/>
    <w:rsid w:val="00DB05F2"/>
    <w:rsid w:val="00DB1165"/>
    <w:rsid w:val="00DB249F"/>
    <w:rsid w:val="00DB7786"/>
    <w:rsid w:val="00DBBCFB"/>
    <w:rsid w:val="00DC31E4"/>
    <w:rsid w:val="00DD2BE0"/>
    <w:rsid w:val="00DD3568"/>
    <w:rsid w:val="00DD6394"/>
    <w:rsid w:val="00DE4447"/>
    <w:rsid w:val="00DE5DA2"/>
    <w:rsid w:val="00DE6C36"/>
    <w:rsid w:val="00DF0033"/>
    <w:rsid w:val="00DF058D"/>
    <w:rsid w:val="00DF2F5E"/>
    <w:rsid w:val="00DF3650"/>
    <w:rsid w:val="00E026BF"/>
    <w:rsid w:val="00E07B1B"/>
    <w:rsid w:val="00E11853"/>
    <w:rsid w:val="00E319F8"/>
    <w:rsid w:val="00E351CE"/>
    <w:rsid w:val="00E35D77"/>
    <w:rsid w:val="00E3780D"/>
    <w:rsid w:val="00E41377"/>
    <w:rsid w:val="00E52A86"/>
    <w:rsid w:val="00E54B47"/>
    <w:rsid w:val="00E553BF"/>
    <w:rsid w:val="00E559CB"/>
    <w:rsid w:val="00E55D93"/>
    <w:rsid w:val="00E56FB1"/>
    <w:rsid w:val="00E61294"/>
    <w:rsid w:val="00E6738B"/>
    <w:rsid w:val="00E67BFC"/>
    <w:rsid w:val="00E7237C"/>
    <w:rsid w:val="00E768A8"/>
    <w:rsid w:val="00E77C46"/>
    <w:rsid w:val="00E816C8"/>
    <w:rsid w:val="00E85317"/>
    <w:rsid w:val="00E86CE8"/>
    <w:rsid w:val="00E90E82"/>
    <w:rsid w:val="00E90F2C"/>
    <w:rsid w:val="00E96AEC"/>
    <w:rsid w:val="00EA00CB"/>
    <w:rsid w:val="00EA0889"/>
    <w:rsid w:val="00EA1BAA"/>
    <w:rsid w:val="00EA3FCD"/>
    <w:rsid w:val="00EA42A0"/>
    <w:rsid w:val="00EB6714"/>
    <w:rsid w:val="00EC0A68"/>
    <w:rsid w:val="00EC5006"/>
    <w:rsid w:val="00EC775F"/>
    <w:rsid w:val="00EC7B8C"/>
    <w:rsid w:val="00ED0904"/>
    <w:rsid w:val="00ED41A4"/>
    <w:rsid w:val="00ED49C3"/>
    <w:rsid w:val="00ED6A7C"/>
    <w:rsid w:val="00ED6CE8"/>
    <w:rsid w:val="00ED7AA6"/>
    <w:rsid w:val="00ED7AD5"/>
    <w:rsid w:val="00EE22DE"/>
    <w:rsid w:val="00EE2A56"/>
    <w:rsid w:val="00EE3818"/>
    <w:rsid w:val="00EF321A"/>
    <w:rsid w:val="00F10A83"/>
    <w:rsid w:val="00F16A4C"/>
    <w:rsid w:val="00F1795C"/>
    <w:rsid w:val="00F21CF7"/>
    <w:rsid w:val="00F22264"/>
    <w:rsid w:val="00F223F3"/>
    <w:rsid w:val="00F2564D"/>
    <w:rsid w:val="00F3427B"/>
    <w:rsid w:val="00F35B05"/>
    <w:rsid w:val="00F36576"/>
    <w:rsid w:val="00F413D9"/>
    <w:rsid w:val="00F43201"/>
    <w:rsid w:val="00F5135F"/>
    <w:rsid w:val="00F51F78"/>
    <w:rsid w:val="00F52677"/>
    <w:rsid w:val="00F54EA0"/>
    <w:rsid w:val="00F601B2"/>
    <w:rsid w:val="00F614E6"/>
    <w:rsid w:val="00F86F47"/>
    <w:rsid w:val="00F90B64"/>
    <w:rsid w:val="00FA108A"/>
    <w:rsid w:val="00FA228F"/>
    <w:rsid w:val="00FA2A0A"/>
    <w:rsid w:val="00FA2CC6"/>
    <w:rsid w:val="00FB2173"/>
    <w:rsid w:val="00FB21A2"/>
    <w:rsid w:val="00FB27D8"/>
    <w:rsid w:val="00FB2F0F"/>
    <w:rsid w:val="00FB5086"/>
    <w:rsid w:val="00FB5411"/>
    <w:rsid w:val="00FB6392"/>
    <w:rsid w:val="00FB7BAA"/>
    <w:rsid w:val="00FC271D"/>
    <w:rsid w:val="00FC78B4"/>
    <w:rsid w:val="00FD3C70"/>
    <w:rsid w:val="00FD6820"/>
    <w:rsid w:val="00FE0BEA"/>
    <w:rsid w:val="00FE12D8"/>
    <w:rsid w:val="00FF2468"/>
    <w:rsid w:val="00FF7C02"/>
    <w:rsid w:val="02145337"/>
    <w:rsid w:val="024801E3"/>
    <w:rsid w:val="043370A5"/>
    <w:rsid w:val="046CFD20"/>
    <w:rsid w:val="047441A2"/>
    <w:rsid w:val="05ADA380"/>
    <w:rsid w:val="061EA677"/>
    <w:rsid w:val="06985B96"/>
    <w:rsid w:val="06B438FB"/>
    <w:rsid w:val="06E60E7E"/>
    <w:rsid w:val="07C5EE74"/>
    <w:rsid w:val="089F73FE"/>
    <w:rsid w:val="08C17889"/>
    <w:rsid w:val="09092EA6"/>
    <w:rsid w:val="090C30F4"/>
    <w:rsid w:val="09700B3D"/>
    <w:rsid w:val="09C027CE"/>
    <w:rsid w:val="0A189F81"/>
    <w:rsid w:val="0A50D816"/>
    <w:rsid w:val="0AA2B105"/>
    <w:rsid w:val="0B82F5E4"/>
    <w:rsid w:val="0CE40D4E"/>
    <w:rsid w:val="0D8BCEA1"/>
    <w:rsid w:val="0D942BB5"/>
    <w:rsid w:val="0E0DA966"/>
    <w:rsid w:val="0E19F582"/>
    <w:rsid w:val="0E7FD0A3"/>
    <w:rsid w:val="0F5D0176"/>
    <w:rsid w:val="0F86A834"/>
    <w:rsid w:val="111A5F6F"/>
    <w:rsid w:val="118F2C07"/>
    <w:rsid w:val="12FA8D16"/>
    <w:rsid w:val="130AFE06"/>
    <w:rsid w:val="1390F7AF"/>
    <w:rsid w:val="13C00F42"/>
    <w:rsid w:val="1568436A"/>
    <w:rsid w:val="16059F68"/>
    <w:rsid w:val="161C3F73"/>
    <w:rsid w:val="17A7A883"/>
    <w:rsid w:val="189675A6"/>
    <w:rsid w:val="198BA55D"/>
    <w:rsid w:val="19A911A6"/>
    <w:rsid w:val="1AB87D11"/>
    <w:rsid w:val="1B3E4EE9"/>
    <w:rsid w:val="1B690EED"/>
    <w:rsid w:val="1BE82D3F"/>
    <w:rsid w:val="1BF8A1C1"/>
    <w:rsid w:val="1C26ACB3"/>
    <w:rsid w:val="1CB8468C"/>
    <w:rsid w:val="1DB4B721"/>
    <w:rsid w:val="1DF3C2F5"/>
    <w:rsid w:val="1ED966AC"/>
    <w:rsid w:val="202995C7"/>
    <w:rsid w:val="21988738"/>
    <w:rsid w:val="246E21D9"/>
    <w:rsid w:val="24F69289"/>
    <w:rsid w:val="28A841E9"/>
    <w:rsid w:val="2AAC68FE"/>
    <w:rsid w:val="2AC68F4F"/>
    <w:rsid w:val="2B201AFE"/>
    <w:rsid w:val="2BB20015"/>
    <w:rsid w:val="2EB33B74"/>
    <w:rsid w:val="2EC97D9F"/>
    <w:rsid w:val="2F27FCDA"/>
    <w:rsid w:val="315E6868"/>
    <w:rsid w:val="318DD383"/>
    <w:rsid w:val="3199CAD7"/>
    <w:rsid w:val="33ABD723"/>
    <w:rsid w:val="3445373F"/>
    <w:rsid w:val="3486A6B9"/>
    <w:rsid w:val="35A0C877"/>
    <w:rsid w:val="3690EBEC"/>
    <w:rsid w:val="36BE4D59"/>
    <w:rsid w:val="371FE424"/>
    <w:rsid w:val="38AD02EC"/>
    <w:rsid w:val="39E05C63"/>
    <w:rsid w:val="3A0FDD25"/>
    <w:rsid w:val="3A6CFB4F"/>
    <w:rsid w:val="3AB80FFE"/>
    <w:rsid w:val="3AC43947"/>
    <w:rsid w:val="3B077FDA"/>
    <w:rsid w:val="3B52334B"/>
    <w:rsid w:val="3BB584F6"/>
    <w:rsid w:val="3C07405A"/>
    <w:rsid w:val="3C54E974"/>
    <w:rsid w:val="3D7512E1"/>
    <w:rsid w:val="3DBC6092"/>
    <w:rsid w:val="3F4C0F6D"/>
    <w:rsid w:val="3F4FD517"/>
    <w:rsid w:val="404F5F91"/>
    <w:rsid w:val="40D2C9B0"/>
    <w:rsid w:val="40DFCD3B"/>
    <w:rsid w:val="420D022F"/>
    <w:rsid w:val="46071CC0"/>
    <w:rsid w:val="4612D4EC"/>
    <w:rsid w:val="469D9596"/>
    <w:rsid w:val="47BE90CE"/>
    <w:rsid w:val="48104F92"/>
    <w:rsid w:val="483224DF"/>
    <w:rsid w:val="483965F7"/>
    <w:rsid w:val="498DCD92"/>
    <w:rsid w:val="49E31F59"/>
    <w:rsid w:val="4A242F69"/>
    <w:rsid w:val="4A5E4C24"/>
    <w:rsid w:val="4A782B72"/>
    <w:rsid w:val="4C30DC15"/>
    <w:rsid w:val="4C35CD7E"/>
    <w:rsid w:val="4D5DDDA4"/>
    <w:rsid w:val="4E7FE408"/>
    <w:rsid w:val="4F254034"/>
    <w:rsid w:val="508F431E"/>
    <w:rsid w:val="50EF557A"/>
    <w:rsid w:val="51076CC3"/>
    <w:rsid w:val="52866C47"/>
    <w:rsid w:val="5361087C"/>
    <w:rsid w:val="5414AB79"/>
    <w:rsid w:val="54552FA4"/>
    <w:rsid w:val="5465C2FC"/>
    <w:rsid w:val="5562B441"/>
    <w:rsid w:val="559823BC"/>
    <w:rsid w:val="56A7BB4E"/>
    <w:rsid w:val="58D19808"/>
    <w:rsid w:val="5995CBFE"/>
    <w:rsid w:val="59D869C9"/>
    <w:rsid w:val="5AA8B707"/>
    <w:rsid w:val="5AF6BF5C"/>
    <w:rsid w:val="5C96B7A0"/>
    <w:rsid w:val="5CFD7E88"/>
    <w:rsid w:val="5DCB4BC9"/>
    <w:rsid w:val="5DFD957A"/>
    <w:rsid w:val="5E3C5E8D"/>
    <w:rsid w:val="5EE2D761"/>
    <w:rsid w:val="60E690B6"/>
    <w:rsid w:val="61473118"/>
    <w:rsid w:val="618A3827"/>
    <w:rsid w:val="61E56BDF"/>
    <w:rsid w:val="6300A3ED"/>
    <w:rsid w:val="638773F9"/>
    <w:rsid w:val="63A9E4C0"/>
    <w:rsid w:val="63AB5A6B"/>
    <w:rsid w:val="647B2B65"/>
    <w:rsid w:val="64A1C59D"/>
    <w:rsid w:val="64B3C4C7"/>
    <w:rsid w:val="655F1661"/>
    <w:rsid w:val="65B5267C"/>
    <w:rsid w:val="66A9073D"/>
    <w:rsid w:val="68188B36"/>
    <w:rsid w:val="68B50E44"/>
    <w:rsid w:val="6916C112"/>
    <w:rsid w:val="69E71644"/>
    <w:rsid w:val="6A254DD4"/>
    <w:rsid w:val="6B138D1C"/>
    <w:rsid w:val="6B2CF8ED"/>
    <w:rsid w:val="6BF64674"/>
    <w:rsid w:val="6DAA74E9"/>
    <w:rsid w:val="6E1A233A"/>
    <w:rsid w:val="6E403888"/>
    <w:rsid w:val="6ECF3AB9"/>
    <w:rsid w:val="704CD0D5"/>
    <w:rsid w:val="70C117A0"/>
    <w:rsid w:val="70D6E254"/>
    <w:rsid w:val="7171A80E"/>
    <w:rsid w:val="7239786D"/>
    <w:rsid w:val="74E28909"/>
    <w:rsid w:val="751E1E54"/>
    <w:rsid w:val="7545EC5B"/>
    <w:rsid w:val="754833D5"/>
    <w:rsid w:val="758C4416"/>
    <w:rsid w:val="76506E0E"/>
    <w:rsid w:val="78344D65"/>
    <w:rsid w:val="78A00ED1"/>
    <w:rsid w:val="79F77663"/>
    <w:rsid w:val="7A253A93"/>
    <w:rsid w:val="7A8D0C9A"/>
    <w:rsid w:val="7AA7B4D2"/>
    <w:rsid w:val="7AD0A2C3"/>
    <w:rsid w:val="7B6D9203"/>
    <w:rsid w:val="7BFF81E9"/>
    <w:rsid w:val="7C9B1C8A"/>
    <w:rsid w:val="7CBFAF92"/>
    <w:rsid w:val="7D60351C"/>
    <w:rsid w:val="7D9371BF"/>
    <w:rsid w:val="7F607DB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0662092-6828-417F-89E2-8DC9525773B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Tabell" w:customStyle="1">
    <w:name w:val="Tabell"/>
    <w:link w:val="TabellChar"/>
    <w:qFormat/>
    <w:rsid w:val="006F3FB4"/>
    <w:pPr>
      <w:spacing w:line="288" w:lineRule="auto"/>
      <w:ind w:right="-142"/>
    </w:pPr>
    <w:rPr>
      <w:sz w:val="24"/>
      <w:szCs w:val="24"/>
    </w:rPr>
  </w:style>
  <w:style w:type="character" w:styleId="TabellChar" w:customStyle="1">
    <w:name w:val="Tabell Char"/>
    <w:basedOn w:val="Standardstycketeckensnitt"/>
    <w:link w:val="Tabell"/>
    <w:rsid w:val="006F3FB4"/>
    <w:rPr>
      <w:sz w:val="24"/>
      <w:szCs w:val="24"/>
    </w:rPr>
  </w:style>
  <w:style w:type="character" w:styleId="Olstomnmnande">
    <w:name w:val="Unresolved Mention"/>
    <w:basedOn w:val="Standardstycketeckensnitt"/>
    <w:uiPriority w:val="99"/>
    <w:semiHidden/>
    <w:unhideWhenUsed/>
    <w:rsid w:val="00301799"/>
    <w:rPr>
      <w:color w:val="605E5C"/>
      <w:shd w:val="clear" w:color="auto" w:fill="E1DFDD"/>
    </w:rPr>
  </w:style>
  <w:style w:type="character" w:styleId="AnvndHyperlnk">
    <w:name w:val="FollowedHyperlink"/>
    <w:basedOn w:val="Standardstycketeckensnitt"/>
    <w:uiPriority w:val="99"/>
    <w:semiHidden/>
    <w:unhideWhenUsed/>
    <w:rsid w:val="00301799"/>
    <w:rPr>
      <w:color w:val="9EA2A2" w:themeColor="followedHyperlink"/>
      <w:u w:val="single"/>
    </w:rPr>
  </w:style>
  <w:style w:type="paragraph" w:styleId="Revision">
    <w:name w:val="Revision"/>
    <w:hidden/>
    <w:uiPriority w:val="99"/>
    <w:semiHidden/>
    <w:rsid w:val="00E319F8"/>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styleId="KommentarerChar" w:customStyle="1">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2520688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fib4.se/" TargetMode="External" Id="rId18" /><Relationship Type="http://schemas.openxmlformats.org/officeDocument/2006/relationships/fontTable" Target="fontTable.xml" Id="rId26"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fib4.se/" TargetMode="External" Id="rId17" /><Relationship Type="http://schemas.openxmlformats.org/officeDocument/2006/relationships/hyperlink" Target="https://view.officeapps.live.com/op/view.aspx?src=https%3A%2F%2Freuma.barnlakarforeningen.se%2Fwp-content%2Fuploads%2Fsites%2F11%2F2022%2F09%2FVaccination-av-patient-med-JIA-22-08-17.docx&amp;wdOrigin=BROWSELINK" TargetMode="External" Id="rId25" /><Relationship Type="http://schemas.openxmlformats.org/officeDocument/2006/relationships/footer" Target="footer3.xml" Id="rId16" /><Relationship Type="http://schemas.openxmlformats.org/officeDocument/2006/relationships/hyperlink" Target="https://www.socialstyrelsen.se/globalassets/sharepoint-dokument/artikelkatalog/nationella-riktlinjer/2019-3-11.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www.internetmedicin.se/behandlingsoversikter/hepatologi/non-alcoholic-fatty-liver-disease-nafld-och-non-alcoholic-steatohepatitis-nash-vuxna/" TargetMode="External" Id="rId22" /><Relationship Type="http://schemas.openxmlformats.org/officeDocument/2006/relationships/theme" Target="theme/theme1.xml" Id="rId27" /><Relationship Type="http://schemas.openxmlformats.org/officeDocument/2006/relationships/hyperlink" Target="https://www.lakemedelsverket.se/sv/behandling-och-forskrivning/behandlingsrekommendationer/sok-behandlingsrekommendationer/lakemedel-vid-psoriasis-och-psoriasisartrit---behandlingsrekommendation" TargetMode="External" Id="R63986c47b8d64afb" /><Relationship Type="http://schemas.openxmlformats.org/officeDocument/2006/relationships/hyperlink" Target="https://ssdv.se/wp-content/uploads/2025/03/ssdvs-behandlingsrekommendationer-for-systemisk-behandling-av-psoriasis-2024-12-15.pdf" TargetMode="External" Id="Rff2d592daae845b5" /><Relationship Type="http://schemas.openxmlformats.org/officeDocument/2006/relationships/hyperlink" Target="https://www.folkhalsomyndigheten.se/smittskydd-beredskap/vaccinationer/vaccinationer-i-sverige/covid-19/om-vaccination-mot-covid-19-for-personal-inom-vard-och-omsorg/vagledning-och-fordjupad-information-om-vaccination-mot-covid-19/" TargetMode="External" Id="R9d9be652e38f443b" /><Relationship Type="http://schemas.openxmlformats.org/officeDocument/2006/relationships/hyperlink" Target="https://www.folkhalsomyndigheten.se/publikationer-och-material/publikationsarkiv/r/rekommendationer-om-pneumokockvaccination-/?pub=56914" TargetMode="External" Id="R50be8244b36d4a5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Behandling med Metotrexat</dc:title>
  <dc:subject/>
  <dc:creator>patrik.jens.johansson@vgregion.se</dc:creator>
  <keywords/>
  <lastModifiedBy>Jenny Karsna</lastModifiedBy>
  <revision>254</revision>
  <lastPrinted>2016-03-31T19:56:00.0000000Z</lastPrinted>
  <dcterms:created xsi:type="dcterms:W3CDTF">2022-06-03T15:06:00.0000000Z</dcterms:created>
  <dcterms:modified xsi:type="dcterms:W3CDTF">2025-11-10T10:03:24.0000000Z</dcterms:modified>
</coreProperties>
</file>