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7A504" w14:textId="77777777" w:rsidR="00850FE9" w:rsidRDefault="00850FE9" w:rsidP="00F35B05">
      <w:pPr>
        <w:pStyle w:val="Rubrik2"/>
        <w:sectPr w:rsidR="00850FE9" w:rsidSect="00850FE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BB968A" w14:textId="3CDDBBB6" w:rsidR="00BD77BA" w:rsidRDefault="00BD77BA" w:rsidP="00BD77BA">
      <w:pPr>
        <w:pStyle w:val="Rubrik1"/>
        <w:ind w:left="567" w:right="-143"/>
        <w:rPr>
          <w:lang w:bidi="sv-SE"/>
        </w:rPr>
      </w:pPr>
      <w:r>
        <w:rPr>
          <w:lang w:bidi="sv-SE"/>
        </w:rPr>
        <w:t>Leversjukdom efter Fontankirurgi</w:t>
      </w:r>
    </w:p>
    <w:p w14:paraId="7992523B" w14:textId="6BAD0C3E" w:rsidR="00850FE9" w:rsidRPr="00850FE9" w:rsidRDefault="00850FE9" w:rsidP="00BD77BA">
      <w:pPr>
        <w:pStyle w:val="Rubrik2"/>
        <w:ind w:left="567" w:right="-143"/>
        <w:rPr>
          <w:lang w:bidi="sv-SE"/>
        </w:rPr>
      </w:pPr>
      <w:r w:rsidRPr="00850FE9">
        <w:rPr>
          <w:lang w:bidi="sv-SE"/>
        </w:rPr>
        <w:t>Revideringar i denna version</w:t>
      </w:r>
    </w:p>
    <w:p w14:paraId="587BFB2F" w14:textId="4282DB88" w:rsidR="00850FE9" w:rsidRPr="00BD77BA" w:rsidRDefault="00850FE9" w:rsidP="00BD77BA">
      <w:pPr>
        <w:ind w:left="567" w:right="-143"/>
        <w:rPr>
          <w:rFonts w:eastAsia="Arial"/>
          <w:lang w:bidi="sv-SE"/>
        </w:rPr>
      </w:pPr>
      <w:r w:rsidRPr="00850FE9">
        <w:rPr>
          <w:rFonts w:eastAsia="Arial"/>
          <w:lang w:bidi="sv-SE"/>
        </w:rPr>
        <w:t>Version 1.</w:t>
      </w:r>
    </w:p>
    <w:p w14:paraId="27602825" w14:textId="77777777" w:rsidR="00850FE9" w:rsidRPr="00850FE9" w:rsidRDefault="00850FE9" w:rsidP="00BD77BA">
      <w:pPr>
        <w:pStyle w:val="Rubrik2"/>
        <w:ind w:left="567" w:right="-143"/>
        <w:rPr>
          <w:lang w:bidi="sv-SE"/>
        </w:rPr>
      </w:pPr>
      <w:r w:rsidRPr="00850FE9">
        <w:rPr>
          <w:lang w:bidi="sv-SE"/>
        </w:rPr>
        <w:t>Syfte</w:t>
      </w:r>
    </w:p>
    <w:p w14:paraId="2EF0E6C3" w14:textId="77777777" w:rsidR="00850FE9" w:rsidRPr="00850FE9" w:rsidRDefault="00850FE9" w:rsidP="00BD77BA">
      <w:pPr>
        <w:ind w:left="567" w:right="-143"/>
        <w:rPr>
          <w:rFonts w:eastAsia="Arial"/>
          <w:lang w:bidi="sv-SE"/>
        </w:rPr>
      </w:pPr>
      <w:r w:rsidRPr="00850FE9">
        <w:rPr>
          <w:rFonts w:eastAsia="Arial"/>
          <w:lang w:bidi="sv-SE"/>
        </w:rPr>
        <w:t>Rutinen syftar att säkerställa screening för och uppföljning av leversjukdom (Fontan-associated Liver disease, FALD) hos patient med medfött hjärtfel av enkammartyp som genomgått s.k. Fontan- eller TCPC kirurgi.</w:t>
      </w:r>
    </w:p>
    <w:p w14:paraId="209720A5" w14:textId="635F820B" w:rsidR="00BD77BA" w:rsidRPr="00BD77BA" w:rsidRDefault="00BD77BA" w:rsidP="00BD77BA">
      <w:pPr>
        <w:pStyle w:val="Rubrik2"/>
        <w:ind w:left="567" w:right="-143"/>
        <w:rPr>
          <w:rFonts w:ascii="Times New Roman" w:hAnsi="Times New Roman" w:cs="Times New Roman"/>
          <w:sz w:val="24"/>
          <w:szCs w:val="24"/>
        </w:rPr>
      </w:pPr>
      <w:r w:rsidRPr="00BD77BA">
        <w:rPr>
          <w:bCs w:val="0"/>
          <w:lang w:bidi="sv-SE"/>
        </w:rPr>
        <w:t>Ansvar</w:t>
      </w:r>
      <w:r w:rsidR="00850FE9" w:rsidRPr="00850FE9">
        <w:rPr>
          <w:b/>
          <w:lang w:bidi="sv-SE"/>
        </w:rPr>
        <w:br/>
      </w:r>
      <w:r w:rsidR="00850FE9" w:rsidRPr="00BD77BA">
        <w:rPr>
          <w:rFonts w:ascii="Times New Roman" w:hAnsi="Times New Roman" w:cs="Times New Roman"/>
          <w:sz w:val="24"/>
          <w:szCs w:val="24"/>
        </w:rPr>
        <w:t>Respektive linjechef ansvarar för att rutinen är känd och följs.</w:t>
      </w:r>
    </w:p>
    <w:p w14:paraId="2EDA8D1F" w14:textId="77777777" w:rsidR="00850FE9" w:rsidRPr="00850FE9" w:rsidRDefault="00850FE9" w:rsidP="00BD77BA">
      <w:pPr>
        <w:pStyle w:val="Rubrik3"/>
        <w:ind w:left="567" w:right="-143"/>
        <w:rPr>
          <w:lang w:bidi="sv-SE"/>
        </w:rPr>
      </w:pPr>
      <w:r w:rsidRPr="00850FE9">
        <w:rPr>
          <w:lang w:bidi="sv-SE"/>
        </w:rPr>
        <w:t>Bakgrund</w:t>
      </w:r>
    </w:p>
    <w:p w14:paraId="5B18073E" w14:textId="1A2235D7" w:rsidR="00850FE9" w:rsidRPr="00BD77BA" w:rsidRDefault="00850FE9" w:rsidP="00BD77BA">
      <w:pPr>
        <w:ind w:left="567" w:right="-143"/>
        <w:rPr>
          <w:rFonts w:eastAsia="Arial"/>
          <w:lang w:bidi="sv-SE"/>
        </w:rPr>
      </w:pPr>
      <w:r w:rsidRPr="00850FE9">
        <w:rPr>
          <w:rFonts w:eastAsia="Arial"/>
          <w:lang w:bidi="sv-SE"/>
        </w:rPr>
        <w:t xml:space="preserve">Kirurgisk korrektion vid hjärtfel av enkammartyp är f.n. inte möjlig. Sedan slutet av 1980-talet har dessa patienter erbjudits palliativ kirurgi i </w:t>
      </w:r>
      <w:r w:rsidR="00BD77BA" w:rsidRPr="00850FE9">
        <w:rPr>
          <w:rFonts w:eastAsia="Arial"/>
          <w:lang w:bidi="sv-SE"/>
        </w:rPr>
        <w:t>2–3</w:t>
      </w:r>
      <w:r w:rsidRPr="00850FE9">
        <w:rPr>
          <w:rFonts w:eastAsia="Arial"/>
          <w:lang w:bidi="sv-SE"/>
        </w:rPr>
        <w:t xml:space="preserve"> steg enligt Fontan- eller TCPC principen där det venösa blodflödet från cavorna kopplas direkt till lungartären varefter den enda kammaren pumpar det syresatta blodet från lungorna ut i systemcirkulationen. Efter denna kirurgi är långtidsöverlevnad möjlig även om patienterna har en avsevärt sänkt prestationsförmåga p.g.a. oförmåga att anpassa cirkulationen till aktiviteten. Man har allteftersom uppmärksammats att patienterna p.g.a. avvikande hemodynamik riskerar att drabbas av sjukdomar från andra organsystem: leversjukdom (cirros), njursvikt, diabetes, proteinförlorande enteropati, hypothyreos, osteopeni, vitamin D-brist, </w:t>
      </w:r>
      <w:r w:rsidRPr="00850FE9">
        <w:rPr>
          <w:rFonts w:eastAsia="Arial"/>
          <w:lang w:bidi="sv-SE"/>
        </w:rPr>
        <w:lastRenderedPageBreak/>
        <w:t xml:space="preserve">sarkopeni </w:t>
      </w:r>
      <w:proofErr w:type="gramStart"/>
      <w:r w:rsidRPr="00850FE9">
        <w:rPr>
          <w:rFonts w:eastAsia="Arial"/>
          <w:lang w:bidi="sv-SE"/>
        </w:rPr>
        <w:t>m.m.</w:t>
      </w:r>
      <w:proofErr w:type="gramEnd"/>
      <w:r w:rsidRPr="00850FE9">
        <w:rPr>
          <w:rFonts w:eastAsia="Arial"/>
          <w:lang w:bidi="sv-SE"/>
        </w:rPr>
        <w:t xml:space="preserve"> Leverpåverkan ses med tiden hos praktiskt taget alla med påföljande risk att utveckla cirros som predisponerar för hepatocellulär cancer. Internationella riktlinjer har därför upprättats för att säkerställa screening och uppföljning för dessa patienter.</w:t>
      </w:r>
    </w:p>
    <w:p w14:paraId="43DAC6BD" w14:textId="77777777" w:rsidR="00850FE9" w:rsidRPr="00850FE9" w:rsidRDefault="00850FE9" w:rsidP="00BD77BA">
      <w:pPr>
        <w:pStyle w:val="Rubrik3"/>
        <w:ind w:left="567" w:right="-143"/>
        <w:rPr>
          <w:lang w:bidi="sv-SE"/>
        </w:rPr>
      </w:pPr>
      <w:r w:rsidRPr="00850FE9">
        <w:rPr>
          <w:lang w:bidi="sv-SE"/>
        </w:rPr>
        <w:t>Genes och patofysiologi</w:t>
      </w:r>
    </w:p>
    <w:p w14:paraId="1D33F3C8" w14:textId="6FA02D8C" w:rsidR="00850FE9" w:rsidRPr="00BD77BA" w:rsidRDefault="00850FE9" w:rsidP="00BD77BA">
      <w:pPr>
        <w:ind w:left="567" w:right="-143"/>
        <w:rPr>
          <w:rFonts w:eastAsia="Arial"/>
          <w:lang w:bidi="sv-SE"/>
        </w:rPr>
      </w:pPr>
      <w:r w:rsidRPr="00850FE9">
        <w:rPr>
          <w:rFonts w:eastAsia="Arial"/>
          <w:lang w:bidi="sv-SE"/>
        </w:rPr>
        <w:t xml:space="preserve">Levern får huvudsakligen sin blodtillförsel via portavenen. Vid Fontancirkulation är det centrala ventrycket förhöjt till </w:t>
      </w:r>
      <w:r w:rsidR="00BD77BA" w:rsidRPr="00850FE9">
        <w:rPr>
          <w:rFonts w:eastAsia="Arial"/>
          <w:lang w:bidi="sv-SE"/>
        </w:rPr>
        <w:t>c: a</w:t>
      </w:r>
      <w:r w:rsidRPr="00850FE9">
        <w:rPr>
          <w:rFonts w:eastAsia="Arial"/>
          <w:lang w:bidi="sv-SE"/>
        </w:rPr>
        <w:t xml:space="preserve"> 15 mmHg och flödet är inte pulsativt. Det höga trycket fortplantas då genom leverns sinusoider och leder till staslever vilket i förlängningen kan påverka portaflödet. Systemcirkulationen är dessutom nedsatt vilket även i sig kan leda till ischemi i hepatocyterna. Leverfibros utvecklas pga kronisk eller upprepad leverskada. Av de med leverfibros beräknas </w:t>
      </w:r>
      <w:r w:rsidR="00BD77BA" w:rsidRPr="00850FE9">
        <w:rPr>
          <w:rFonts w:eastAsia="Arial"/>
          <w:lang w:bidi="sv-SE"/>
        </w:rPr>
        <w:t>c: a</w:t>
      </w:r>
      <w:r w:rsidRPr="00850FE9">
        <w:rPr>
          <w:rFonts w:eastAsia="Arial"/>
          <w:lang w:bidi="sv-SE"/>
        </w:rPr>
        <w:t xml:space="preserve"> 1/3 utveckla levercirros. De med levercirros behöver intensifierad uppföljning p.g.a. risk att utveckla leversvikt (ascites, esofagusvaricer, encefalopati) och hepatocellulär cancer.</w:t>
      </w:r>
    </w:p>
    <w:p w14:paraId="6D1C0FAD" w14:textId="77777777" w:rsidR="00850FE9" w:rsidRPr="00850FE9" w:rsidRDefault="00850FE9" w:rsidP="00BD77BA">
      <w:pPr>
        <w:pStyle w:val="Rubrik3"/>
        <w:ind w:left="567" w:right="-143"/>
        <w:rPr>
          <w:lang w:bidi="sv-SE"/>
        </w:rPr>
      </w:pPr>
      <w:r w:rsidRPr="00850FE9">
        <w:rPr>
          <w:lang w:bidi="sv-SE"/>
        </w:rPr>
        <w:t>Riskfaktorer</w:t>
      </w:r>
    </w:p>
    <w:p w14:paraId="68925FC0" w14:textId="77777777" w:rsidR="00850FE9" w:rsidRPr="00850FE9" w:rsidRDefault="00850FE9" w:rsidP="00BD77BA">
      <w:pPr>
        <w:pStyle w:val="Liststycke"/>
        <w:numPr>
          <w:ilvl w:val="0"/>
          <w:numId w:val="22"/>
        </w:numPr>
        <w:ind w:left="1276" w:right="-143"/>
        <w:rPr>
          <w:rFonts w:eastAsia="Arial"/>
          <w:lang w:bidi="sv-SE"/>
        </w:rPr>
      </w:pPr>
      <w:r w:rsidRPr="00850FE9">
        <w:rPr>
          <w:rFonts w:eastAsia="Arial"/>
          <w:lang w:bidi="sv-SE"/>
        </w:rPr>
        <w:t>Antal år efter Fontan/TCPC operation</w:t>
      </w:r>
    </w:p>
    <w:p w14:paraId="527024FC" w14:textId="77777777" w:rsidR="00850FE9" w:rsidRPr="00850FE9" w:rsidRDefault="00850FE9" w:rsidP="00BD77BA">
      <w:pPr>
        <w:pStyle w:val="Liststycke"/>
        <w:numPr>
          <w:ilvl w:val="0"/>
          <w:numId w:val="22"/>
        </w:numPr>
        <w:ind w:left="1276" w:right="-143"/>
        <w:rPr>
          <w:rFonts w:eastAsia="Arial"/>
          <w:lang w:bidi="sv-SE"/>
        </w:rPr>
      </w:pPr>
      <w:r w:rsidRPr="00850FE9">
        <w:rPr>
          <w:rFonts w:eastAsia="Arial"/>
          <w:lang w:bidi="sv-SE"/>
        </w:rPr>
        <w:t>Hemodynamik (cyanos, kammarsvikt, klaffsjukdom, obstruktion i Fontan/TCPC plastik</w:t>
      </w:r>
    </w:p>
    <w:p w14:paraId="3347C864" w14:textId="77777777" w:rsidR="00850FE9" w:rsidRPr="00850FE9" w:rsidRDefault="00850FE9" w:rsidP="00BD77BA">
      <w:pPr>
        <w:pStyle w:val="Liststycke"/>
        <w:numPr>
          <w:ilvl w:val="0"/>
          <w:numId w:val="22"/>
        </w:numPr>
        <w:ind w:left="1276" w:right="-143"/>
        <w:rPr>
          <w:rFonts w:eastAsia="Arial"/>
          <w:lang w:bidi="sv-SE"/>
        </w:rPr>
      </w:pPr>
      <w:r w:rsidRPr="00850FE9">
        <w:rPr>
          <w:rFonts w:eastAsia="Arial"/>
          <w:lang w:bidi="sv-SE"/>
        </w:rPr>
        <w:t>Alkohol och andra leverskadande ämnen/läkemedel</w:t>
      </w:r>
    </w:p>
    <w:p w14:paraId="0D62E70B" w14:textId="07CD2AF3" w:rsidR="00850FE9" w:rsidRPr="00BD77BA" w:rsidRDefault="00850FE9" w:rsidP="00BD77BA">
      <w:pPr>
        <w:pStyle w:val="Liststycke"/>
        <w:numPr>
          <w:ilvl w:val="0"/>
          <w:numId w:val="22"/>
        </w:numPr>
        <w:ind w:left="1276" w:right="-143"/>
        <w:rPr>
          <w:rFonts w:eastAsia="Arial"/>
          <w:lang w:bidi="sv-SE"/>
        </w:rPr>
      </w:pPr>
      <w:r w:rsidRPr="00850FE9">
        <w:rPr>
          <w:rFonts w:eastAsia="Arial"/>
          <w:lang w:bidi="sv-SE"/>
        </w:rPr>
        <w:t>Hepatit</w:t>
      </w:r>
    </w:p>
    <w:p w14:paraId="264638C9" w14:textId="77777777" w:rsidR="00850FE9" w:rsidRPr="00850FE9" w:rsidRDefault="00850FE9" w:rsidP="00BD77BA">
      <w:pPr>
        <w:pStyle w:val="Rubrik3"/>
        <w:ind w:left="567" w:right="-143"/>
        <w:rPr>
          <w:lang w:bidi="sv-SE"/>
        </w:rPr>
      </w:pPr>
      <w:r w:rsidRPr="00850FE9">
        <w:rPr>
          <w:lang w:bidi="sv-SE"/>
        </w:rPr>
        <w:t>Förebyggande åtgärder</w:t>
      </w:r>
    </w:p>
    <w:p w14:paraId="6EFD3BCD" w14:textId="77777777" w:rsidR="00850FE9" w:rsidRPr="00850FE9" w:rsidRDefault="00850FE9" w:rsidP="00BD77BA">
      <w:pPr>
        <w:pStyle w:val="Liststycke"/>
        <w:numPr>
          <w:ilvl w:val="0"/>
          <w:numId w:val="23"/>
        </w:numPr>
        <w:ind w:left="1276" w:right="-143"/>
        <w:rPr>
          <w:rFonts w:eastAsia="Arial"/>
          <w:lang w:bidi="sv-SE"/>
        </w:rPr>
      </w:pPr>
      <w:r w:rsidRPr="00850FE9">
        <w:rPr>
          <w:rFonts w:eastAsia="Arial"/>
          <w:lang w:bidi="sv-SE"/>
        </w:rPr>
        <w:t>Livsstilsråd inkl. alkohol, läkemedel (undvik långvarig/högdos paracetamolbehandling)</w:t>
      </w:r>
    </w:p>
    <w:p w14:paraId="03EC1DF0" w14:textId="77777777" w:rsidR="00850FE9" w:rsidRPr="00850FE9" w:rsidRDefault="00850FE9" w:rsidP="00BD77BA">
      <w:pPr>
        <w:pStyle w:val="Liststycke"/>
        <w:numPr>
          <w:ilvl w:val="0"/>
          <w:numId w:val="23"/>
        </w:numPr>
        <w:ind w:left="1276" w:right="-143"/>
        <w:rPr>
          <w:rFonts w:eastAsia="Arial"/>
          <w:lang w:bidi="sv-SE"/>
        </w:rPr>
      </w:pPr>
      <w:r w:rsidRPr="00850FE9">
        <w:rPr>
          <w:rFonts w:eastAsia="Arial"/>
          <w:lang w:bidi="sv-SE"/>
        </w:rPr>
        <w:t>Hepatitprover (se nedan), Hepatit A+B vaccination</w:t>
      </w:r>
    </w:p>
    <w:p w14:paraId="51B9AC88" w14:textId="4C85499F" w:rsidR="00850FE9" w:rsidRPr="00BD77BA" w:rsidRDefault="00850FE9" w:rsidP="00BD77BA">
      <w:pPr>
        <w:pStyle w:val="Liststycke"/>
        <w:numPr>
          <w:ilvl w:val="0"/>
          <w:numId w:val="23"/>
        </w:numPr>
        <w:ind w:left="1276" w:right="-143"/>
        <w:rPr>
          <w:rFonts w:eastAsia="Arial"/>
          <w:lang w:bidi="sv-SE"/>
        </w:rPr>
      </w:pPr>
      <w:r w:rsidRPr="00850FE9">
        <w:rPr>
          <w:rFonts w:eastAsia="Arial"/>
          <w:lang w:bidi="sv-SE"/>
        </w:rPr>
        <w:t>Hemodynamisk utvärdering (se nedan)</w:t>
      </w:r>
    </w:p>
    <w:p w14:paraId="5B1CC422" w14:textId="77777777" w:rsidR="00850FE9" w:rsidRPr="00850FE9" w:rsidRDefault="00850FE9" w:rsidP="00BD77BA">
      <w:pPr>
        <w:pStyle w:val="Rubrik3"/>
        <w:ind w:left="567" w:right="-143"/>
        <w:rPr>
          <w:lang w:bidi="sv-SE"/>
        </w:rPr>
      </w:pPr>
      <w:r w:rsidRPr="00850FE9">
        <w:rPr>
          <w:lang w:bidi="sv-SE"/>
        </w:rPr>
        <w:lastRenderedPageBreak/>
        <w:t>Prover</w:t>
      </w:r>
    </w:p>
    <w:p w14:paraId="799D2750" w14:textId="77777777" w:rsidR="00850FE9" w:rsidRPr="00850FE9" w:rsidRDefault="00850FE9" w:rsidP="00BD77BA">
      <w:pPr>
        <w:pStyle w:val="Liststycke"/>
        <w:numPr>
          <w:ilvl w:val="0"/>
          <w:numId w:val="24"/>
        </w:numPr>
        <w:ind w:left="1276" w:right="-143"/>
        <w:rPr>
          <w:rFonts w:eastAsia="Arial"/>
          <w:lang w:bidi="sv-SE"/>
        </w:rPr>
      </w:pPr>
      <w:r w:rsidRPr="00850FE9">
        <w:rPr>
          <w:rFonts w:eastAsia="Arial"/>
          <w:lang w:bidi="sv-SE"/>
        </w:rPr>
        <w:t xml:space="preserve">Årliga prover: Hb, LPK, TPK (sjunker vid splenomegali/portahypertension), ASAT, ALAT, ALP, Bil, gamma-GT, PK, albumin, Na, K, kreatinin, NT-pro-BNP.  </w:t>
      </w:r>
    </w:p>
    <w:p w14:paraId="73F3D577" w14:textId="3798C576" w:rsidR="00850FE9" w:rsidRPr="00BD77BA" w:rsidRDefault="00850FE9" w:rsidP="00BD77BA">
      <w:pPr>
        <w:pStyle w:val="Liststycke"/>
        <w:numPr>
          <w:ilvl w:val="0"/>
          <w:numId w:val="24"/>
        </w:numPr>
        <w:ind w:left="1276" w:right="-143"/>
        <w:rPr>
          <w:rFonts w:eastAsia="Arial"/>
          <w:lang w:bidi="sv-SE"/>
        </w:rPr>
      </w:pPr>
      <w:r w:rsidRPr="00850FE9">
        <w:rPr>
          <w:rFonts w:eastAsia="Arial"/>
          <w:lang w:bidi="sv-SE"/>
        </w:rPr>
        <w:t>HAV-ak, HBs-ak, HBc-ak. Om neg, vaccination (se ovan).</w:t>
      </w:r>
    </w:p>
    <w:p w14:paraId="6C513C20" w14:textId="77777777" w:rsidR="00850FE9" w:rsidRPr="00850FE9" w:rsidRDefault="00850FE9" w:rsidP="00BD77BA">
      <w:pPr>
        <w:pStyle w:val="Rubrik3"/>
        <w:ind w:left="567" w:right="-141"/>
        <w:rPr>
          <w:lang w:bidi="sv-SE"/>
        </w:rPr>
      </w:pPr>
      <w:r w:rsidRPr="00850FE9">
        <w:rPr>
          <w:lang w:bidi="sv-SE"/>
        </w:rPr>
        <w:t>Ultraljud lever</w:t>
      </w:r>
    </w:p>
    <w:p w14:paraId="5B838CA9" w14:textId="4B3A1D9F" w:rsidR="00850FE9" w:rsidRPr="00BD77BA" w:rsidRDefault="00850FE9" w:rsidP="00BD77BA">
      <w:pPr>
        <w:pStyle w:val="Liststycke"/>
        <w:numPr>
          <w:ilvl w:val="0"/>
          <w:numId w:val="25"/>
        </w:numPr>
        <w:ind w:left="1276" w:right="-141"/>
        <w:rPr>
          <w:rFonts w:eastAsia="Arial"/>
          <w:lang w:bidi="sv-SE"/>
        </w:rPr>
      </w:pPr>
      <w:r w:rsidRPr="00850FE9">
        <w:rPr>
          <w:rFonts w:eastAsia="Arial"/>
          <w:lang w:bidi="sv-SE"/>
        </w:rPr>
        <w:t xml:space="preserve">Görs inom 2 år efter överföring till GUCH. Remiss </w:t>
      </w:r>
      <w:proofErr w:type="spellStart"/>
      <w:r w:rsidRPr="00850FE9">
        <w:rPr>
          <w:rFonts w:eastAsia="Arial"/>
          <w:lang w:bidi="sv-SE"/>
        </w:rPr>
        <w:t>rtg</w:t>
      </w:r>
      <w:proofErr w:type="spellEnd"/>
      <w:r w:rsidRPr="00850FE9">
        <w:rPr>
          <w:rFonts w:eastAsia="Arial"/>
          <w:lang w:bidi="sv-SE"/>
        </w:rPr>
        <w:t xml:space="preserve"> SU/Ö:  Fibros? Cirros? Fokala förändringar? Portaflöde? Levervensflöde? Upprepas per 3 år eller vid provavvikelser.</w:t>
      </w:r>
    </w:p>
    <w:p w14:paraId="60B81CF0" w14:textId="77777777" w:rsidR="00850FE9" w:rsidRPr="00850FE9" w:rsidRDefault="00850FE9" w:rsidP="00BD77BA">
      <w:pPr>
        <w:pStyle w:val="Rubrik3"/>
        <w:ind w:left="567" w:right="-141"/>
        <w:rPr>
          <w:lang w:bidi="sv-SE"/>
        </w:rPr>
      </w:pPr>
      <w:r w:rsidRPr="00850FE9">
        <w:rPr>
          <w:lang w:bidi="sv-SE"/>
        </w:rPr>
        <w:t>Hemodynamisk utvärdering</w:t>
      </w:r>
    </w:p>
    <w:p w14:paraId="123B1276" w14:textId="77777777" w:rsidR="00850FE9" w:rsidRPr="00850FE9" w:rsidRDefault="00850FE9" w:rsidP="00BD77BA">
      <w:pPr>
        <w:pStyle w:val="Liststycke"/>
        <w:numPr>
          <w:ilvl w:val="0"/>
          <w:numId w:val="26"/>
        </w:numPr>
        <w:ind w:left="1276" w:right="-141"/>
        <w:rPr>
          <w:rFonts w:eastAsia="Arial"/>
          <w:lang w:bidi="sv-SE"/>
        </w:rPr>
      </w:pPr>
      <w:r w:rsidRPr="00850FE9">
        <w:rPr>
          <w:rFonts w:eastAsia="Arial"/>
          <w:lang w:bidi="sv-SE"/>
        </w:rPr>
        <w:t xml:space="preserve">DT/MR hjärta görs inom 2 år efter överföring GUCH (om ej gjord innan) TCPC cirkulation? Fistlar-kollateraler? </w:t>
      </w:r>
    </w:p>
    <w:p w14:paraId="50D6AF19" w14:textId="6883D8BC" w:rsidR="00850FE9" w:rsidRPr="00E00C69" w:rsidRDefault="00850FE9" w:rsidP="00E00C69">
      <w:pPr>
        <w:pStyle w:val="Liststycke"/>
        <w:numPr>
          <w:ilvl w:val="0"/>
          <w:numId w:val="26"/>
        </w:numPr>
        <w:ind w:left="1276" w:right="-141"/>
        <w:rPr>
          <w:rFonts w:eastAsia="Arial"/>
          <w:lang w:bidi="sv-SE"/>
        </w:rPr>
      </w:pPr>
      <w:r w:rsidRPr="00850FE9">
        <w:rPr>
          <w:rFonts w:eastAsia="Arial"/>
          <w:lang w:bidi="sv-SE"/>
        </w:rPr>
        <w:t>Hjärtkateterisering kan övervägas i särskilda fall med specifik frågeställning.</w:t>
      </w:r>
    </w:p>
    <w:p w14:paraId="725E2DD0" w14:textId="5A64B61F" w:rsidR="00850FE9" w:rsidRPr="00E00C69" w:rsidRDefault="00850FE9" w:rsidP="00E00C69">
      <w:pPr>
        <w:pStyle w:val="Rubrik3"/>
        <w:ind w:left="567" w:right="-141"/>
        <w:rPr>
          <w:lang w:bidi="sv-SE"/>
        </w:rPr>
      </w:pPr>
      <w:r w:rsidRPr="00850FE9">
        <w:rPr>
          <w:lang w:bidi="sv-SE"/>
        </w:rPr>
        <w:t>Uppföljning hepatolog</w:t>
      </w:r>
    </w:p>
    <w:p w14:paraId="6E496A61" w14:textId="76288A20" w:rsidR="00850FE9" w:rsidRPr="00E00C69" w:rsidRDefault="00850FE9" w:rsidP="00E00C69">
      <w:pPr>
        <w:ind w:left="567" w:right="-141"/>
        <w:rPr>
          <w:rFonts w:eastAsia="Arial"/>
          <w:lang w:bidi="sv-SE"/>
        </w:rPr>
      </w:pPr>
      <w:r w:rsidRPr="00850FE9">
        <w:rPr>
          <w:rFonts w:eastAsia="Arial"/>
          <w:lang w:bidi="sv-SE"/>
        </w:rPr>
        <w:t xml:space="preserve">Vid tecken till uttalad leverpåverkan eller cirros. </w:t>
      </w:r>
    </w:p>
    <w:p w14:paraId="1182FF3B" w14:textId="77777777" w:rsidR="00850FE9" w:rsidRPr="00850FE9" w:rsidRDefault="00850FE9" w:rsidP="00E00C69">
      <w:pPr>
        <w:pStyle w:val="Rubrik3"/>
        <w:ind w:left="567" w:right="-141"/>
        <w:rPr>
          <w:lang w:bidi="sv-SE"/>
        </w:rPr>
      </w:pPr>
      <w:r w:rsidRPr="00850FE9">
        <w:rPr>
          <w:lang w:bidi="sv-SE"/>
        </w:rPr>
        <w:t>Återkommande levermöten för avstämning</w:t>
      </w:r>
    </w:p>
    <w:p w14:paraId="698634CD" w14:textId="77777777" w:rsidR="00850FE9" w:rsidRPr="00850FE9" w:rsidRDefault="00850FE9" w:rsidP="00E00C69">
      <w:pPr>
        <w:pStyle w:val="Liststycke"/>
        <w:numPr>
          <w:ilvl w:val="0"/>
          <w:numId w:val="27"/>
        </w:numPr>
        <w:ind w:left="1276" w:right="-141"/>
        <w:rPr>
          <w:rFonts w:eastAsia="Arial"/>
          <w:lang w:bidi="sv-SE"/>
        </w:rPr>
      </w:pPr>
      <w:r w:rsidRPr="00850FE9">
        <w:rPr>
          <w:rFonts w:eastAsia="Arial"/>
          <w:lang w:bidi="sv-SE"/>
        </w:rPr>
        <w:t>Uppföljning av patienter</w:t>
      </w:r>
    </w:p>
    <w:p w14:paraId="5CA4896B" w14:textId="77777777" w:rsidR="00850FE9" w:rsidRPr="00850FE9" w:rsidRDefault="00850FE9" w:rsidP="00E00C69">
      <w:pPr>
        <w:pStyle w:val="Liststycke"/>
        <w:numPr>
          <w:ilvl w:val="0"/>
          <w:numId w:val="27"/>
        </w:numPr>
        <w:ind w:left="1276" w:right="-141"/>
        <w:rPr>
          <w:rFonts w:eastAsia="Arial"/>
          <w:lang w:bidi="sv-SE"/>
        </w:rPr>
      </w:pPr>
      <w:r w:rsidRPr="00850FE9">
        <w:rPr>
          <w:rFonts w:eastAsia="Arial"/>
          <w:lang w:bidi="sv-SE"/>
        </w:rPr>
        <w:t>Uppdatering av uppföljningsschema</w:t>
      </w:r>
    </w:p>
    <w:p w14:paraId="2C21FBCF" w14:textId="6A1484C9" w:rsidR="00850FE9" w:rsidRPr="00E00C69" w:rsidRDefault="00850FE9" w:rsidP="00E00C69">
      <w:pPr>
        <w:pStyle w:val="Liststycke"/>
        <w:numPr>
          <w:ilvl w:val="0"/>
          <w:numId w:val="27"/>
        </w:numPr>
        <w:ind w:left="1276" w:right="-141"/>
        <w:rPr>
          <w:rFonts w:eastAsia="Arial"/>
          <w:lang w:bidi="sv-SE"/>
        </w:rPr>
      </w:pPr>
      <w:r w:rsidRPr="00850FE9">
        <w:rPr>
          <w:rFonts w:eastAsia="Arial"/>
          <w:lang w:bidi="sv-SE"/>
        </w:rPr>
        <w:t>Ny forskning</w:t>
      </w:r>
    </w:p>
    <w:p w14:paraId="2EC5EEDF" w14:textId="77777777" w:rsidR="00850FE9" w:rsidRPr="00850FE9" w:rsidRDefault="00850FE9" w:rsidP="00E00C69">
      <w:pPr>
        <w:pStyle w:val="Rubrik2"/>
        <w:ind w:left="567" w:right="-141"/>
      </w:pPr>
      <w:r w:rsidRPr="00850FE9">
        <w:t>Dokumentation</w:t>
      </w:r>
    </w:p>
    <w:p w14:paraId="40BCE236" w14:textId="1611AA1C" w:rsidR="00850FE9" w:rsidRPr="00BE6EB3" w:rsidRDefault="00850FE9" w:rsidP="00BE6EB3">
      <w:pPr>
        <w:ind w:left="567" w:right="-141"/>
      </w:pPr>
      <w:r w:rsidRPr="00850FE9">
        <w:t xml:space="preserve">Styrande dokument arkiveras i Barium. Redovisande dokument ska hanteras enligt sjukhusets gällande rutiner för arkivering av allmänna handlingar. </w:t>
      </w:r>
    </w:p>
    <w:p w14:paraId="293EFD85" w14:textId="77777777" w:rsidR="00850FE9" w:rsidRPr="00850FE9" w:rsidRDefault="00850FE9" w:rsidP="00BE6EB3">
      <w:pPr>
        <w:pStyle w:val="Rubrik2"/>
        <w:ind w:left="567" w:right="-141"/>
      </w:pPr>
      <w:r w:rsidRPr="00850FE9">
        <w:lastRenderedPageBreak/>
        <w:t>Granskare/arbetsgrupp</w:t>
      </w:r>
    </w:p>
    <w:p w14:paraId="209533FC" w14:textId="5BEB5AC1" w:rsidR="00850FE9" w:rsidRPr="00BE6EB3" w:rsidRDefault="00850FE9" w:rsidP="00BE6EB3">
      <w:pPr>
        <w:ind w:left="567" w:right="-141"/>
      </w:pPr>
      <w:r w:rsidRPr="00850FE9">
        <w:t xml:space="preserve">Tomas Gilljam Överläkare GUCH </w:t>
      </w:r>
      <w:r w:rsidR="00BE6EB3">
        <w:br/>
      </w:r>
      <w:r w:rsidRPr="00850FE9">
        <w:t>Eva Furenäs, Överläkare GUCH</w:t>
      </w:r>
      <w:r w:rsidR="00BE6EB3">
        <w:br/>
      </w:r>
      <w:r w:rsidRPr="00850FE9">
        <w:t>Anders Ahnfelt, Överläkare GUCH</w:t>
      </w:r>
      <w:r w:rsidR="00BE6EB3">
        <w:br/>
      </w:r>
      <w:r w:rsidRPr="00850FE9">
        <w:t>Zacharias Mandalenakis, Överläkare GUCH</w:t>
      </w:r>
      <w:r w:rsidR="00BE6EB3">
        <w:br/>
      </w:r>
      <w:r w:rsidRPr="00850FE9">
        <w:t xml:space="preserve">Elin Hultgren, Överläkare Gastrosektionen </w:t>
      </w:r>
    </w:p>
    <w:p w14:paraId="16F806A4" w14:textId="77777777" w:rsidR="00850FE9" w:rsidRPr="00850FE9" w:rsidRDefault="00850FE9" w:rsidP="00BE6EB3">
      <w:pPr>
        <w:pStyle w:val="Rubrik2"/>
        <w:ind w:left="567" w:right="-141"/>
        <w:rPr>
          <w:lang w:bidi="sv-SE"/>
        </w:rPr>
      </w:pPr>
      <w:r w:rsidRPr="00850FE9">
        <w:rPr>
          <w:lang w:bidi="sv-SE"/>
        </w:rPr>
        <w:t>Referenser i urval</w:t>
      </w:r>
    </w:p>
    <w:p w14:paraId="75FFDB07" w14:textId="5FC02077" w:rsidR="00850FE9" w:rsidRPr="00850FE9" w:rsidRDefault="00850FE9" w:rsidP="00EB3DB6">
      <w:pPr>
        <w:ind w:left="567" w:right="-141"/>
        <w:rPr>
          <w:color w:val="4A4A4A"/>
        </w:rPr>
      </w:pPr>
      <w:r w:rsidRPr="00850FE9">
        <w:rPr>
          <w:rFonts w:eastAsia="Arial"/>
          <w:lang w:bidi="sv-SE"/>
        </w:rPr>
        <w:t xml:space="preserve">Fontan-Associated Liver Disease: Screening, Management, and Transplant Considerations. </w:t>
      </w:r>
      <w:r w:rsidRPr="00850FE9">
        <w:t>Circulation</w:t>
      </w:r>
      <w:r w:rsidRPr="00850FE9">
        <w:rPr>
          <w:shd w:val="clear" w:color="auto" w:fill="FFFFFF"/>
        </w:rPr>
        <w:t>2020 Aug 11;142(6):</w:t>
      </w:r>
      <w:r w:rsidR="00BE6EB3" w:rsidRPr="00850FE9">
        <w:rPr>
          <w:shd w:val="clear" w:color="auto" w:fill="FFFFFF"/>
        </w:rPr>
        <w:t>591–604</w:t>
      </w:r>
      <w:r w:rsidR="00BE6EB3">
        <w:rPr>
          <w:shd w:val="clear" w:color="auto" w:fill="FFFFFF"/>
        </w:rPr>
        <w:br/>
      </w:r>
      <w:hyperlink r:id="rId17" w:history="1">
        <w:r w:rsidRPr="00BE6EB3">
          <w:rPr>
            <w:rFonts w:eastAsia="Arial"/>
            <w:u w:val="single"/>
            <w:lang w:bidi="sv-SE"/>
          </w:rPr>
          <w:t xml:space="preserve">Juliet </w:t>
        </w:r>
        <w:proofErr w:type="spellStart"/>
        <w:r w:rsidRPr="00BE6EB3">
          <w:rPr>
            <w:rFonts w:eastAsia="Arial"/>
            <w:u w:val="single"/>
            <w:lang w:bidi="sv-SE"/>
          </w:rPr>
          <w:t>Emamaullee</w:t>
        </w:r>
        <w:proofErr w:type="spellEnd"/>
      </w:hyperlink>
      <w:r w:rsidRPr="00BE6EB3">
        <w:rPr>
          <w:rFonts w:eastAsia="Arial"/>
          <w:lang w:bidi="sv-SE"/>
        </w:rPr>
        <w:t>, </w:t>
      </w:r>
      <w:hyperlink r:id="rId18" w:history="1">
        <w:r w:rsidRPr="00BE6EB3">
          <w:rPr>
            <w:rFonts w:eastAsia="Arial"/>
            <w:u w:val="single"/>
            <w:lang w:bidi="sv-SE"/>
          </w:rPr>
          <w:t xml:space="preserve">Ali N </w:t>
        </w:r>
        <w:proofErr w:type="spellStart"/>
        <w:r w:rsidRPr="00BE6EB3">
          <w:rPr>
            <w:rFonts w:eastAsia="Arial"/>
            <w:u w:val="single"/>
            <w:lang w:bidi="sv-SE"/>
          </w:rPr>
          <w:t>Zaidi</w:t>
        </w:r>
        <w:proofErr w:type="spellEnd"/>
      </w:hyperlink>
      <w:r w:rsidRPr="00BE6EB3">
        <w:rPr>
          <w:rFonts w:eastAsia="Arial"/>
          <w:vertAlign w:val="superscript"/>
          <w:lang w:bidi="sv-SE"/>
        </w:rPr>
        <w:t> </w:t>
      </w:r>
      <w:r w:rsidRPr="00BE6EB3">
        <w:rPr>
          <w:rFonts w:eastAsia="Arial"/>
          <w:lang w:bidi="sv-SE"/>
        </w:rPr>
        <w:t>, </w:t>
      </w:r>
      <w:hyperlink r:id="rId19" w:history="1">
        <w:r w:rsidRPr="00BE6EB3">
          <w:rPr>
            <w:rFonts w:eastAsia="Arial"/>
            <w:u w:val="single"/>
            <w:lang w:bidi="sv-SE"/>
          </w:rPr>
          <w:t xml:space="preserve">Thomas </w:t>
        </w:r>
        <w:proofErr w:type="spellStart"/>
        <w:r w:rsidRPr="00BE6EB3">
          <w:rPr>
            <w:rFonts w:eastAsia="Arial"/>
            <w:u w:val="single"/>
            <w:lang w:bidi="sv-SE"/>
          </w:rPr>
          <w:t>Schiano</w:t>
        </w:r>
        <w:proofErr w:type="spellEnd"/>
      </w:hyperlink>
      <w:r w:rsidRPr="00BE6EB3">
        <w:rPr>
          <w:rFonts w:eastAsia="Arial"/>
          <w:lang w:bidi="sv-SE"/>
        </w:rPr>
        <w:t>, </w:t>
      </w:r>
      <w:hyperlink r:id="rId20" w:history="1">
        <w:r w:rsidRPr="00BE6EB3">
          <w:rPr>
            <w:rFonts w:eastAsia="Arial"/>
            <w:u w:val="single"/>
            <w:lang w:bidi="sv-SE"/>
          </w:rPr>
          <w:t>Jeffrey Kahn</w:t>
        </w:r>
      </w:hyperlink>
      <w:r w:rsidRPr="00BE6EB3">
        <w:rPr>
          <w:rFonts w:eastAsia="Arial"/>
          <w:lang w:bidi="sv-SE"/>
        </w:rPr>
        <w:t>, </w:t>
      </w:r>
      <w:hyperlink r:id="rId21" w:history="1">
        <w:r w:rsidRPr="00BE6EB3">
          <w:rPr>
            <w:rFonts w:eastAsia="Arial"/>
            <w:u w:val="single"/>
            <w:lang w:bidi="sv-SE"/>
          </w:rPr>
          <w:t>Pamela L Valentino</w:t>
        </w:r>
      </w:hyperlink>
      <w:r w:rsidRPr="00BE6EB3">
        <w:rPr>
          <w:rFonts w:eastAsia="Arial"/>
          <w:lang w:bidi="sv-SE"/>
        </w:rPr>
        <w:t>, </w:t>
      </w:r>
      <w:hyperlink r:id="rId22" w:history="1">
        <w:r w:rsidRPr="00BE6EB3">
          <w:rPr>
            <w:rFonts w:eastAsia="Arial"/>
            <w:u w:val="single"/>
            <w:lang w:bidi="sv-SE"/>
          </w:rPr>
          <w:t xml:space="preserve">Ryan E </w:t>
        </w:r>
        <w:proofErr w:type="spellStart"/>
        <w:r w:rsidRPr="00BE6EB3">
          <w:rPr>
            <w:rFonts w:eastAsia="Arial"/>
            <w:u w:val="single"/>
            <w:lang w:bidi="sv-SE"/>
          </w:rPr>
          <w:t>Hofer</w:t>
        </w:r>
        <w:proofErr w:type="spellEnd"/>
      </w:hyperlink>
      <w:r w:rsidRPr="00BE6EB3">
        <w:rPr>
          <w:rFonts w:eastAsia="Arial"/>
          <w:lang w:bidi="sv-SE"/>
        </w:rPr>
        <w:t>, </w:t>
      </w:r>
      <w:proofErr w:type="spellStart"/>
      <w:r w:rsidR="00EB3DB6" w:rsidRPr="00BE6EB3">
        <w:fldChar w:fldCharType="begin"/>
      </w:r>
      <w:r w:rsidR="00EB3DB6" w:rsidRPr="00BE6EB3">
        <w:instrText xml:space="preserve"> HYPERLINK "https://pubmed.ncbi.nlm.nih.gov/?sort=date&amp;term=Taner+T&amp;cauthor_id=32776846" </w:instrText>
      </w:r>
      <w:r w:rsidR="00EB3DB6" w:rsidRPr="00BE6EB3">
        <w:fldChar w:fldCharType="separate"/>
      </w:r>
      <w:r w:rsidRPr="00BE6EB3">
        <w:rPr>
          <w:rFonts w:eastAsia="Arial"/>
          <w:u w:val="single"/>
          <w:lang w:bidi="sv-SE"/>
        </w:rPr>
        <w:t>Timucin</w:t>
      </w:r>
      <w:proofErr w:type="spellEnd"/>
      <w:r w:rsidRPr="00BE6EB3">
        <w:rPr>
          <w:rFonts w:eastAsia="Arial"/>
          <w:u w:val="single"/>
          <w:lang w:bidi="sv-SE"/>
        </w:rPr>
        <w:t xml:space="preserve"> </w:t>
      </w:r>
      <w:proofErr w:type="spellStart"/>
      <w:r w:rsidRPr="00BE6EB3">
        <w:rPr>
          <w:rFonts w:eastAsia="Arial"/>
          <w:u w:val="single"/>
          <w:lang w:bidi="sv-SE"/>
        </w:rPr>
        <w:t>Taner</w:t>
      </w:r>
      <w:proofErr w:type="spellEnd"/>
      <w:r w:rsidR="00EB3DB6" w:rsidRPr="00BE6EB3">
        <w:rPr>
          <w:rFonts w:eastAsia="Arial"/>
          <w:u w:val="single"/>
          <w:lang w:bidi="sv-SE"/>
        </w:rPr>
        <w:fldChar w:fldCharType="end"/>
      </w:r>
      <w:r w:rsidRPr="00BE6EB3">
        <w:rPr>
          <w:rFonts w:eastAsia="Arial"/>
          <w:lang w:bidi="sv-SE"/>
        </w:rPr>
        <w:t>, </w:t>
      </w:r>
      <w:hyperlink r:id="rId23" w:history="1">
        <w:r w:rsidRPr="00BE6EB3">
          <w:rPr>
            <w:rFonts w:eastAsia="Arial"/>
            <w:u w:val="single"/>
            <w:lang w:bidi="sv-SE"/>
          </w:rPr>
          <w:t xml:space="preserve">Joyce W </w:t>
        </w:r>
        <w:proofErr w:type="spellStart"/>
        <w:r w:rsidRPr="00BE6EB3">
          <w:rPr>
            <w:rFonts w:eastAsia="Arial"/>
            <w:u w:val="single"/>
            <w:lang w:bidi="sv-SE"/>
          </w:rPr>
          <w:t>Wald</w:t>
        </w:r>
        <w:proofErr w:type="spellEnd"/>
      </w:hyperlink>
      <w:r w:rsidRPr="00BE6EB3">
        <w:rPr>
          <w:rFonts w:eastAsia="Arial"/>
          <w:lang w:bidi="sv-SE"/>
        </w:rPr>
        <w:t>, </w:t>
      </w:r>
      <w:hyperlink r:id="rId24" w:history="1">
        <w:r w:rsidRPr="00BE6EB3">
          <w:rPr>
            <w:rFonts w:eastAsia="Arial"/>
            <w:u w:val="single"/>
            <w:lang w:bidi="sv-SE"/>
          </w:rPr>
          <w:t xml:space="preserve">Kim M </w:t>
        </w:r>
        <w:proofErr w:type="spellStart"/>
        <w:r w:rsidRPr="00BE6EB3">
          <w:rPr>
            <w:rFonts w:eastAsia="Arial"/>
            <w:u w:val="single"/>
            <w:lang w:bidi="sv-SE"/>
          </w:rPr>
          <w:t>Olthoff</w:t>
        </w:r>
        <w:proofErr w:type="spellEnd"/>
      </w:hyperlink>
      <w:r w:rsidRPr="00BE6EB3">
        <w:rPr>
          <w:rFonts w:eastAsia="Arial"/>
          <w:vertAlign w:val="superscript"/>
          <w:lang w:bidi="sv-SE"/>
        </w:rPr>
        <w:t> </w:t>
      </w:r>
      <w:r w:rsidRPr="00BE6EB3">
        <w:rPr>
          <w:rFonts w:eastAsia="Arial"/>
          <w:lang w:bidi="sv-SE"/>
        </w:rPr>
        <w:t>, </w:t>
      </w:r>
      <w:hyperlink r:id="rId25" w:history="1">
        <w:r w:rsidRPr="00BE6EB3">
          <w:rPr>
            <w:rFonts w:eastAsia="Arial"/>
            <w:u w:val="single"/>
            <w:lang w:bidi="sv-SE"/>
          </w:rPr>
          <w:t xml:space="preserve">John </w:t>
        </w:r>
        <w:proofErr w:type="spellStart"/>
        <w:r w:rsidRPr="00BE6EB3">
          <w:rPr>
            <w:rFonts w:eastAsia="Arial"/>
            <w:u w:val="single"/>
            <w:lang w:bidi="sv-SE"/>
          </w:rPr>
          <w:t>Bucuvalas</w:t>
        </w:r>
        <w:proofErr w:type="spellEnd"/>
      </w:hyperlink>
      <w:r w:rsidRPr="00BE6EB3">
        <w:rPr>
          <w:rFonts w:eastAsia="Arial"/>
          <w:lang w:bidi="sv-SE"/>
        </w:rPr>
        <w:t>, </w:t>
      </w:r>
      <w:hyperlink r:id="rId26" w:history="1">
        <w:r w:rsidRPr="00BE6EB3">
          <w:rPr>
            <w:rFonts w:eastAsia="Arial"/>
            <w:u w:val="single"/>
            <w:lang w:bidi="sv-SE"/>
          </w:rPr>
          <w:t>Ryan Fischer</w:t>
        </w:r>
      </w:hyperlink>
      <w:r w:rsidR="00EB3DB6">
        <w:rPr>
          <w:rFonts w:eastAsia="Arial"/>
          <w:u w:val="single"/>
          <w:lang w:bidi="sv-SE"/>
        </w:rPr>
        <w:br/>
      </w:r>
      <w:proofErr w:type="spellStart"/>
      <w:r w:rsidRPr="00850FE9">
        <w:rPr>
          <w:rFonts w:eastAsia="Arial"/>
          <w:lang w:bidi="sv-SE"/>
        </w:rPr>
        <w:t>Evaluation</w:t>
      </w:r>
      <w:proofErr w:type="spellEnd"/>
      <w:r w:rsidRPr="00850FE9">
        <w:rPr>
          <w:rFonts w:eastAsia="Arial"/>
          <w:lang w:bidi="sv-SE"/>
        </w:rPr>
        <w:t xml:space="preserve"> and Management </w:t>
      </w:r>
      <w:proofErr w:type="spellStart"/>
      <w:r w:rsidRPr="00850FE9">
        <w:rPr>
          <w:rFonts w:eastAsia="Arial"/>
          <w:lang w:bidi="sv-SE"/>
        </w:rPr>
        <w:t>of</w:t>
      </w:r>
      <w:proofErr w:type="spellEnd"/>
      <w:r w:rsidRPr="00850FE9">
        <w:rPr>
          <w:rFonts w:eastAsia="Arial"/>
          <w:lang w:bidi="sv-SE"/>
        </w:rPr>
        <w:t xml:space="preserve"> the Child and Adult </w:t>
      </w:r>
      <w:proofErr w:type="spellStart"/>
      <w:r w:rsidRPr="00850FE9">
        <w:rPr>
          <w:rFonts w:eastAsia="Arial"/>
          <w:lang w:bidi="sv-SE"/>
        </w:rPr>
        <w:t>With</w:t>
      </w:r>
      <w:proofErr w:type="spellEnd"/>
      <w:r w:rsidRPr="00850FE9">
        <w:rPr>
          <w:rFonts w:eastAsia="Arial"/>
          <w:lang w:bidi="sv-SE"/>
        </w:rPr>
        <w:t xml:space="preserve"> Fontan </w:t>
      </w:r>
      <w:proofErr w:type="spellStart"/>
      <w:r w:rsidRPr="00850FE9">
        <w:rPr>
          <w:rFonts w:eastAsia="Arial"/>
          <w:lang w:bidi="sv-SE"/>
        </w:rPr>
        <w:t>Circulation</w:t>
      </w:r>
      <w:proofErr w:type="spellEnd"/>
      <w:r w:rsidRPr="00850FE9">
        <w:rPr>
          <w:rFonts w:eastAsia="Arial"/>
          <w:lang w:bidi="sv-SE"/>
        </w:rPr>
        <w:t xml:space="preserve">: A </w:t>
      </w:r>
      <w:proofErr w:type="spellStart"/>
      <w:r w:rsidRPr="00850FE9">
        <w:rPr>
          <w:rFonts w:eastAsia="Arial"/>
          <w:lang w:bidi="sv-SE"/>
        </w:rPr>
        <w:t>Scientific</w:t>
      </w:r>
      <w:proofErr w:type="spellEnd"/>
      <w:r w:rsidRPr="00850FE9">
        <w:rPr>
          <w:rFonts w:eastAsia="Arial"/>
          <w:lang w:bidi="sv-SE"/>
        </w:rPr>
        <w:t xml:space="preserve"> Statement From the </w:t>
      </w:r>
      <w:proofErr w:type="spellStart"/>
      <w:r w:rsidRPr="00850FE9">
        <w:rPr>
          <w:rFonts w:eastAsia="Arial"/>
          <w:lang w:bidi="sv-SE"/>
        </w:rPr>
        <w:t>American</w:t>
      </w:r>
      <w:proofErr w:type="spellEnd"/>
      <w:r w:rsidRPr="00850FE9">
        <w:rPr>
          <w:rFonts w:eastAsia="Arial"/>
          <w:lang w:bidi="sv-SE"/>
        </w:rPr>
        <w:t xml:space="preserve"> Heart Association. </w:t>
      </w:r>
      <w:proofErr w:type="spellStart"/>
      <w:r w:rsidRPr="00850FE9">
        <w:rPr>
          <w:rFonts w:eastAsia="Arial"/>
          <w:lang w:bidi="sv-SE"/>
        </w:rPr>
        <w:t>Circulation</w:t>
      </w:r>
      <w:proofErr w:type="spellEnd"/>
      <w:r w:rsidRPr="00850FE9">
        <w:rPr>
          <w:rFonts w:eastAsia="Arial"/>
          <w:lang w:bidi="sv-SE"/>
        </w:rPr>
        <w:t xml:space="preserve"> </w:t>
      </w:r>
      <w:proofErr w:type="spellStart"/>
      <w:r w:rsidRPr="00850FE9">
        <w:rPr>
          <w:rFonts w:eastAsia="Arial"/>
          <w:color w:val="000000"/>
          <w:lang w:bidi="sv-SE"/>
        </w:rPr>
        <w:t>Volume</w:t>
      </w:r>
      <w:proofErr w:type="spellEnd"/>
      <w:r w:rsidRPr="00850FE9">
        <w:rPr>
          <w:rFonts w:eastAsia="Arial"/>
          <w:color w:val="000000"/>
          <w:lang w:bidi="sv-SE"/>
        </w:rPr>
        <w:t> 140, </w:t>
      </w:r>
      <w:proofErr w:type="spellStart"/>
      <w:r w:rsidRPr="00850FE9">
        <w:rPr>
          <w:rFonts w:eastAsia="Arial"/>
          <w:color w:val="000000"/>
          <w:lang w:bidi="sv-SE"/>
        </w:rPr>
        <w:t>Issue</w:t>
      </w:r>
      <w:proofErr w:type="spellEnd"/>
      <w:r w:rsidRPr="00850FE9">
        <w:rPr>
          <w:rFonts w:eastAsia="Arial"/>
          <w:color w:val="000000"/>
          <w:lang w:bidi="sv-SE"/>
        </w:rPr>
        <w:t xml:space="preserve"> 6, 6 August 2019, Pages e234-e284. </w:t>
      </w:r>
      <w:hyperlink r:id="rId27" w:tooltip="Jack Rychik" w:history="1">
        <w:r w:rsidRPr="00850FE9">
          <w:rPr>
            <w:color w:val="4A4A4A"/>
            <w:u w:val="single"/>
          </w:rPr>
          <w:t xml:space="preserve">Jack </w:t>
        </w:r>
        <w:proofErr w:type="spellStart"/>
        <w:r w:rsidRPr="00850FE9">
          <w:rPr>
            <w:color w:val="4A4A4A"/>
            <w:u w:val="single"/>
          </w:rPr>
          <w:t>Rychik</w:t>
        </w:r>
        <w:proofErr w:type="spellEnd"/>
      </w:hyperlink>
      <w:r w:rsidRPr="00850FE9">
        <w:rPr>
          <w:color w:val="4A4A4A"/>
        </w:rPr>
        <w:t xml:space="preserve"> et al.</w:t>
      </w:r>
    </w:p>
    <w:p w14:paraId="738296CC" w14:textId="77777777" w:rsidR="00850FE9" w:rsidRPr="00850FE9" w:rsidRDefault="00850FE9" w:rsidP="00850FE9">
      <w:pPr>
        <w:spacing w:after="0" w:line="240" w:lineRule="auto"/>
        <w:ind w:left="0" w:right="0"/>
      </w:pPr>
    </w:p>
    <w:p w14:paraId="73E008AB" w14:textId="77777777" w:rsidR="00850FE9" w:rsidRPr="00850FE9" w:rsidRDefault="00850FE9" w:rsidP="00850FE9">
      <w:pPr>
        <w:spacing w:after="0" w:line="240" w:lineRule="auto"/>
        <w:ind w:left="0" w:right="0"/>
      </w:pPr>
    </w:p>
    <w:p w14:paraId="74B96BFF" w14:textId="77777777" w:rsidR="00850FE9" w:rsidRPr="00850FE9" w:rsidRDefault="00850FE9" w:rsidP="00850FE9">
      <w:pPr>
        <w:spacing w:after="0" w:line="240" w:lineRule="auto"/>
        <w:ind w:left="0" w:right="0"/>
      </w:pPr>
    </w:p>
    <w:p w14:paraId="08711ACA" w14:textId="77777777" w:rsidR="00850FE9" w:rsidRPr="00850FE9" w:rsidRDefault="00850FE9" w:rsidP="00850FE9">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BD77BA">
      <w:type w:val="continuous"/>
      <w:pgSz w:w="11900" w:h="16840"/>
      <w:pgMar w:top="1418" w:right="1977"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12027D"/>
    <w:multiLevelType w:val="hybridMultilevel"/>
    <w:tmpl w:val="5AEA2C2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615E11"/>
    <w:multiLevelType w:val="hybridMultilevel"/>
    <w:tmpl w:val="F08CB05C"/>
    <w:lvl w:ilvl="0" w:tplc="FFFFFFFF">
      <w:start w:val="1"/>
      <w:numFmt w:val="bullet"/>
      <w:lvlText w:val=""/>
      <w:lvlJc w:val="left"/>
      <w:pPr>
        <w:ind w:left="938" w:hanging="360"/>
      </w:pPr>
      <w:rPr>
        <w:rFonts w:ascii="Symbol" w:hAnsi="Symbol" w:hint="default"/>
      </w:rPr>
    </w:lvl>
    <w:lvl w:ilvl="1" w:tplc="FFFFFFFF" w:tentative="1">
      <w:start w:val="1"/>
      <w:numFmt w:val="bullet"/>
      <w:lvlText w:val="o"/>
      <w:lvlJc w:val="left"/>
      <w:pPr>
        <w:ind w:left="1658" w:hanging="360"/>
      </w:pPr>
      <w:rPr>
        <w:rFonts w:ascii="Courier New" w:hAnsi="Courier New" w:cs="Courier New" w:hint="default"/>
      </w:rPr>
    </w:lvl>
    <w:lvl w:ilvl="2" w:tplc="FFFFFFFF" w:tentative="1">
      <w:start w:val="1"/>
      <w:numFmt w:val="bullet"/>
      <w:lvlText w:val=""/>
      <w:lvlJc w:val="left"/>
      <w:pPr>
        <w:ind w:left="2378" w:hanging="360"/>
      </w:pPr>
      <w:rPr>
        <w:rFonts w:ascii="Wingdings" w:hAnsi="Wingdings" w:hint="default"/>
      </w:rPr>
    </w:lvl>
    <w:lvl w:ilvl="3" w:tplc="FFFFFFFF" w:tentative="1">
      <w:start w:val="1"/>
      <w:numFmt w:val="bullet"/>
      <w:lvlText w:val=""/>
      <w:lvlJc w:val="left"/>
      <w:pPr>
        <w:ind w:left="3098" w:hanging="360"/>
      </w:pPr>
      <w:rPr>
        <w:rFonts w:ascii="Symbol" w:hAnsi="Symbol" w:hint="default"/>
      </w:rPr>
    </w:lvl>
    <w:lvl w:ilvl="4" w:tplc="FFFFFFFF" w:tentative="1">
      <w:start w:val="1"/>
      <w:numFmt w:val="bullet"/>
      <w:lvlText w:val="o"/>
      <w:lvlJc w:val="left"/>
      <w:pPr>
        <w:ind w:left="3818" w:hanging="360"/>
      </w:pPr>
      <w:rPr>
        <w:rFonts w:ascii="Courier New" w:hAnsi="Courier New" w:cs="Courier New" w:hint="default"/>
      </w:rPr>
    </w:lvl>
    <w:lvl w:ilvl="5" w:tplc="FFFFFFFF" w:tentative="1">
      <w:start w:val="1"/>
      <w:numFmt w:val="bullet"/>
      <w:lvlText w:val=""/>
      <w:lvlJc w:val="left"/>
      <w:pPr>
        <w:ind w:left="4538" w:hanging="360"/>
      </w:pPr>
      <w:rPr>
        <w:rFonts w:ascii="Wingdings" w:hAnsi="Wingdings" w:hint="default"/>
      </w:rPr>
    </w:lvl>
    <w:lvl w:ilvl="6" w:tplc="FFFFFFFF" w:tentative="1">
      <w:start w:val="1"/>
      <w:numFmt w:val="bullet"/>
      <w:lvlText w:val=""/>
      <w:lvlJc w:val="left"/>
      <w:pPr>
        <w:ind w:left="5258" w:hanging="360"/>
      </w:pPr>
      <w:rPr>
        <w:rFonts w:ascii="Symbol" w:hAnsi="Symbol" w:hint="default"/>
      </w:rPr>
    </w:lvl>
    <w:lvl w:ilvl="7" w:tplc="FFFFFFFF" w:tentative="1">
      <w:start w:val="1"/>
      <w:numFmt w:val="bullet"/>
      <w:lvlText w:val="o"/>
      <w:lvlJc w:val="left"/>
      <w:pPr>
        <w:ind w:left="5978" w:hanging="360"/>
      </w:pPr>
      <w:rPr>
        <w:rFonts w:ascii="Courier New" w:hAnsi="Courier New" w:cs="Courier New" w:hint="default"/>
      </w:rPr>
    </w:lvl>
    <w:lvl w:ilvl="8" w:tplc="FFFFFFFF" w:tentative="1">
      <w:start w:val="1"/>
      <w:numFmt w:val="bullet"/>
      <w:lvlText w:val=""/>
      <w:lvlJc w:val="left"/>
      <w:pPr>
        <w:ind w:left="6698" w:hanging="360"/>
      </w:pPr>
      <w:rPr>
        <w:rFonts w:ascii="Wingdings" w:hAnsi="Wingdings" w:hint="default"/>
      </w:rPr>
    </w:lvl>
  </w:abstractNum>
  <w:abstractNum w:abstractNumId="6" w15:restartNumberingAfterBreak="0">
    <w:nsid w:val="0F8F0503"/>
    <w:multiLevelType w:val="hybridMultilevel"/>
    <w:tmpl w:val="CFAA673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C561FCD"/>
    <w:multiLevelType w:val="hybridMultilevel"/>
    <w:tmpl w:val="5D76E8C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C6740A"/>
    <w:multiLevelType w:val="hybridMultilevel"/>
    <w:tmpl w:val="039A7C8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45366913"/>
    <w:multiLevelType w:val="hybridMultilevel"/>
    <w:tmpl w:val="A9800650"/>
    <w:lvl w:ilvl="0" w:tplc="FFFFFFFF">
      <w:start w:val="1"/>
      <w:numFmt w:val="bullet"/>
      <w:lvlText w:val=""/>
      <w:lvlJc w:val="left"/>
      <w:pPr>
        <w:ind w:left="938" w:hanging="360"/>
      </w:pPr>
      <w:rPr>
        <w:rFonts w:ascii="Symbol" w:hAnsi="Symbol" w:hint="default"/>
      </w:rPr>
    </w:lvl>
    <w:lvl w:ilvl="1" w:tplc="FFFFFFFF" w:tentative="1">
      <w:start w:val="1"/>
      <w:numFmt w:val="bullet"/>
      <w:lvlText w:val="o"/>
      <w:lvlJc w:val="left"/>
      <w:pPr>
        <w:ind w:left="1658" w:hanging="360"/>
      </w:pPr>
      <w:rPr>
        <w:rFonts w:ascii="Courier New" w:hAnsi="Courier New" w:cs="Courier New" w:hint="default"/>
      </w:rPr>
    </w:lvl>
    <w:lvl w:ilvl="2" w:tplc="FFFFFFFF" w:tentative="1">
      <w:start w:val="1"/>
      <w:numFmt w:val="bullet"/>
      <w:lvlText w:val=""/>
      <w:lvlJc w:val="left"/>
      <w:pPr>
        <w:ind w:left="2378" w:hanging="360"/>
      </w:pPr>
      <w:rPr>
        <w:rFonts w:ascii="Wingdings" w:hAnsi="Wingdings" w:hint="default"/>
      </w:rPr>
    </w:lvl>
    <w:lvl w:ilvl="3" w:tplc="FFFFFFFF" w:tentative="1">
      <w:start w:val="1"/>
      <w:numFmt w:val="bullet"/>
      <w:lvlText w:val=""/>
      <w:lvlJc w:val="left"/>
      <w:pPr>
        <w:ind w:left="3098" w:hanging="360"/>
      </w:pPr>
      <w:rPr>
        <w:rFonts w:ascii="Symbol" w:hAnsi="Symbol" w:hint="default"/>
      </w:rPr>
    </w:lvl>
    <w:lvl w:ilvl="4" w:tplc="FFFFFFFF" w:tentative="1">
      <w:start w:val="1"/>
      <w:numFmt w:val="bullet"/>
      <w:lvlText w:val="o"/>
      <w:lvlJc w:val="left"/>
      <w:pPr>
        <w:ind w:left="3818" w:hanging="360"/>
      </w:pPr>
      <w:rPr>
        <w:rFonts w:ascii="Courier New" w:hAnsi="Courier New" w:cs="Courier New" w:hint="default"/>
      </w:rPr>
    </w:lvl>
    <w:lvl w:ilvl="5" w:tplc="FFFFFFFF" w:tentative="1">
      <w:start w:val="1"/>
      <w:numFmt w:val="bullet"/>
      <w:lvlText w:val=""/>
      <w:lvlJc w:val="left"/>
      <w:pPr>
        <w:ind w:left="4538" w:hanging="360"/>
      </w:pPr>
      <w:rPr>
        <w:rFonts w:ascii="Wingdings" w:hAnsi="Wingdings" w:hint="default"/>
      </w:rPr>
    </w:lvl>
    <w:lvl w:ilvl="6" w:tplc="FFFFFFFF" w:tentative="1">
      <w:start w:val="1"/>
      <w:numFmt w:val="bullet"/>
      <w:lvlText w:val=""/>
      <w:lvlJc w:val="left"/>
      <w:pPr>
        <w:ind w:left="5258" w:hanging="360"/>
      </w:pPr>
      <w:rPr>
        <w:rFonts w:ascii="Symbol" w:hAnsi="Symbol" w:hint="default"/>
      </w:rPr>
    </w:lvl>
    <w:lvl w:ilvl="7" w:tplc="FFFFFFFF" w:tentative="1">
      <w:start w:val="1"/>
      <w:numFmt w:val="bullet"/>
      <w:lvlText w:val="o"/>
      <w:lvlJc w:val="left"/>
      <w:pPr>
        <w:ind w:left="5978" w:hanging="360"/>
      </w:pPr>
      <w:rPr>
        <w:rFonts w:ascii="Courier New" w:hAnsi="Courier New" w:cs="Courier New" w:hint="default"/>
      </w:rPr>
    </w:lvl>
    <w:lvl w:ilvl="8" w:tplc="FFFFFFFF" w:tentative="1">
      <w:start w:val="1"/>
      <w:numFmt w:val="bullet"/>
      <w:lvlText w:val=""/>
      <w:lvlJc w:val="left"/>
      <w:pPr>
        <w:ind w:left="6698"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4F433B4"/>
    <w:multiLevelType w:val="hybridMultilevel"/>
    <w:tmpl w:val="863E5AB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ADB67A1"/>
    <w:multiLevelType w:val="hybridMultilevel"/>
    <w:tmpl w:val="B302FE46"/>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1437" w:hanging="360"/>
      </w:pPr>
      <w:rPr>
        <w:rFonts w:ascii="Courier New" w:hAnsi="Courier New" w:cs="Courier New" w:hint="default"/>
      </w:rPr>
    </w:lvl>
    <w:lvl w:ilvl="2" w:tplc="041D0005" w:tentative="1">
      <w:start w:val="1"/>
      <w:numFmt w:val="bullet"/>
      <w:lvlText w:val=""/>
      <w:lvlJc w:val="left"/>
      <w:pPr>
        <w:ind w:left="2157" w:hanging="360"/>
      </w:pPr>
      <w:rPr>
        <w:rFonts w:ascii="Wingdings" w:hAnsi="Wingdings" w:hint="default"/>
      </w:rPr>
    </w:lvl>
    <w:lvl w:ilvl="3" w:tplc="041D0001" w:tentative="1">
      <w:start w:val="1"/>
      <w:numFmt w:val="bullet"/>
      <w:lvlText w:val=""/>
      <w:lvlJc w:val="left"/>
      <w:pPr>
        <w:ind w:left="2877" w:hanging="360"/>
      </w:pPr>
      <w:rPr>
        <w:rFonts w:ascii="Symbol" w:hAnsi="Symbol" w:hint="default"/>
      </w:rPr>
    </w:lvl>
    <w:lvl w:ilvl="4" w:tplc="041D0003" w:tentative="1">
      <w:start w:val="1"/>
      <w:numFmt w:val="bullet"/>
      <w:lvlText w:val="o"/>
      <w:lvlJc w:val="left"/>
      <w:pPr>
        <w:ind w:left="3597" w:hanging="360"/>
      </w:pPr>
      <w:rPr>
        <w:rFonts w:ascii="Courier New" w:hAnsi="Courier New" w:cs="Courier New" w:hint="default"/>
      </w:rPr>
    </w:lvl>
    <w:lvl w:ilvl="5" w:tplc="041D0005" w:tentative="1">
      <w:start w:val="1"/>
      <w:numFmt w:val="bullet"/>
      <w:lvlText w:val=""/>
      <w:lvlJc w:val="left"/>
      <w:pPr>
        <w:ind w:left="4317" w:hanging="360"/>
      </w:pPr>
      <w:rPr>
        <w:rFonts w:ascii="Wingdings" w:hAnsi="Wingdings" w:hint="default"/>
      </w:rPr>
    </w:lvl>
    <w:lvl w:ilvl="6" w:tplc="041D0001" w:tentative="1">
      <w:start w:val="1"/>
      <w:numFmt w:val="bullet"/>
      <w:lvlText w:val=""/>
      <w:lvlJc w:val="left"/>
      <w:pPr>
        <w:ind w:left="5037" w:hanging="360"/>
      </w:pPr>
      <w:rPr>
        <w:rFonts w:ascii="Symbol" w:hAnsi="Symbol" w:hint="default"/>
      </w:rPr>
    </w:lvl>
    <w:lvl w:ilvl="7" w:tplc="041D0003" w:tentative="1">
      <w:start w:val="1"/>
      <w:numFmt w:val="bullet"/>
      <w:lvlText w:val="o"/>
      <w:lvlJc w:val="left"/>
      <w:pPr>
        <w:ind w:left="5757" w:hanging="360"/>
      </w:pPr>
      <w:rPr>
        <w:rFonts w:ascii="Courier New" w:hAnsi="Courier New" w:cs="Courier New" w:hint="default"/>
      </w:rPr>
    </w:lvl>
    <w:lvl w:ilvl="8" w:tplc="041D0005" w:tentative="1">
      <w:start w:val="1"/>
      <w:numFmt w:val="bullet"/>
      <w:lvlText w:val=""/>
      <w:lvlJc w:val="left"/>
      <w:pPr>
        <w:ind w:left="6477"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25"/>
  </w:num>
  <w:num w:numId="2">
    <w:abstractNumId w:val="20"/>
  </w:num>
  <w:num w:numId="3">
    <w:abstractNumId w:val="0"/>
  </w:num>
  <w:num w:numId="4">
    <w:abstractNumId w:val="9"/>
  </w:num>
  <w:num w:numId="5">
    <w:abstractNumId w:val="22"/>
  </w:num>
  <w:num w:numId="6">
    <w:abstractNumId w:val="3"/>
  </w:num>
  <w:num w:numId="7">
    <w:abstractNumId w:val="15"/>
  </w:num>
  <w:num w:numId="8">
    <w:abstractNumId w:val="12"/>
  </w:num>
  <w:num w:numId="9">
    <w:abstractNumId w:val="1"/>
  </w:num>
  <w:num w:numId="10">
    <w:abstractNumId w:val="1"/>
  </w:num>
  <w:num w:numId="11">
    <w:abstractNumId w:val="4"/>
  </w:num>
  <w:num w:numId="12">
    <w:abstractNumId w:val="7"/>
  </w:num>
  <w:num w:numId="13">
    <w:abstractNumId w:val="19"/>
  </w:num>
  <w:num w:numId="14">
    <w:abstractNumId w:val="13"/>
  </w:num>
  <w:num w:numId="15">
    <w:abstractNumId w:val="10"/>
  </w:num>
  <w:num w:numId="16">
    <w:abstractNumId w:val="18"/>
  </w:num>
  <w:num w:numId="17">
    <w:abstractNumId w:val="8"/>
  </w:num>
  <w:num w:numId="18">
    <w:abstractNumId w:val="14"/>
  </w:num>
  <w:num w:numId="19">
    <w:abstractNumId w:val="24"/>
  </w:num>
  <w:num w:numId="20">
    <w:abstractNumId w:val="5"/>
  </w:num>
  <w:num w:numId="21">
    <w:abstractNumId w:val="17"/>
  </w:num>
  <w:num w:numId="22">
    <w:abstractNumId w:val="16"/>
  </w:num>
  <w:num w:numId="23">
    <w:abstractNumId w:val="21"/>
  </w:num>
  <w:num w:numId="24">
    <w:abstractNumId w:val="2"/>
  </w:num>
  <w:num w:numId="25">
    <w:abstractNumId w:val="23"/>
  </w:num>
  <w:num w:numId="26">
    <w:abstractNumId w:val="6"/>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0FE9"/>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77BA"/>
    <w:rsid w:val="00BE6EB3"/>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0C69"/>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3DB6"/>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pubmed.ncbi.nlm.nih.gov/?sort=date&amp;term=Zaidi+AN&amp;cauthor_id=32776846" TargetMode="External" Id="rId18" /><Relationship Type="http://schemas.openxmlformats.org/officeDocument/2006/relationships/hyperlink" Target="https://pubmed.ncbi.nlm.nih.gov/?sort=date&amp;term=Fischer+R&amp;cauthor_id=32776846" TargetMode="External" Id="rId26" /><Relationship Type="http://schemas.openxmlformats.org/officeDocument/2006/relationships/hyperlink" Target="https://pubmed.ncbi.nlm.nih.gov/?sort=date&amp;term=Valentino+PL&amp;cauthor_id=32776846"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pubmed.ncbi.nlm.nih.gov/?sort=date&amp;term=Emamaullee+J&amp;cauthor_id=32776846" TargetMode="External" Id="rId17" /><Relationship Type="http://schemas.openxmlformats.org/officeDocument/2006/relationships/hyperlink" Target="https://pubmed.ncbi.nlm.nih.gov/?sort=date&amp;term=Bucuvalas+J&amp;cauthor_id=32776846" TargetMode="External" Id="rId25" /><Relationship Type="http://schemas.openxmlformats.org/officeDocument/2006/relationships/footer" Target="footer3.xml" Id="rId16" /><Relationship Type="http://schemas.openxmlformats.org/officeDocument/2006/relationships/hyperlink" Target="https://pubmed.ncbi.nlm.nih.gov/?sort=date&amp;term=Kahn+J&amp;cauthor_id=32776846"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pubmed.ncbi.nlm.nih.gov/?sort=date&amp;term=Olthoff+KM&amp;cauthor_id=32776846" TargetMode="External" Id="rId24" /><Relationship Type="http://schemas.openxmlformats.org/officeDocument/2006/relationships/header" Target="header2.xml" Id="rId15" /><Relationship Type="http://schemas.openxmlformats.org/officeDocument/2006/relationships/hyperlink" Target="https://pubmed.ncbi.nlm.nih.gov/?sort=date&amp;term=Wald+JW&amp;cauthor_id=32776846"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pubmed.ncbi.nlm.nih.gov/?sort=date&amp;term=Schiano+T&amp;cauthor_id=32776846"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pubmed.ncbi.nlm.nih.gov/?sort=date&amp;term=Hofer+RE&amp;cauthor_id=32776846" TargetMode="External" Id="rId22" /><Relationship Type="http://schemas.openxmlformats.org/officeDocument/2006/relationships/hyperlink" Target="https://www.ahajournals.org/doi/10.1161/CIR.0000000000000696?url_ver=Z39.88-2003&amp;rfr_id=ori:rid:crossref.org&amp;rfr_dat=cr_pub%20%200pubmed"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3</Pages>
  <Words>536</Words>
  <Characters>4867</Characters>
  <Application>Microsoft Office Word</Application>
  <DocSecurity>0</DocSecurity>
  <Lines>40</Lines>
  <Paragraphs>10</Paragraphs>
  <ScaleCrop>false</ScaleCrop>
  <HeadingPairs>
    <vt:vector size="2" baseType="variant">
      <vt:variant>
        <vt:lpstr>Rubrik</vt:lpstr>
      </vt:variant>
      <vt:variant>
        <vt:i4>1</vt:i4>
      </vt:variant>
    </vt:vector>
  </HeadingPairs>
  <TitlesOfParts>
    <vt:vector size="1" baseType="lpstr">
      <vt:lpstr>Leversjukdom efter Fontankirurgi</vt:lpstr>
    </vt:vector>
  </TitlesOfParts>
  <Manager/>
  <Company/>
  <LinksUpToDate>false</LinksUpToDate>
  <CharactersWithSpaces>5393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Leversjukdom efter Fontankirurgi</dc:title>
  <dc:subject/>
  <dc:creator>patrik.jens.johansson@vgregion.se</dc:creator>
  <keywords/>
  <lastModifiedBy>Veronika Sundvall</lastModifiedBy>
  <revision>3</revision>
  <lastPrinted>2016-03-31T10:56:00.0000000Z</lastPrinted>
  <dcterms:created xsi:type="dcterms:W3CDTF">2022-04-26T12:26:00.0000000Z</dcterms:created>
  <dcterms:modified xsi:type="dcterms:W3CDTF">2022-09-28T09:09:00.0000000Z</dcterms:modified>
</coreProperties>
</file>