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83C4FC" w14:textId="77777777" w:rsidR="00DE6796" w:rsidRDefault="00DE6796" w:rsidP="00F35B05">
      <w:pPr>
        <w:pStyle w:val="Heading2"/>
        <w:sectPr w:rsidR="00DE6796" w:rsidSect="00DE679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F28A999" w14:textId="77777777" w:rsidR="00DE6796" w:rsidRPr="00DE6796" w:rsidRDefault="00DE6796" w:rsidP="00DE6796">
      <w:pPr>
        <w:keepNext/>
        <w:spacing w:after="60" w:line="240" w:lineRule="auto"/>
        <w:ind w:left="0" w:right="0"/>
        <w:outlineLvl w:val="2"/>
        <w:rPr>
          <w:rFonts w:ascii="Arial" w:hAnsi="Arial" w:cs="Arial"/>
          <w:b/>
          <w:bCs/>
          <w:szCs w:val="26"/>
        </w:rPr>
      </w:pPr>
      <w:r w:rsidRPr="00DE6796">
        <w:rPr>
          <w:rFonts w:ascii="Arial" w:hAnsi="Arial" w:cs="Arial"/>
          <w:b/>
          <w:bCs/>
          <w:szCs w:val="26"/>
        </w:rPr>
        <w:t>Revideringar i denna version</w:t>
      </w:r>
    </w:p>
    <w:p w14:paraId="05FF3950" w14:textId="77777777" w:rsidR="00DE6796" w:rsidRPr="00DE6796" w:rsidRDefault="00DE6796" w:rsidP="00DE6796">
      <w:pPr>
        <w:spacing w:after="0" w:line="240" w:lineRule="auto"/>
        <w:ind w:left="0" w:right="0"/>
        <w:rPr>
          <w:rFonts w:ascii="Arial" w:hAnsi="Arial" w:cs="Arial"/>
          <w:sz w:val="20"/>
        </w:rPr>
      </w:pPr>
      <w:r w:rsidRPr="00DE6796">
        <w:rPr>
          <w:rFonts w:ascii="Arial" w:hAnsi="Arial" w:cs="Arial"/>
          <w:sz w:val="20"/>
        </w:rPr>
        <w:t xml:space="preserve">Inga. </w:t>
      </w:r>
    </w:p>
    <w:p w14:paraId="2B4666BD" w14:textId="77777777" w:rsidR="00DE6796" w:rsidRPr="00DE6796" w:rsidRDefault="00DE6796" w:rsidP="00DE6796">
      <w:pPr>
        <w:spacing w:after="0" w:line="240" w:lineRule="auto"/>
        <w:ind w:left="0" w:right="0"/>
      </w:pPr>
    </w:p>
    <w:p w14:paraId="46E02EBC" w14:textId="77777777" w:rsidR="00DE6796" w:rsidRPr="00DE6796" w:rsidRDefault="00DE6796" w:rsidP="00DE6796">
      <w:pPr>
        <w:keepNext/>
        <w:spacing w:after="60" w:line="240" w:lineRule="auto"/>
        <w:ind w:left="0" w:right="0"/>
        <w:outlineLvl w:val="2"/>
        <w:rPr>
          <w:rFonts w:ascii="Arial" w:hAnsi="Arial" w:cs="Arial"/>
          <w:b/>
          <w:bCs/>
          <w:szCs w:val="26"/>
        </w:rPr>
      </w:pPr>
      <w:r w:rsidRPr="00DE6796">
        <w:rPr>
          <w:rFonts w:ascii="Arial" w:hAnsi="Arial" w:cs="Arial"/>
          <w:b/>
          <w:bCs/>
          <w:szCs w:val="26"/>
        </w:rPr>
        <w:t>Syfte</w:t>
      </w:r>
    </w:p>
    <w:p w14:paraId="216DC67A" w14:textId="77777777" w:rsidR="00DE6796" w:rsidRPr="00DE6796" w:rsidRDefault="00DE6796" w:rsidP="00DE6796">
      <w:pPr>
        <w:spacing w:after="0" w:line="240" w:lineRule="auto"/>
        <w:ind w:left="0" w:right="0"/>
        <w:rPr>
          <w:rFonts w:ascii="Arial" w:hAnsi="Arial" w:cs="Arial"/>
          <w:sz w:val="20"/>
        </w:rPr>
      </w:pPr>
      <w:r w:rsidRPr="00DE6796">
        <w:rPr>
          <w:rFonts w:ascii="Arial" w:hAnsi="Arial" w:cs="Arial"/>
          <w:sz w:val="20"/>
        </w:rPr>
        <w:t>Rutinen syftar till att ge en enhetlig vård samt dokumentation baserad på kunskap, erfarenhet och forskningsresultat. Att systematisera och effektivisera omvårdnadsarbetet och säkerställa patientens vård och omhändertagande på ett optimalt sätt, samt att minska risken för fel och brister uppstår samt att underlätta introduktionen av nya medarbetare.</w:t>
      </w:r>
    </w:p>
    <w:p w14:paraId="0B640A8B" w14:textId="77777777" w:rsidR="00DE6796" w:rsidRPr="00DE6796" w:rsidRDefault="00DE6796" w:rsidP="00DE6796">
      <w:pPr>
        <w:spacing w:after="0" w:line="240" w:lineRule="auto"/>
        <w:ind w:left="0" w:right="0"/>
        <w:rPr>
          <w:rFonts w:ascii="Arial" w:hAnsi="Arial" w:cs="Arial"/>
          <w:sz w:val="20"/>
        </w:rPr>
      </w:pPr>
    </w:p>
    <w:p w14:paraId="17F53045" w14:textId="77777777" w:rsidR="00DE6796" w:rsidRPr="00DE6796" w:rsidRDefault="00DE6796" w:rsidP="00DE6796">
      <w:pPr>
        <w:keepNext/>
        <w:spacing w:after="60" w:line="240" w:lineRule="auto"/>
        <w:ind w:left="0" w:right="0"/>
        <w:outlineLvl w:val="2"/>
        <w:rPr>
          <w:rFonts w:ascii="Arial" w:hAnsi="Arial" w:cs="Arial"/>
          <w:b/>
          <w:bCs/>
          <w:szCs w:val="26"/>
        </w:rPr>
      </w:pPr>
      <w:r w:rsidRPr="00DE6796">
        <w:rPr>
          <w:rFonts w:ascii="Arial" w:hAnsi="Arial" w:cs="Arial"/>
          <w:b/>
          <w:bCs/>
          <w:szCs w:val="26"/>
        </w:rPr>
        <w:t>Ansvar</w:t>
      </w:r>
    </w:p>
    <w:p w14:paraId="34497C44" w14:textId="77777777" w:rsidR="00DE6796" w:rsidRPr="00DE6796" w:rsidRDefault="00DE6796" w:rsidP="00DE6796">
      <w:pPr>
        <w:spacing w:after="0" w:line="240" w:lineRule="auto"/>
        <w:ind w:left="0" w:right="0"/>
        <w:rPr>
          <w:rFonts w:ascii="Arial" w:hAnsi="Arial" w:cs="Arial"/>
          <w:sz w:val="20"/>
        </w:rPr>
      </w:pPr>
      <w:r w:rsidRPr="00DE6796">
        <w:rPr>
          <w:rFonts w:ascii="Arial" w:hAnsi="Arial" w:cs="Arial"/>
          <w:sz w:val="20"/>
        </w:rPr>
        <w:t xml:space="preserve">Medicinskt ansvarig sektionschef på enheten är tillsammans med vårdenhetschefen på enheten ansvarig för att rutinen är känd och följs. </w:t>
      </w:r>
    </w:p>
    <w:p w14:paraId="02311533" w14:textId="77777777" w:rsidR="00DE6796" w:rsidRPr="00DE6796" w:rsidRDefault="00DE6796" w:rsidP="00DE6796">
      <w:pPr>
        <w:spacing w:after="0" w:line="240" w:lineRule="auto"/>
        <w:ind w:left="0" w:right="0"/>
      </w:pPr>
    </w:p>
    <w:p w14:paraId="3006E67F" w14:textId="77777777" w:rsidR="00DE6796" w:rsidRPr="00DE6796" w:rsidRDefault="00DE6796" w:rsidP="00DE6796">
      <w:pPr>
        <w:keepNext/>
        <w:spacing w:after="60" w:line="240" w:lineRule="auto"/>
        <w:ind w:left="0" w:right="0"/>
        <w:outlineLvl w:val="2"/>
        <w:rPr>
          <w:rFonts w:ascii="Arial" w:hAnsi="Arial" w:cs="Arial"/>
          <w:b/>
          <w:bCs/>
          <w:szCs w:val="26"/>
        </w:rPr>
      </w:pPr>
      <w:r w:rsidRPr="00DE6796">
        <w:rPr>
          <w:rFonts w:ascii="Arial" w:hAnsi="Arial" w:cs="Arial"/>
          <w:b/>
          <w:bCs/>
          <w:szCs w:val="26"/>
        </w:rPr>
        <w:t>Arbetsbeskrivning</w:t>
      </w:r>
    </w:p>
    <w:p w14:paraId="13C56CFC"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BAKGRUND</w:t>
      </w:r>
      <w:r w:rsidRPr="00DE6796">
        <w:rPr>
          <w:rFonts w:ascii="Arial" w:hAnsi="Arial" w:cs="Arial"/>
          <w:b/>
          <w:sz w:val="20"/>
        </w:rPr>
        <w:tab/>
      </w:r>
      <w:r w:rsidRPr="00DE6796">
        <w:rPr>
          <w:rFonts w:ascii="Arial" w:hAnsi="Arial" w:cs="Arial"/>
          <w:sz w:val="20"/>
        </w:rPr>
        <w:t xml:space="preserve">Osäkerhet finns när det gäller postoperativ smärtbehandling av patienter </w:t>
      </w:r>
    </w:p>
    <w:p w14:paraId="17F2B7AC"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med pågående eller tidigare bensodiazepin- och/eller opioidmissbruk då vi</w:t>
      </w:r>
    </w:p>
    <w:p w14:paraId="557CF6D5"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inte har haft några riktlinjer. Osäkerheten ligger bland annat i att både</w:t>
      </w:r>
    </w:p>
    <w:p w14:paraId="36162FCF"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personal och patienter, framför allt patienter med tidigare aktivt missbruk,</w:t>
      </w:r>
    </w:p>
    <w:p w14:paraId="0C34D74B"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 xml:space="preserve">är rädda för att använda opioider postoperativt. </w:t>
      </w:r>
    </w:p>
    <w:p w14:paraId="62340979"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 xml:space="preserve">Vi är även ovana vid att diagnostisera och behandla abstinens, som kan bli </w:t>
      </w:r>
    </w:p>
    <w:p w14:paraId="015C4DC3"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 xml:space="preserve">aktuell vid patienter med pågående missbruk. </w:t>
      </w:r>
    </w:p>
    <w:p w14:paraId="4D1FED68" w14:textId="77777777" w:rsidR="00DE6796" w:rsidRPr="00DE6796" w:rsidRDefault="00DE6796" w:rsidP="00DE6796">
      <w:pPr>
        <w:tabs>
          <w:tab w:val="left" w:pos="2268"/>
          <w:tab w:val="left" w:pos="2835"/>
        </w:tabs>
        <w:spacing w:after="0" w:line="240" w:lineRule="auto"/>
        <w:ind w:left="0" w:right="0"/>
        <w:rPr>
          <w:rFonts w:ascii="Arial" w:hAnsi="Arial" w:cs="Arial"/>
          <w:sz w:val="20"/>
        </w:rPr>
      </w:pPr>
    </w:p>
    <w:p w14:paraId="5CE39821"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r>
      <w:r w:rsidRPr="00DE6796">
        <w:rPr>
          <w:rFonts w:ascii="Arial" w:hAnsi="Arial" w:cs="Arial"/>
          <w:b/>
          <w:sz w:val="20"/>
        </w:rPr>
        <w:t>Tolerans:</w:t>
      </w:r>
      <w:r w:rsidRPr="00DE6796">
        <w:rPr>
          <w:rFonts w:ascii="Arial" w:hAnsi="Arial" w:cs="Arial"/>
          <w:sz w:val="20"/>
        </w:rPr>
        <w:t xml:space="preserve"> högre doser behövs gradvis för att uppnå samma effekt. </w:t>
      </w:r>
    </w:p>
    <w:p w14:paraId="22501E21" w14:textId="77777777" w:rsidR="00DE6796" w:rsidRPr="00DE6796" w:rsidRDefault="00DE6796" w:rsidP="00DE6796">
      <w:pPr>
        <w:tabs>
          <w:tab w:val="left" w:pos="2268"/>
          <w:tab w:val="left" w:pos="2835"/>
        </w:tabs>
        <w:spacing w:after="0" w:line="240" w:lineRule="auto"/>
        <w:ind w:left="0" w:right="0"/>
        <w:rPr>
          <w:rFonts w:ascii="Arial" w:hAnsi="Arial" w:cs="Arial"/>
          <w:sz w:val="20"/>
        </w:rPr>
      </w:pPr>
    </w:p>
    <w:p w14:paraId="76A0A04B"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r>
      <w:r w:rsidRPr="00DE6796">
        <w:rPr>
          <w:rFonts w:ascii="Arial" w:hAnsi="Arial" w:cs="Arial"/>
          <w:b/>
          <w:sz w:val="20"/>
        </w:rPr>
        <w:t>Fysiskt beroende:</w:t>
      </w:r>
      <w:r w:rsidRPr="00DE6796">
        <w:rPr>
          <w:rFonts w:ascii="Arial" w:hAnsi="Arial" w:cs="Arial"/>
          <w:sz w:val="20"/>
        </w:rPr>
        <w:t xml:space="preserve"> tillvänjning av en drog, karaktäriseras av tolerans-</w:t>
      </w:r>
    </w:p>
    <w:p w14:paraId="0B3241F4"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utveckling och abstinenssymptom om drogen tas bort.</w:t>
      </w:r>
    </w:p>
    <w:p w14:paraId="2218E5EA" w14:textId="77777777" w:rsidR="00DE6796" w:rsidRPr="00DE6796" w:rsidRDefault="00DE6796" w:rsidP="00DE6796">
      <w:pPr>
        <w:tabs>
          <w:tab w:val="left" w:pos="2268"/>
          <w:tab w:val="left" w:pos="2835"/>
        </w:tabs>
        <w:spacing w:after="0" w:line="240" w:lineRule="auto"/>
        <w:ind w:left="0" w:right="0"/>
        <w:rPr>
          <w:rFonts w:ascii="Arial" w:hAnsi="Arial" w:cs="Arial"/>
          <w:sz w:val="20"/>
        </w:rPr>
      </w:pPr>
    </w:p>
    <w:p w14:paraId="3039054B"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r>
      <w:r w:rsidRPr="00DE6796">
        <w:rPr>
          <w:rFonts w:ascii="Arial" w:hAnsi="Arial" w:cs="Arial"/>
          <w:b/>
          <w:sz w:val="20"/>
        </w:rPr>
        <w:t>Missbruk:</w:t>
      </w:r>
      <w:r w:rsidRPr="00DE6796">
        <w:rPr>
          <w:rFonts w:ascii="Arial" w:hAnsi="Arial" w:cs="Arial"/>
          <w:sz w:val="20"/>
        </w:rPr>
        <w:t xml:space="preserve"> en kronisk sjukdom som kräver livslång psykosocial och ibland</w:t>
      </w:r>
    </w:p>
    <w:p w14:paraId="168CEC6F"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medicinsk behandling. Återfall är nära 100 % inom 6 månader utan eller</w:t>
      </w:r>
    </w:p>
    <w:p w14:paraId="37571E2A"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med ineffektiv behandling. En del heroinister har metadonbehandling.</w:t>
      </w:r>
    </w:p>
    <w:p w14:paraId="242D01CF"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 xml:space="preserve">Metadon är en opioid som inte åstadkommer eufori. </w:t>
      </w:r>
    </w:p>
    <w:p w14:paraId="6DAB1FCA" w14:textId="77777777" w:rsidR="00DE6796" w:rsidRPr="00DE6796" w:rsidRDefault="00DE6796" w:rsidP="00DE6796">
      <w:pPr>
        <w:tabs>
          <w:tab w:val="left" w:pos="2268"/>
          <w:tab w:val="left" w:pos="2835"/>
        </w:tabs>
        <w:spacing w:after="0" w:line="240" w:lineRule="auto"/>
        <w:ind w:left="0" w:right="0"/>
        <w:rPr>
          <w:rFonts w:ascii="Arial" w:hAnsi="Arial" w:cs="Arial"/>
          <w:sz w:val="20"/>
        </w:rPr>
      </w:pPr>
    </w:p>
    <w:p w14:paraId="58EF6E0F"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FÖRBEREDELSER</w:t>
      </w:r>
      <w:r w:rsidRPr="00DE6796">
        <w:rPr>
          <w:rFonts w:ascii="Arial" w:hAnsi="Arial" w:cs="Arial"/>
          <w:sz w:val="20"/>
        </w:rPr>
        <w:tab/>
        <w:t>Börja med noggrann kartläggning av missbruket!</w:t>
      </w:r>
    </w:p>
    <w:p w14:paraId="745E2204"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Vilka droger?</w:t>
      </w:r>
    </w:p>
    <w:p w14:paraId="5A4BFB39"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Administrationssätt?</w:t>
      </w:r>
    </w:p>
    <w:p w14:paraId="2FF198A4"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Hur länge?</w:t>
      </w:r>
    </w:p>
    <w:p w14:paraId="6279AABC"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Slutat/Uppehåll?</w:t>
      </w:r>
    </w:p>
    <w:p w14:paraId="7097E25C"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Ev. behandling för missbruket?</w:t>
      </w:r>
    </w:p>
    <w:p w14:paraId="0DD3CB20" w14:textId="77777777" w:rsidR="00DE6796" w:rsidRPr="00DE6796" w:rsidRDefault="00DE6796" w:rsidP="00DE6796">
      <w:pPr>
        <w:tabs>
          <w:tab w:val="left" w:pos="2268"/>
          <w:tab w:val="left" w:pos="2835"/>
        </w:tabs>
        <w:spacing w:after="0" w:line="240" w:lineRule="auto"/>
        <w:ind w:left="0" w:right="0"/>
        <w:rPr>
          <w:rFonts w:ascii="Arial" w:hAnsi="Arial" w:cs="Arial"/>
          <w:sz w:val="20"/>
        </w:rPr>
      </w:pPr>
    </w:p>
    <w:p w14:paraId="11244D17"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SPECIELL</w:t>
      </w:r>
      <w:r w:rsidRPr="00DE6796">
        <w:rPr>
          <w:rFonts w:ascii="Arial" w:hAnsi="Arial" w:cs="Arial"/>
          <w:sz w:val="20"/>
        </w:rPr>
        <w:tab/>
        <w:t>Om patienten inte har ett aktivt missbruk, är det speciellt viktigt att komma</w:t>
      </w:r>
    </w:p>
    <w:p w14:paraId="38AE2341"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OMVÅRDNAD</w:t>
      </w:r>
      <w:r w:rsidRPr="00DE6796">
        <w:rPr>
          <w:rFonts w:ascii="Arial" w:hAnsi="Arial" w:cs="Arial"/>
          <w:sz w:val="20"/>
        </w:rPr>
        <w:tab/>
        <w:t xml:space="preserve">överens med honom/henne hur man bäst förhindrar ett återfall. </w:t>
      </w:r>
    </w:p>
    <w:p w14:paraId="0B8B3B6D"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 xml:space="preserve">Ingå ett avtal. </w:t>
      </w:r>
    </w:p>
    <w:p w14:paraId="77736AA8"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För att förhindra ett återfall är patientens vilja och motivation</w:t>
      </w:r>
    </w:p>
    <w:p w14:paraId="21CFB9BA"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viktigast – vi kan bara hjälpa till.</w:t>
      </w:r>
    </w:p>
    <w:p w14:paraId="3914D070" w14:textId="77777777" w:rsidR="00DE6796" w:rsidRPr="00DE6796" w:rsidRDefault="00DE6796" w:rsidP="00DE6796">
      <w:pPr>
        <w:tabs>
          <w:tab w:val="left" w:pos="2268"/>
          <w:tab w:val="left" w:pos="2835"/>
        </w:tabs>
        <w:spacing w:after="0" w:line="240" w:lineRule="auto"/>
        <w:ind w:left="0" w:right="0"/>
        <w:rPr>
          <w:rFonts w:ascii="Arial" w:hAnsi="Arial" w:cs="Arial"/>
          <w:sz w:val="20"/>
        </w:rPr>
      </w:pPr>
    </w:p>
    <w:p w14:paraId="6E8D378B"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Förslag till punkter vid ankomstsamtalet med sjuksköterskan:</w:t>
      </w:r>
    </w:p>
    <w:p w14:paraId="3A98CE0D"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Förklara olika smärtbehandlingsalternativ</w:t>
      </w:r>
    </w:p>
    <w:p w14:paraId="13259A9F"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lastRenderedPageBreak/>
        <w:tab/>
        <w:t>●</w:t>
      </w:r>
      <w:r w:rsidRPr="00DE6796">
        <w:rPr>
          <w:rFonts w:ascii="Arial" w:hAnsi="Arial" w:cs="Arial"/>
          <w:sz w:val="20"/>
        </w:rPr>
        <w:tab/>
        <w:t>VAS-skattning</w:t>
      </w:r>
    </w:p>
    <w:p w14:paraId="24A98DB2"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Informera om vikten av adekvat smärtbehandling</w:t>
      </w:r>
    </w:p>
    <w:p w14:paraId="17ADA787"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Kartlägga missbruket (se ovan)</w:t>
      </w:r>
    </w:p>
    <w:p w14:paraId="7C00B2EB"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Det är viktigt med en öppen kommunikation.</w:t>
      </w:r>
    </w:p>
    <w:p w14:paraId="41DCC926"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Förslag till punkter för anestesiläkare/kirurg att ta upp med patienten:</w:t>
      </w:r>
    </w:p>
    <w:p w14:paraId="4E1D804F"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Information av smärtbehandling</w:t>
      </w:r>
    </w:p>
    <w:p w14:paraId="5CD037CE"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Upprätta ett muntligt/skriftligt avtal med patienten</w:t>
      </w:r>
    </w:p>
    <w:p w14:paraId="3AF9C343"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Nedtrappningsschema för postoperativ smärtlindring</w:t>
      </w:r>
    </w:p>
    <w:p w14:paraId="1AC4AA9F"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Medicinering vid hemgång</w:t>
      </w:r>
    </w:p>
    <w:p w14:paraId="05D261F8"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Abstinensbehandling</w:t>
      </w:r>
    </w:p>
    <w:p w14:paraId="73051027"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Tydliga vid behovsordinationer</w:t>
      </w:r>
    </w:p>
    <w:p w14:paraId="244996B0" w14:textId="77777777" w:rsidR="00DE6796" w:rsidRPr="00DE6796" w:rsidRDefault="00DE6796" w:rsidP="00DE6796">
      <w:pPr>
        <w:tabs>
          <w:tab w:val="left" w:pos="2268"/>
          <w:tab w:val="left" w:pos="2835"/>
        </w:tabs>
        <w:spacing w:after="0" w:line="240" w:lineRule="auto"/>
        <w:ind w:left="0" w:right="0"/>
        <w:rPr>
          <w:rFonts w:ascii="Arial" w:hAnsi="Arial" w:cs="Arial"/>
          <w:sz w:val="20"/>
        </w:rPr>
      </w:pPr>
    </w:p>
    <w:p w14:paraId="3626B4C8"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BEHANDLING</w:t>
      </w:r>
      <w:r w:rsidRPr="00DE6796">
        <w:rPr>
          <w:rFonts w:ascii="Arial" w:hAnsi="Arial" w:cs="Arial"/>
          <w:sz w:val="20"/>
        </w:rPr>
        <w:tab/>
        <w:t xml:space="preserve">De flesta operationer som utförs på thoraxkirurgiska patienter kräver </w:t>
      </w:r>
    </w:p>
    <w:p w14:paraId="05F22424"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avancerad postoperativ smärtbehandling.</w:t>
      </w:r>
    </w:p>
    <w:p w14:paraId="3561377F"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Oftast går det inte att undvika opioider. När opioider används mot smärta</w:t>
      </w:r>
    </w:p>
    <w:p w14:paraId="6D9AC260"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orsakar det inte psykologiskt beroende, men när smärta släpper föreligger</w:t>
      </w:r>
    </w:p>
    <w:p w14:paraId="651FC267"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stor risk för beroende om tillförsel fortsätter.</w:t>
      </w:r>
    </w:p>
    <w:p w14:paraId="0E71C80E"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Vid pågående missbruk är den postoperativa tiden inte rätt tid att avgifta</w:t>
      </w:r>
    </w:p>
    <w:p w14:paraId="3E14845F"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patienten.</w:t>
      </w:r>
    </w:p>
    <w:p w14:paraId="34270EB3" w14:textId="77777777" w:rsidR="00DE6796" w:rsidRPr="00DE6796" w:rsidRDefault="00DE6796" w:rsidP="00DE6796">
      <w:pPr>
        <w:tabs>
          <w:tab w:val="left" w:pos="2268"/>
          <w:tab w:val="left" w:pos="2835"/>
        </w:tabs>
        <w:spacing w:after="0" w:line="240" w:lineRule="auto"/>
        <w:ind w:left="0" w:right="0"/>
        <w:rPr>
          <w:rFonts w:ascii="Arial" w:hAnsi="Arial" w:cs="Arial"/>
          <w:sz w:val="20"/>
        </w:rPr>
      </w:pPr>
    </w:p>
    <w:p w14:paraId="596BA8DD"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FÖRSLAG TILL</w:t>
      </w:r>
      <w:r w:rsidRPr="00DE6796">
        <w:rPr>
          <w:rFonts w:ascii="Arial" w:hAnsi="Arial" w:cs="Arial"/>
          <w:sz w:val="20"/>
        </w:rPr>
        <w:tab/>
        <w:t>1</w:t>
      </w:r>
      <w:r w:rsidRPr="00DE6796">
        <w:rPr>
          <w:rFonts w:ascii="Arial" w:hAnsi="Arial" w:cs="Arial"/>
          <w:sz w:val="20"/>
        </w:rPr>
        <w:tab/>
        <w:t xml:space="preserve">Thoracal epiduralkateter (standardblandning) om inga </w:t>
      </w:r>
    </w:p>
    <w:p w14:paraId="123A1D33"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SMÄRTBEHANDLING</w:t>
      </w:r>
      <w:r w:rsidRPr="00DE6796">
        <w:rPr>
          <w:rFonts w:ascii="Arial" w:hAnsi="Arial" w:cs="Arial"/>
          <w:sz w:val="20"/>
        </w:rPr>
        <w:tab/>
      </w:r>
      <w:r w:rsidRPr="00DE6796">
        <w:rPr>
          <w:rFonts w:ascii="Arial" w:hAnsi="Arial" w:cs="Arial"/>
          <w:sz w:val="20"/>
        </w:rPr>
        <w:tab/>
        <w:t>kontraindikationer föreligger.</w:t>
      </w:r>
      <w:r w:rsidRPr="00DE6796">
        <w:rPr>
          <w:rFonts w:ascii="Arial" w:hAnsi="Arial" w:cs="Arial"/>
          <w:sz w:val="20"/>
        </w:rPr>
        <w:tab/>
      </w:r>
      <w:r w:rsidRPr="00DE6796">
        <w:rPr>
          <w:rFonts w:ascii="Arial" w:hAnsi="Arial" w:cs="Arial"/>
          <w:sz w:val="20"/>
        </w:rPr>
        <w:tab/>
      </w:r>
    </w:p>
    <w:p w14:paraId="5A7EEB1E" w14:textId="77777777" w:rsidR="00DE6796" w:rsidRPr="00DE6796" w:rsidRDefault="00DE6796" w:rsidP="00DE6796">
      <w:pPr>
        <w:numPr>
          <w:ilvl w:val="0"/>
          <w:numId w:val="20"/>
        </w:numPr>
        <w:tabs>
          <w:tab w:val="left" w:pos="2268"/>
        </w:tabs>
        <w:spacing w:after="0" w:line="240" w:lineRule="auto"/>
        <w:ind w:right="0"/>
        <w:rPr>
          <w:rFonts w:ascii="Arial" w:hAnsi="Arial" w:cs="Arial"/>
          <w:sz w:val="20"/>
        </w:rPr>
      </w:pPr>
      <w:r w:rsidRPr="00DE6796">
        <w:rPr>
          <w:rFonts w:ascii="Arial" w:hAnsi="Arial" w:cs="Arial"/>
          <w:sz w:val="20"/>
        </w:rPr>
        <w:t>Morfin-PCA.</w:t>
      </w:r>
    </w:p>
    <w:p w14:paraId="520EC393" w14:textId="77777777" w:rsidR="00DE6796" w:rsidRPr="00DE6796" w:rsidRDefault="00DE6796" w:rsidP="00DE6796">
      <w:pPr>
        <w:numPr>
          <w:ilvl w:val="0"/>
          <w:numId w:val="20"/>
        </w:numPr>
        <w:tabs>
          <w:tab w:val="left" w:pos="2268"/>
        </w:tabs>
        <w:spacing w:after="0" w:line="240" w:lineRule="auto"/>
        <w:ind w:right="0"/>
        <w:rPr>
          <w:rFonts w:ascii="Arial" w:hAnsi="Arial" w:cs="Arial"/>
          <w:sz w:val="20"/>
          <w:lang w:val="en-GB"/>
        </w:rPr>
      </w:pPr>
      <w:r w:rsidRPr="00DE6796">
        <w:rPr>
          <w:rFonts w:ascii="Arial" w:hAnsi="Arial" w:cs="Arial"/>
          <w:sz w:val="20"/>
        </w:rPr>
        <w:t xml:space="preserve">Peroral behandling. </w:t>
      </w:r>
      <w:r w:rsidRPr="00DE6796">
        <w:rPr>
          <w:rFonts w:ascii="Arial" w:hAnsi="Arial" w:cs="Arial"/>
          <w:sz w:val="20"/>
          <w:lang w:val="en-GB"/>
        </w:rPr>
        <w:t>T. Tiparol</w:t>
      </w:r>
      <w:r w:rsidRPr="00DE6796">
        <w:rPr>
          <w:rFonts w:ascii="Symbol" w:hAnsi="Symbol" w:cs="Arial"/>
          <w:sz w:val="20"/>
        </w:rPr>
        <w:sym w:font="Symbol" w:char="F0D2"/>
      </w:r>
      <w:r w:rsidRPr="00DE6796">
        <w:rPr>
          <w:rFonts w:ascii="Arial" w:hAnsi="Arial" w:cs="Arial"/>
          <w:sz w:val="20"/>
          <w:lang w:val="en-GB"/>
        </w:rPr>
        <w:t xml:space="preserve"> retard (Tramadol), </w:t>
      </w:r>
    </w:p>
    <w:p w14:paraId="1B71CAE7" w14:textId="77777777" w:rsidR="00DE6796" w:rsidRPr="00DE6796" w:rsidRDefault="00DE6796" w:rsidP="00DE6796">
      <w:pPr>
        <w:tabs>
          <w:tab w:val="left" w:pos="2268"/>
        </w:tabs>
        <w:spacing w:after="0" w:line="240" w:lineRule="auto"/>
        <w:ind w:left="2265" w:right="0"/>
        <w:rPr>
          <w:rFonts w:ascii="Arial" w:hAnsi="Arial" w:cs="Arial"/>
          <w:sz w:val="20"/>
          <w:lang w:val="en-GB"/>
        </w:rPr>
      </w:pPr>
    </w:p>
    <w:p w14:paraId="7781B3FD" w14:textId="77777777" w:rsidR="00DE6796" w:rsidRPr="00DE6796" w:rsidRDefault="00DE6796" w:rsidP="00DE6796">
      <w:pPr>
        <w:tabs>
          <w:tab w:val="left" w:pos="2268"/>
        </w:tabs>
        <w:spacing w:after="0" w:line="240" w:lineRule="auto"/>
        <w:ind w:left="2265" w:right="0"/>
        <w:rPr>
          <w:rFonts w:ascii="Arial" w:hAnsi="Arial" w:cs="Arial"/>
          <w:sz w:val="20"/>
          <w:lang w:val="en-GB"/>
        </w:rPr>
      </w:pPr>
      <w:r w:rsidRPr="00DE6796">
        <w:rPr>
          <w:rFonts w:ascii="Arial" w:hAnsi="Arial" w:cs="Arial"/>
          <w:sz w:val="20"/>
          <w:lang w:val="en-GB"/>
        </w:rPr>
        <w:t xml:space="preserve">T.Panodil (Paracetamol), T. Diklofenak och ev morfin eller T. Oxycontin. </w:t>
      </w:r>
    </w:p>
    <w:p w14:paraId="45E2FA54" w14:textId="77777777" w:rsidR="00DE6796" w:rsidRPr="00DE6796" w:rsidRDefault="00DE6796" w:rsidP="00DE6796">
      <w:pPr>
        <w:tabs>
          <w:tab w:val="left" w:pos="2268"/>
        </w:tabs>
        <w:spacing w:after="0" w:line="240" w:lineRule="auto"/>
        <w:ind w:left="2265" w:right="0"/>
        <w:rPr>
          <w:rFonts w:ascii="Arial" w:hAnsi="Arial" w:cs="Arial"/>
          <w:sz w:val="20"/>
        </w:rPr>
      </w:pPr>
      <w:r w:rsidRPr="00DE6796">
        <w:rPr>
          <w:rFonts w:ascii="Arial" w:hAnsi="Arial" w:cs="Arial"/>
          <w:sz w:val="20"/>
          <w:lang w:val="en-GB"/>
        </w:rPr>
        <w:tab/>
      </w:r>
      <w:r w:rsidRPr="00DE6796">
        <w:rPr>
          <w:rFonts w:ascii="Arial" w:hAnsi="Arial" w:cs="Arial"/>
          <w:sz w:val="20"/>
        </w:rPr>
        <w:t xml:space="preserve">Om patienten står på T. Metadon ska detta fortsättas med. </w:t>
      </w:r>
    </w:p>
    <w:p w14:paraId="2FAA4773" w14:textId="77777777" w:rsidR="00DE6796" w:rsidRPr="00DE6796" w:rsidRDefault="00DE6796" w:rsidP="00DE6796">
      <w:pPr>
        <w:tabs>
          <w:tab w:val="left" w:pos="2268"/>
          <w:tab w:val="left" w:pos="2835"/>
        </w:tabs>
        <w:spacing w:after="0" w:line="240" w:lineRule="auto"/>
        <w:ind w:left="0" w:right="0"/>
        <w:rPr>
          <w:rFonts w:ascii="Arial" w:hAnsi="Arial" w:cs="Arial"/>
          <w:sz w:val="20"/>
        </w:rPr>
      </w:pPr>
    </w:p>
    <w:p w14:paraId="3283E5F0"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ab/>
      </w:r>
      <w:r w:rsidRPr="00DE6796">
        <w:rPr>
          <w:rFonts w:ascii="Arial" w:hAnsi="Arial" w:cs="Arial"/>
          <w:sz w:val="20"/>
        </w:rPr>
        <w:t>Epiduralinfusionen avslutas när patienten klarar sig på grund-</w:t>
      </w:r>
      <w:r w:rsidRPr="00DE6796">
        <w:rPr>
          <w:rFonts w:ascii="Arial" w:hAnsi="Arial" w:cs="Arial"/>
          <w:sz w:val="20"/>
        </w:rPr>
        <w:br/>
        <w:t xml:space="preserve"> </w:t>
      </w:r>
      <w:r w:rsidRPr="00DE6796">
        <w:rPr>
          <w:rFonts w:ascii="Arial" w:hAnsi="Arial" w:cs="Arial"/>
          <w:sz w:val="20"/>
        </w:rPr>
        <w:tab/>
        <w:t xml:space="preserve">smärtlindringen. </w:t>
      </w:r>
    </w:p>
    <w:p w14:paraId="0918F5E4" w14:textId="77777777" w:rsidR="00DE6796" w:rsidRPr="00DE6796" w:rsidRDefault="00DE6796" w:rsidP="00DE6796">
      <w:pPr>
        <w:tabs>
          <w:tab w:val="left" w:pos="2268"/>
          <w:tab w:val="left" w:pos="2835"/>
        </w:tabs>
        <w:spacing w:after="0" w:line="240" w:lineRule="auto"/>
        <w:ind w:left="2268" w:right="0"/>
        <w:rPr>
          <w:rFonts w:ascii="Arial" w:hAnsi="Arial" w:cs="Arial"/>
          <w:sz w:val="20"/>
        </w:rPr>
      </w:pPr>
      <w:r w:rsidRPr="00DE6796">
        <w:rPr>
          <w:rFonts w:ascii="Arial" w:hAnsi="Arial" w:cs="Arial"/>
          <w:sz w:val="20"/>
        </w:rPr>
        <w:t xml:space="preserve">Det är viktigt att den intravenösa infusionen trappas ner i takt med att den </w:t>
      </w:r>
    </w:p>
    <w:p w14:paraId="1D9DED2B"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 xml:space="preserve">postoperativa smärtan avtar. </w:t>
      </w:r>
    </w:p>
    <w:p w14:paraId="4EA04D15" w14:textId="77777777" w:rsidR="00DE6796" w:rsidRPr="00DE6796" w:rsidRDefault="00DE6796" w:rsidP="00DE6796">
      <w:pPr>
        <w:tabs>
          <w:tab w:val="left" w:pos="2268"/>
          <w:tab w:val="left" w:pos="2835"/>
        </w:tabs>
        <w:spacing w:after="0" w:line="240" w:lineRule="auto"/>
        <w:ind w:left="0" w:right="0"/>
        <w:rPr>
          <w:rFonts w:ascii="Arial" w:hAnsi="Arial" w:cs="Arial"/>
          <w:sz w:val="20"/>
        </w:rPr>
      </w:pPr>
    </w:p>
    <w:p w14:paraId="76B9FCE3"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Peroral behandling startas så fort som möjligt och ska också trappas ner</w:t>
      </w:r>
    </w:p>
    <w:p w14:paraId="58277DA2"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under de fyra första postoperativa dygnen. Föreligger ett aktivt missbruk;</w:t>
      </w:r>
    </w:p>
    <w:p w14:paraId="7E0BA2B7" w14:textId="77777777" w:rsidR="00DE6796" w:rsidRPr="00DE6796" w:rsidRDefault="00DE6796" w:rsidP="00DE6796">
      <w:pPr>
        <w:tabs>
          <w:tab w:val="left" w:pos="2268"/>
          <w:tab w:val="left" w:pos="2835"/>
        </w:tabs>
        <w:spacing w:after="0" w:line="240" w:lineRule="auto"/>
        <w:ind w:left="0" w:right="0"/>
        <w:rPr>
          <w:rFonts w:ascii="Arial" w:hAnsi="Arial" w:cs="Arial"/>
          <w:i/>
          <w:sz w:val="20"/>
        </w:rPr>
      </w:pPr>
      <w:r w:rsidRPr="00DE6796">
        <w:rPr>
          <w:rFonts w:ascii="Arial" w:hAnsi="Arial" w:cs="Arial"/>
          <w:sz w:val="20"/>
        </w:rPr>
        <w:tab/>
      </w:r>
      <w:r w:rsidRPr="00DE6796">
        <w:rPr>
          <w:rFonts w:ascii="Arial" w:hAnsi="Arial" w:cs="Arial"/>
          <w:i/>
          <w:sz w:val="20"/>
        </w:rPr>
        <w:t>var observant på abstinenssymtom.</w:t>
      </w:r>
    </w:p>
    <w:p w14:paraId="1F6E31C8" w14:textId="77777777" w:rsidR="00DE6796" w:rsidRPr="00DE6796" w:rsidRDefault="00DE6796" w:rsidP="00DE6796">
      <w:pPr>
        <w:tabs>
          <w:tab w:val="left" w:pos="2268"/>
          <w:tab w:val="left" w:pos="2835"/>
        </w:tabs>
        <w:spacing w:after="0" w:line="240" w:lineRule="auto"/>
        <w:ind w:left="0" w:right="0"/>
        <w:rPr>
          <w:rFonts w:ascii="Arial" w:hAnsi="Arial" w:cs="Arial"/>
          <w:i/>
          <w:sz w:val="20"/>
        </w:rPr>
      </w:pPr>
    </w:p>
    <w:p w14:paraId="61787D54"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PATIENTER MED</w:t>
      </w:r>
      <w:r w:rsidRPr="00DE6796">
        <w:rPr>
          <w:rFonts w:ascii="Arial" w:hAnsi="Arial" w:cs="Arial"/>
          <w:b/>
          <w:sz w:val="20"/>
        </w:rPr>
        <w:tab/>
      </w:r>
      <w:r w:rsidRPr="00DE6796">
        <w:rPr>
          <w:rFonts w:ascii="Arial" w:hAnsi="Arial" w:cs="Arial"/>
          <w:sz w:val="20"/>
        </w:rPr>
        <w:t xml:space="preserve">Regionalanalgesi bör användas i så stor utsträckning som möjligt. </w:t>
      </w:r>
    </w:p>
    <w:p w14:paraId="666CD7C7"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PÅGÅENDE MISS-</w:t>
      </w:r>
      <w:r w:rsidRPr="00DE6796">
        <w:rPr>
          <w:rFonts w:ascii="Arial" w:hAnsi="Arial" w:cs="Arial"/>
          <w:sz w:val="20"/>
        </w:rPr>
        <w:tab/>
        <w:t xml:space="preserve">Opioidinfusion via PCA-pump kan användas. </w:t>
      </w:r>
    </w:p>
    <w:p w14:paraId="789EEC71"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BRUK</w:t>
      </w:r>
      <w:r w:rsidRPr="00DE6796">
        <w:rPr>
          <w:rFonts w:ascii="Arial" w:hAnsi="Arial" w:cs="Arial"/>
          <w:sz w:val="20"/>
        </w:rPr>
        <w:tab/>
        <w:t xml:space="preserve">Doseringen anpassas efter VAS-skattning, biverkningar (framförallt </w:t>
      </w:r>
    </w:p>
    <w:p w14:paraId="03E1B4A0"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andningsdepression) och med hänsyn till abstinenssymtom.</w:t>
      </w:r>
    </w:p>
    <w:p w14:paraId="04DAFE20" w14:textId="77777777" w:rsidR="00DE6796" w:rsidRPr="00DE6796" w:rsidRDefault="00DE6796" w:rsidP="00DE6796">
      <w:pPr>
        <w:tabs>
          <w:tab w:val="left" w:pos="2268"/>
          <w:tab w:val="left" w:pos="2835"/>
        </w:tabs>
        <w:spacing w:after="0" w:line="240" w:lineRule="auto"/>
        <w:ind w:left="0" w:right="0"/>
        <w:rPr>
          <w:rFonts w:ascii="Arial" w:hAnsi="Arial" w:cs="Arial"/>
          <w:sz w:val="20"/>
        </w:rPr>
      </w:pPr>
    </w:p>
    <w:p w14:paraId="6053B43D"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PATIENTER MED</w:t>
      </w:r>
      <w:r w:rsidRPr="00DE6796">
        <w:rPr>
          <w:rFonts w:ascii="Arial" w:hAnsi="Arial" w:cs="Arial"/>
          <w:sz w:val="20"/>
        </w:rPr>
        <w:tab/>
        <w:t>Regionalanalgesi är att föredra även här. Behandlingen måste</w:t>
      </w:r>
    </w:p>
    <w:p w14:paraId="06368538"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FÖRE DETTA MISS</w:t>
      </w:r>
      <w:r w:rsidRPr="00DE6796">
        <w:rPr>
          <w:rFonts w:ascii="Arial" w:hAnsi="Arial" w:cs="Arial"/>
          <w:sz w:val="20"/>
        </w:rPr>
        <w:t>-</w:t>
      </w:r>
      <w:r w:rsidRPr="00DE6796">
        <w:rPr>
          <w:rFonts w:ascii="Arial" w:hAnsi="Arial" w:cs="Arial"/>
          <w:sz w:val="20"/>
        </w:rPr>
        <w:tab/>
        <w:t>anpassas till varje enskild individ. Många före detta opioid-</w:t>
      </w:r>
    </w:p>
    <w:p w14:paraId="74A16EE3"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BRUK</w:t>
      </w:r>
      <w:r w:rsidRPr="00DE6796">
        <w:rPr>
          <w:rFonts w:ascii="Arial" w:hAnsi="Arial" w:cs="Arial"/>
          <w:sz w:val="20"/>
        </w:rPr>
        <w:tab/>
        <w:t>missbrukare är rädda för att fastna i missbruk igen och därför är det</w:t>
      </w:r>
    </w:p>
    <w:p w14:paraId="7027E77C"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viktigt att man kommer överens med patienten om behandlingen.</w:t>
      </w:r>
    </w:p>
    <w:p w14:paraId="45E864FA" w14:textId="77777777" w:rsidR="00DE6796" w:rsidRPr="00DE6796" w:rsidRDefault="00DE6796" w:rsidP="00DE6796">
      <w:pPr>
        <w:tabs>
          <w:tab w:val="left" w:pos="2268"/>
          <w:tab w:val="left" w:pos="2835"/>
        </w:tabs>
        <w:spacing w:after="0" w:line="240" w:lineRule="auto"/>
        <w:ind w:left="0" w:right="0"/>
        <w:rPr>
          <w:rFonts w:ascii="Arial" w:hAnsi="Arial" w:cs="Arial"/>
          <w:sz w:val="20"/>
        </w:rPr>
      </w:pPr>
    </w:p>
    <w:p w14:paraId="7F769811"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ABSTINENS-</w:t>
      </w:r>
      <w:r w:rsidRPr="00DE6796">
        <w:rPr>
          <w:rFonts w:ascii="Arial" w:hAnsi="Arial" w:cs="Arial"/>
          <w:sz w:val="20"/>
        </w:rPr>
        <w:tab/>
        <w:t xml:space="preserve">Detta skall inte behöva bli aktuellt. Var noggrann med nedtrappningen av </w:t>
      </w:r>
    </w:p>
    <w:p w14:paraId="03B4CECC"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BEHANDLING</w:t>
      </w:r>
      <w:r w:rsidRPr="00DE6796">
        <w:rPr>
          <w:rFonts w:ascii="Arial" w:hAnsi="Arial" w:cs="Arial"/>
          <w:sz w:val="20"/>
        </w:rPr>
        <w:tab/>
        <w:t>smärtlindringen.</w:t>
      </w:r>
    </w:p>
    <w:p w14:paraId="4A6E1D15"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Om det ändå krävs abstinensbehandling:</w:t>
      </w:r>
    </w:p>
    <w:p w14:paraId="7D5E9893"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T. Catapressan</w:t>
      </w:r>
      <w:r w:rsidRPr="00DE6796">
        <w:rPr>
          <w:rFonts w:ascii="Symbol" w:hAnsi="Symbol" w:cs="Arial"/>
          <w:sz w:val="20"/>
        </w:rPr>
        <w:sym w:font="Symbol" w:char="F0D2"/>
      </w:r>
      <w:r w:rsidRPr="00DE6796">
        <w:rPr>
          <w:rFonts w:ascii="Arial" w:hAnsi="Arial" w:cs="Arial"/>
          <w:sz w:val="20"/>
        </w:rPr>
        <w:t xml:space="preserve"> (Klonidin) 75 µg x 3 med blodtryckskontroll.</w:t>
      </w:r>
    </w:p>
    <w:p w14:paraId="31103976"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Vid behov ex T. Stesolid</w:t>
      </w:r>
      <w:r w:rsidRPr="00DE6796">
        <w:rPr>
          <w:rFonts w:ascii="Symbol" w:hAnsi="Symbol" w:cs="Arial"/>
          <w:sz w:val="20"/>
        </w:rPr>
        <w:sym w:font="Symbol" w:char="F0D2"/>
      </w:r>
      <w:r w:rsidRPr="00DE6796">
        <w:rPr>
          <w:rFonts w:ascii="Arial" w:hAnsi="Arial" w:cs="Arial"/>
          <w:sz w:val="20"/>
        </w:rPr>
        <w:t xml:space="preserve"> (Diazepan), men ej som generell </w:t>
      </w:r>
    </w:p>
    <w:p w14:paraId="567939A9"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lastRenderedPageBreak/>
        <w:tab/>
      </w:r>
      <w:r w:rsidRPr="00DE6796">
        <w:rPr>
          <w:rFonts w:ascii="Arial" w:hAnsi="Arial" w:cs="Arial"/>
          <w:sz w:val="20"/>
        </w:rPr>
        <w:tab/>
        <w:t>ordination.</w:t>
      </w:r>
    </w:p>
    <w:p w14:paraId="03A5E16A" w14:textId="77777777" w:rsidR="00DE6796" w:rsidRPr="00DE6796" w:rsidRDefault="00DE6796" w:rsidP="00DE6796">
      <w:pPr>
        <w:tabs>
          <w:tab w:val="left" w:pos="2268"/>
          <w:tab w:val="left" w:pos="2835"/>
        </w:tabs>
        <w:spacing w:after="0" w:line="240" w:lineRule="auto"/>
        <w:ind w:left="2835" w:right="0" w:hanging="2835"/>
        <w:rPr>
          <w:rFonts w:ascii="Arial" w:hAnsi="Arial" w:cs="Arial"/>
          <w:sz w:val="20"/>
        </w:rPr>
      </w:pPr>
      <w:r w:rsidRPr="00DE6796">
        <w:rPr>
          <w:rFonts w:ascii="Arial" w:hAnsi="Arial" w:cs="Arial"/>
          <w:sz w:val="20"/>
        </w:rPr>
        <w:tab/>
        <w:t>●</w:t>
      </w:r>
      <w:r w:rsidRPr="00DE6796">
        <w:rPr>
          <w:rFonts w:ascii="Arial" w:hAnsi="Arial" w:cs="Arial"/>
          <w:sz w:val="20"/>
        </w:rPr>
        <w:tab/>
        <w:t>Vid behov sömntablett till natten ex T Propavan (Propiomazin)</w:t>
      </w:r>
    </w:p>
    <w:p w14:paraId="0DC54AE5" w14:textId="77777777" w:rsidR="00DE6796" w:rsidRPr="00DE6796" w:rsidRDefault="00DE6796" w:rsidP="00DE6796">
      <w:pPr>
        <w:tabs>
          <w:tab w:val="left" w:pos="2268"/>
          <w:tab w:val="left" w:pos="2835"/>
        </w:tabs>
        <w:spacing w:after="0" w:line="240" w:lineRule="auto"/>
        <w:ind w:left="2835" w:right="0" w:hanging="2835"/>
        <w:rPr>
          <w:rFonts w:ascii="Arial" w:hAnsi="Arial" w:cs="Arial"/>
          <w:sz w:val="20"/>
        </w:rPr>
      </w:pPr>
      <w:r w:rsidRPr="00DE6796">
        <w:rPr>
          <w:rFonts w:ascii="Arial" w:hAnsi="Arial" w:cs="Arial"/>
          <w:sz w:val="20"/>
        </w:rPr>
        <w:tab/>
      </w:r>
      <w:r w:rsidRPr="00DE6796">
        <w:rPr>
          <w:rFonts w:ascii="Arial" w:hAnsi="Arial" w:cs="Arial"/>
          <w:sz w:val="20"/>
        </w:rPr>
        <w:tab/>
        <w:t>/T. Nozinan</w:t>
      </w:r>
      <w:r w:rsidRPr="00DE6796">
        <w:rPr>
          <w:rFonts w:ascii="Symbol" w:hAnsi="Symbol" w:cs="Arial"/>
          <w:sz w:val="20"/>
        </w:rPr>
        <w:sym w:font="Symbol" w:char="F0D2"/>
      </w:r>
      <w:r w:rsidRPr="00DE6796">
        <w:rPr>
          <w:rFonts w:ascii="Arial" w:hAnsi="Arial" w:cs="Arial"/>
          <w:sz w:val="20"/>
        </w:rPr>
        <w:t xml:space="preserve"> (Levomepromazin) som har en analgetisk effekt </w:t>
      </w:r>
    </w:p>
    <w:p w14:paraId="64D6ED2F" w14:textId="77777777" w:rsidR="00DE6796" w:rsidRPr="00DE6796" w:rsidRDefault="00DE6796" w:rsidP="00DE6796">
      <w:pPr>
        <w:tabs>
          <w:tab w:val="left" w:pos="2268"/>
          <w:tab w:val="left" w:pos="2835"/>
        </w:tabs>
        <w:spacing w:after="0" w:line="240" w:lineRule="auto"/>
        <w:ind w:left="2835" w:right="0" w:hanging="2835"/>
        <w:rPr>
          <w:rFonts w:ascii="Arial" w:hAnsi="Arial" w:cs="Arial"/>
          <w:sz w:val="20"/>
        </w:rPr>
      </w:pPr>
      <w:r w:rsidRPr="00DE6796">
        <w:rPr>
          <w:rFonts w:ascii="Arial" w:hAnsi="Arial" w:cs="Arial"/>
          <w:sz w:val="20"/>
        </w:rPr>
        <w:tab/>
      </w:r>
      <w:r w:rsidRPr="00DE6796">
        <w:rPr>
          <w:rFonts w:ascii="Arial" w:hAnsi="Arial" w:cs="Arial"/>
          <w:sz w:val="20"/>
        </w:rPr>
        <w:tab/>
        <w:t>eller Theralen</w:t>
      </w:r>
      <w:r w:rsidRPr="00DE6796">
        <w:rPr>
          <w:rFonts w:ascii="Symbol" w:hAnsi="Symbol" w:cs="Arial"/>
          <w:sz w:val="20"/>
        </w:rPr>
        <w:sym w:font="Symbol" w:char="F0D2"/>
      </w:r>
      <w:r w:rsidRPr="00DE6796">
        <w:rPr>
          <w:rFonts w:ascii="Arial" w:hAnsi="Arial" w:cs="Arial"/>
          <w:sz w:val="20"/>
        </w:rPr>
        <w:t>droppar (Alimemazin).</w:t>
      </w:r>
    </w:p>
    <w:p w14:paraId="2456148B" w14:textId="77777777" w:rsidR="00DE6796" w:rsidRPr="00DE6796" w:rsidRDefault="00DE6796" w:rsidP="00DE6796">
      <w:pPr>
        <w:tabs>
          <w:tab w:val="left" w:pos="2268"/>
          <w:tab w:val="left" w:pos="2835"/>
        </w:tabs>
        <w:spacing w:after="0" w:line="240" w:lineRule="auto"/>
        <w:ind w:left="0" w:right="0"/>
        <w:rPr>
          <w:rFonts w:ascii="Arial" w:hAnsi="Arial" w:cs="Arial"/>
          <w:sz w:val="20"/>
        </w:rPr>
      </w:pPr>
    </w:p>
    <w:p w14:paraId="155EE4A0" w14:textId="77777777" w:rsidR="00DE6796" w:rsidRPr="00DE6796" w:rsidRDefault="00DE6796" w:rsidP="00DE6796">
      <w:pPr>
        <w:tabs>
          <w:tab w:val="left" w:pos="2268"/>
          <w:tab w:val="left" w:pos="2835"/>
        </w:tabs>
        <w:spacing w:after="0" w:line="240" w:lineRule="auto"/>
        <w:ind w:left="0" w:right="0"/>
        <w:rPr>
          <w:rFonts w:ascii="Arial" w:hAnsi="Arial" w:cs="Arial"/>
          <w:sz w:val="20"/>
        </w:rPr>
      </w:pPr>
    </w:p>
    <w:p w14:paraId="74759694" w14:textId="77777777" w:rsidR="00DE6796" w:rsidRPr="00DE6796" w:rsidRDefault="00DE6796" w:rsidP="00DE6796">
      <w:pPr>
        <w:tabs>
          <w:tab w:val="left" w:pos="2268"/>
          <w:tab w:val="left" w:pos="2835"/>
        </w:tabs>
        <w:spacing w:after="0" w:line="240" w:lineRule="auto"/>
        <w:ind w:left="0" w:right="0"/>
        <w:rPr>
          <w:rFonts w:ascii="Arial" w:hAnsi="Arial" w:cs="Arial"/>
          <w:sz w:val="20"/>
        </w:rPr>
      </w:pPr>
    </w:p>
    <w:p w14:paraId="5E1E9E68" w14:textId="77777777" w:rsidR="00DE6796" w:rsidRPr="00DE6796" w:rsidRDefault="00DE6796" w:rsidP="00DE6796">
      <w:pPr>
        <w:tabs>
          <w:tab w:val="left" w:pos="2268"/>
          <w:tab w:val="left" w:pos="2835"/>
        </w:tabs>
        <w:spacing w:after="0" w:line="240" w:lineRule="auto"/>
        <w:ind w:left="0" w:right="0"/>
        <w:rPr>
          <w:rFonts w:ascii="Arial" w:hAnsi="Arial" w:cs="Arial"/>
          <w:sz w:val="20"/>
        </w:rPr>
      </w:pPr>
    </w:p>
    <w:p w14:paraId="57AFD253"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OBSERVATION/</w:t>
      </w:r>
      <w:r w:rsidRPr="00DE6796">
        <w:rPr>
          <w:rFonts w:ascii="Arial" w:hAnsi="Arial" w:cs="Arial"/>
          <w:sz w:val="20"/>
        </w:rPr>
        <w:tab/>
        <w:t>Sedvanliga kontroller med hänsyn till TEDA/opioidinfusion.</w:t>
      </w:r>
    </w:p>
    <w:p w14:paraId="0F248C21"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b/>
          <w:sz w:val="20"/>
        </w:rPr>
        <w:t>ÖVERVAKNING</w:t>
      </w:r>
      <w:r w:rsidRPr="00DE6796">
        <w:rPr>
          <w:rFonts w:ascii="Arial" w:hAnsi="Arial" w:cs="Arial"/>
          <w:sz w:val="20"/>
        </w:rPr>
        <w:tab/>
        <w:t>Tecken till abstinens:</w:t>
      </w:r>
    </w:p>
    <w:p w14:paraId="08207687"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Svettningar</w:t>
      </w:r>
    </w:p>
    <w:p w14:paraId="606FD6C8"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Rinnande ögon och näsa</w:t>
      </w:r>
    </w:p>
    <w:p w14:paraId="3D8FAA45"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Rastlöshet</w:t>
      </w:r>
    </w:p>
    <w:p w14:paraId="4B83FD52"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Motorisk oro</w:t>
      </w:r>
    </w:p>
    <w:p w14:paraId="219A0DFB"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Dilaterade pupiller</w:t>
      </w:r>
    </w:p>
    <w:p w14:paraId="2E170BD5"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Gäspningar</w:t>
      </w:r>
    </w:p>
    <w:p w14:paraId="452DC651"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Takykardi</w:t>
      </w:r>
    </w:p>
    <w:p w14:paraId="081DE666"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Kallsvettningar</w:t>
      </w:r>
    </w:p>
    <w:p w14:paraId="7E1C89C7"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Hypertension</w:t>
      </w:r>
    </w:p>
    <w:p w14:paraId="27DE9660"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Illamående/kräkningar</w:t>
      </w:r>
    </w:p>
    <w:p w14:paraId="213B96C0"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Krampliknande buksmärtor</w:t>
      </w:r>
    </w:p>
    <w:p w14:paraId="06130E3C"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Diarré</w:t>
      </w:r>
    </w:p>
    <w:p w14:paraId="2415B60B"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Snabb andning</w:t>
      </w:r>
    </w:p>
    <w:p w14:paraId="6FF577D8"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ab/>
        <w:t>●</w:t>
      </w:r>
      <w:r w:rsidRPr="00DE6796">
        <w:rPr>
          <w:rFonts w:ascii="Arial" w:hAnsi="Arial" w:cs="Arial"/>
          <w:sz w:val="20"/>
        </w:rPr>
        <w:tab/>
        <w:t>Sömnlöshet</w:t>
      </w:r>
    </w:p>
    <w:p w14:paraId="37038DFC" w14:textId="77777777" w:rsidR="00DE6796" w:rsidRPr="00DE6796" w:rsidRDefault="00DE6796" w:rsidP="00DE6796">
      <w:pPr>
        <w:tabs>
          <w:tab w:val="left" w:pos="2268"/>
          <w:tab w:val="left" w:pos="2835"/>
        </w:tabs>
        <w:spacing w:after="0" w:line="240" w:lineRule="auto"/>
        <w:ind w:left="0" w:right="0"/>
        <w:rPr>
          <w:rFonts w:ascii="Arial" w:hAnsi="Arial" w:cs="Arial"/>
          <w:sz w:val="20"/>
        </w:rPr>
      </w:pPr>
    </w:p>
    <w:p w14:paraId="1E6AC169" w14:textId="77777777" w:rsidR="00DE6796" w:rsidRPr="00DE6796" w:rsidRDefault="00DE6796" w:rsidP="00DE6796">
      <w:pPr>
        <w:tabs>
          <w:tab w:val="left" w:pos="2268"/>
          <w:tab w:val="left" w:pos="2835"/>
        </w:tabs>
        <w:spacing w:after="0" w:line="240" w:lineRule="auto"/>
        <w:ind w:left="0" w:right="0"/>
        <w:rPr>
          <w:rFonts w:ascii="Arial" w:hAnsi="Arial" w:cs="Arial"/>
          <w:sz w:val="20"/>
        </w:rPr>
      </w:pPr>
      <w:r w:rsidRPr="00DE6796">
        <w:rPr>
          <w:rFonts w:ascii="Arial" w:hAnsi="Arial" w:cs="Arial"/>
          <w:sz w:val="20"/>
        </w:rPr>
        <w:t>Diarré behandlas med K. Dimor eller liknande. Behandlingen mot illamående som vid övrig smärtbehandling. Vid svår abstinens kontakta anestesiläkare.</w:t>
      </w:r>
    </w:p>
    <w:p w14:paraId="008A89DA" w14:textId="77777777" w:rsidR="00DE6796" w:rsidRPr="00DE6796" w:rsidRDefault="00DE6796" w:rsidP="00DE6796">
      <w:pPr>
        <w:spacing w:after="0" w:line="240" w:lineRule="auto"/>
        <w:ind w:left="0" w:right="0"/>
        <w:rPr>
          <w:iCs/>
          <w:szCs w:val="22"/>
        </w:rPr>
      </w:pPr>
    </w:p>
    <w:p w14:paraId="5DD72638" w14:textId="77777777" w:rsidR="00DE6796" w:rsidRPr="00DE6796" w:rsidRDefault="00DE6796" w:rsidP="00DE6796">
      <w:pPr>
        <w:keepNext/>
        <w:spacing w:after="60" w:line="240" w:lineRule="auto"/>
        <w:ind w:left="0" w:right="0"/>
        <w:outlineLvl w:val="2"/>
        <w:rPr>
          <w:rFonts w:ascii="Arial" w:hAnsi="Arial" w:cs="Arial"/>
          <w:b/>
          <w:bCs/>
          <w:szCs w:val="26"/>
        </w:rPr>
      </w:pPr>
      <w:r w:rsidRPr="00DE6796">
        <w:rPr>
          <w:rFonts w:ascii="Arial" w:hAnsi="Arial" w:cs="Arial"/>
          <w:b/>
          <w:bCs/>
          <w:szCs w:val="26"/>
        </w:rPr>
        <w:t>Uppföljning, utvärdering och revision</w:t>
      </w:r>
    </w:p>
    <w:p w14:paraId="21E20AC3" w14:textId="77777777" w:rsidR="00DE6796" w:rsidRPr="00DE6796" w:rsidRDefault="00DE6796" w:rsidP="00DE6796">
      <w:pPr>
        <w:spacing w:after="0" w:line="240" w:lineRule="auto"/>
        <w:ind w:left="0" w:right="0"/>
        <w:rPr>
          <w:rFonts w:ascii="Arial" w:hAnsi="Arial" w:cs="Arial"/>
          <w:sz w:val="20"/>
        </w:rPr>
      </w:pPr>
      <w:r w:rsidRPr="00DE6796">
        <w:rPr>
          <w:rFonts w:ascii="Arial" w:hAnsi="Arial" w:cs="Arial"/>
          <w:sz w:val="20"/>
        </w:rPr>
        <w:t>Avvikelse från rutinen ska dokumenteras i patientjournalen och inträffade negativa händelser ska rapporteras i avvikelsesystemet Med Control Pro där aktuell linjechef ansvarar för utredning, åtgärd och uppföljning.</w:t>
      </w:r>
    </w:p>
    <w:p w14:paraId="77C3A6AA" w14:textId="77777777" w:rsidR="00DE6796" w:rsidRPr="00DE6796" w:rsidRDefault="00DE6796" w:rsidP="00DE6796">
      <w:pPr>
        <w:spacing w:after="0" w:line="240" w:lineRule="auto"/>
        <w:ind w:left="0" w:right="0"/>
        <w:rPr>
          <w:rFonts w:ascii="Arial" w:hAnsi="Arial" w:cs="Arial"/>
          <w:sz w:val="20"/>
        </w:rPr>
      </w:pPr>
      <w:r w:rsidRPr="00DE6796">
        <w:rPr>
          <w:rFonts w:ascii="Arial" w:hAnsi="Arial" w:cs="Arial"/>
          <w:sz w:val="20"/>
        </w:rPr>
        <w:t xml:space="preserve">Utvärdering och revidering av rutindokumentet ska ske senast två år efter godkännande. Ansvar för revidering har avd 12-25 rutinansvarig tillsammans med vårdenhetschefen. </w:t>
      </w:r>
    </w:p>
    <w:p w14:paraId="27DDC112" w14:textId="77777777" w:rsidR="00DE6796" w:rsidRPr="00DE6796" w:rsidRDefault="00DE6796" w:rsidP="00DE6796">
      <w:pPr>
        <w:spacing w:after="0" w:line="240" w:lineRule="auto"/>
        <w:ind w:left="0" w:right="0"/>
        <w:rPr>
          <w:rFonts w:ascii="Arial" w:hAnsi="Arial" w:cs="Arial"/>
          <w:sz w:val="20"/>
        </w:rPr>
      </w:pPr>
    </w:p>
    <w:p w14:paraId="01448604" w14:textId="77777777" w:rsidR="00DE6796" w:rsidRPr="00DE6796" w:rsidRDefault="00DE6796" w:rsidP="00DE6796">
      <w:pPr>
        <w:spacing w:after="0" w:line="240" w:lineRule="auto"/>
        <w:ind w:left="0" w:right="0"/>
        <w:rPr>
          <w:rFonts w:ascii="Arial" w:hAnsi="Arial" w:cs="Arial"/>
          <w:sz w:val="20"/>
        </w:rPr>
      </w:pPr>
      <w:r w:rsidRPr="00DE6796">
        <w:rPr>
          <w:rFonts w:ascii="Arial" w:hAnsi="Arial" w:cs="Arial"/>
          <w:b/>
          <w:bCs/>
          <w:sz w:val="26"/>
          <w:szCs w:val="26"/>
        </w:rPr>
        <w:t>Relaterad information</w:t>
      </w:r>
      <w:r w:rsidRPr="00DE6796">
        <w:rPr>
          <w:rFonts w:ascii="Arial" w:hAnsi="Arial" w:cs="Arial"/>
          <w:sz w:val="20"/>
        </w:rPr>
        <w:br/>
      </w:r>
      <w:hyperlink r:id="rId17" w:history="1">
        <w:r w:rsidRPr="00DE6796">
          <w:rPr>
            <w:rFonts w:ascii="Arial" w:hAnsi="Arial" w:cs="Arial"/>
            <w:color w:val="0000FF"/>
            <w:sz w:val="20"/>
            <w:u w:val="single"/>
          </w:rPr>
          <w:t>Rutin. Smärt</w:t>
        </w:r>
        <w:r w:rsidRPr="00DE6796">
          <w:rPr>
            <w:rFonts w:ascii="Arial" w:hAnsi="Arial" w:cs="Arial"/>
            <w:color w:val="0000FF"/>
            <w:sz w:val="20"/>
            <w:u w:val="single"/>
          </w:rPr>
          <w:t>b</w:t>
        </w:r>
        <w:r w:rsidRPr="00DE6796">
          <w:rPr>
            <w:rFonts w:ascii="Arial" w:hAnsi="Arial" w:cs="Arial"/>
            <w:color w:val="0000FF"/>
            <w:sz w:val="20"/>
            <w:u w:val="single"/>
          </w:rPr>
          <w:t>ehandling m</w:t>
        </w:r>
        <w:r w:rsidRPr="00DE6796">
          <w:rPr>
            <w:rFonts w:ascii="Arial" w:hAnsi="Arial" w:cs="Arial"/>
            <w:color w:val="0000FF"/>
            <w:sz w:val="20"/>
            <w:u w:val="single"/>
          </w:rPr>
          <w:t>e</w:t>
        </w:r>
        <w:r w:rsidRPr="00DE6796">
          <w:rPr>
            <w:rFonts w:ascii="Arial" w:hAnsi="Arial" w:cs="Arial"/>
            <w:color w:val="0000FF"/>
            <w:sz w:val="20"/>
            <w:u w:val="single"/>
          </w:rPr>
          <w:t>d tho</w:t>
        </w:r>
        <w:r w:rsidRPr="00DE6796">
          <w:rPr>
            <w:rFonts w:ascii="Arial" w:hAnsi="Arial" w:cs="Arial"/>
            <w:color w:val="0000FF"/>
            <w:sz w:val="20"/>
            <w:u w:val="single"/>
          </w:rPr>
          <w:t>r</w:t>
        </w:r>
        <w:r w:rsidRPr="00DE6796">
          <w:rPr>
            <w:rFonts w:ascii="Arial" w:hAnsi="Arial" w:cs="Arial"/>
            <w:color w:val="0000FF"/>
            <w:sz w:val="20"/>
            <w:u w:val="single"/>
          </w:rPr>
          <w:t>akal epidural analgesi - TEDA</w:t>
        </w:r>
      </w:hyperlink>
    </w:p>
    <w:p w14:paraId="3CD5FCF4" w14:textId="77777777" w:rsidR="00DE6796" w:rsidRPr="00DE6796" w:rsidRDefault="00DE6796" w:rsidP="00DE6796">
      <w:pPr>
        <w:spacing w:after="0" w:line="240" w:lineRule="auto"/>
        <w:ind w:left="0" w:right="0"/>
      </w:pPr>
    </w:p>
    <w:p w14:paraId="7855EAA4" w14:textId="77777777" w:rsidR="00DE6796" w:rsidRPr="00DE6796" w:rsidRDefault="00DE6796" w:rsidP="00DE6796">
      <w:pPr>
        <w:keepNext/>
        <w:spacing w:after="60" w:line="240" w:lineRule="auto"/>
        <w:ind w:left="0" w:right="0"/>
        <w:outlineLvl w:val="2"/>
        <w:rPr>
          <w:rFonts w:ascii="Arial" w:hAnsi="Arial" w:cs="Arial"/>
          <w:b/>
          <w:bCs/>
          <w:szCs w:val="26"/>
        </w:rPr>
      </w:pPr>
      <w:r w:rsidRPr="00DE6796">
        <w:rPr>
          <w:rFonts w:ascii="Arial" w:hAnsi="Arial" w:cs="Arial"/>
          <w:b/>
          <w:bCs/>
          <w:szCs w:val="26"/>
        </w:rPr>
        <w:t>Dokumentation</w:t>
      </w:r>
    </w:p>
    <w:p w14:paraId="13177E42" w14:textId="77777777" w:rsidR="00DE6796" w:rsidRPr="00DE6796" w:rsidRDefault="00DE6796" w:rsidP="00DE6796">
      <w:pPr>
        <w:spacing w:after="0" w:line="240" w:lineRule="auto"/>
        <w:ind w:left="0" w:right="0"/>
        <w:rPr>
          <w:rFonts w:ascii="Arial" w:hAnsi="Arial" w:cs="Arial"/>
          <w:sz w:val="20"/>
        </w:rPr>
      </w:pPr>
      <w:r w:rsidRPr="00DE6796">
        <w:rPr>
          <w:rFonts w:ascii="Arial" w:hAnsi="Arial" w:cs="Arial"/>
          <w:sz w:val="20"/>
        </w:rPr>
        <w:t xml:space="preserve">Styrande dokument arkiveras i Barium. Redovisande dokument ska hanteras enligt sjukhusets gällande rutiner för arkivering av allmänna handlingar. </w:t>
      </w:r>
    </w:p>
    <w:p w14:paraId="07535404" w14:textId="77777777" w:rsidR="00DE6796" w:rsidRPr="00DE6796" w:rsidRDefault="00DE6796" w:rsidP="00DE6796">
      <w:pPr>
        <w:spacing w:after="0" w:line="240" w:lineRule="auto"/>
        <w:ind w:left="0" w:right="0"/>
        <w:rPr>
          <w:rFonts w:ascii="Arial" w:hAnsi="Arial" w:cs="Arial"/>
          <w:sz w:val="20"/>
          <w:lang w:val="fi-FI"/>
        </w:rPr>
      </w:pPr>
    </w:p>
    <w:p w14:paraId="22CACD1C" w14:textId="77777777" w:rsidR="00DE6796" w:rsidRPr="00DE6796" w:rsidRDefault="00DE6796" w:rsidP="00DE6796">
      <w:pPr>
        <w:keepNext/>
        <w:spacing w:after="60" w:line="240" w:lineRule="auto"/>
        <w:ind w:left="0" w:right="0"/>
        <w:outlineLvl w:val="2"/>
        <w:rPr>
          <w:rFonts w:ascii="Arial" w:hAnsi="Arial" w:cs="Arial"/>
          <w:b/>
          <w:bCs/>
          <w:szCs w:val="26"/>
        </w:rPr>
      </w:pPr>
      <w:r w:rsidRPr="00DE6796">
        <w:rPr>
          <w:rFonts w:ascii="Arial" w:hAnsi="Arial" w:cs="Arial"/>
          <w:b/>
          <w:bCs/>
          <w:szCs w:val="26"/>
        </w:rPr>
        <w:t>Granskare/arbetsgrupp</w:t>
      </w:r>
    </w:p>
    <w:p w14:paraId="592B72BA" w14:textId="77777777" w:rsidR="00DE6796" w:rsidRPr="00DE6796" w:rsidRDefault="00DE6796" w:rsidP="00DE6796">
      <w:pPr>
        <w:spacing w:after="0" w:line="240" w:lineRule="auto"/>
        <w:ind w:left="0" w:right="0"/>
        <w:rPr>
          <w:rFonts w:ascii="Arial" w:hAnsi="Arial" w:cs="Arial"/>
          <w:sz w:val="20"/>
        </w:rPr>
      </w:pPr>
      <w:r w:rsidRPr="00DE6796">
        <w:rPr>
          <w:rFonts w:ascii="Arial" w:hAnsi="Arial" w:cs="Arial"/>
          <w:sz w:val="20"/>
        </w:rPr>
        <w:t>Andreas Westerlind Vårdenhetsöverläkare Thorax 12-25</w:t>
      </w:r>
    </w:p>
    <w:p w14:paraId="72DD3550" w14:textId="77777777" w:rsidR="00DE6796" w:rsidRPr="00DE6796" w:rsidRDefault="00DE6796" w:rsidP="00DE6796">
      <w:pPr>
        <w:spacing w:after="0" w:line="240" w:lineRule="auto"/>
        <w:ind w:left="0" w:right="0"/>
        <w:rPr>
          <w:rFonts w:ascii="Arial" w:hAnsi="Arial" w:cs="Arial"/>
          <w:sz w:val="20"/>
        </w:rPr>
      </w:pPr>
    </w:p>
    <w:p w14:paraId="2B5345E9" w14:textId="77777777" w:rsidR="00DE6796" w:rsidRPr="00DE6796" w:rsidRDefault="00DE6796" w:rsidP="00DE6796">
      <w:pPr>
        <w:spacing w:after="0" w:line="240" w:lineRule="auto"/>
        <w:ind w:left="0" w:right="0"/>
        <w:rPr>
          <w:rFonts w:ascii="Arial" w:hAnsi="Arial" w:cs="Arial"/>
          <w:sz w:val="20"/>
        </w:rPr>
      </w:pPr>
    </w:p>
    <w:p w14:paraId="34ADBB42" w14:textId="77777777" w:rsidR="00DE6796" w:rsidRPr="00DE6796" w:rsidRDefault="00DE6796" w:rsidP="00DE6796">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DE679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8DE2B78"/>
    <w:multiLevelType w:val="hybridMultilevel"/>
    <w:tmpl w:val="8F565C02"/>
    <w:lvl w:ilvl="0" w:tplc="FFFFFFFF">
      <w:start w:val="2"/>
      <w:numFmt w:val="decimal"/>
      <w:lvlText w:val="%1"/>
      <w:lvlJc w:val="left"/>
      <w:pPr>
        <w:tabs>
          <w:tab w:val="num" w:pos="2835"/>
        </w:tabs>
        <w:ind w:left="2835" w:hanging="570"/>
      </w:pPr>
      <w:rPr>
        <w:rFonts w:hint="default"/>
      </w:rPr>
    </w:lvl>
    <w:lvl w:ilvl="1" w:tplc="FFFFFFFF">
      <w:start w:val="1"/>
      <w:numFmt w:val="lowerLetter"/>
      <w:lvlText w:val="%2."/>
      <w:lvlJc w:val="left"/>
      <w:pPr>
        <w:tabs>
          <w:tab w:val="num" w:pos="3345"/>
        </w:tabs>
        <w:ind w:left="3345" w:hanging="360"/>
      </w:pPr>
    </w:lvl>
    <w:lvl w:ilvl="2" w:tplc="FFFFFFFF" w:tentative="1">
      <w:start w:val="1"/>
      <w:numFmt w:val="lowerRoman"/>
      <w:lvlText w:val="%3."/>
      <w:lvlJc w:val="right"/>
      <w:pPr>
        <w:tabs>
          <w:tab w:val="num" w:pos="4065"/>
        </w:tabs>
        <w:ind w:left="4065" w:hanging="180"/>
      </w:pPr>
    </w:lvl>
    <w:lvl w:ilvl="3" w:tplc="FFFFFFFF" w:tentative="1">
      <w:start w:val="1"/>
      <w:numFmt w:val="decimal"/>
      <w:lvlText w:val="%4."/>
      <w:lvlJc w:val="left"/>
      <w:pPr>
        <w:tabs>
          <w:tab w:val="num" w:pos="4785"/>
        </w:tabs>
        <w:ind w:left="4785" w:hanging="360"/>
      </w:pPr>
    </w:lvl>
    <w:lvl w:ilvl="4" w:tplc="FFFFFFFF" w:tentative="1">
      <w:start w:val="1"/>
      <w:numFmt w:val="lowerLetter"/>
      <w:lvlText w:val="%5."/>
      <w:lvlJc w:val="left"/>
      <w:pPr>
        <w:tabs>
          <w:tab w:val="num" w:pos="5505"/>
        </w:tabs>
        <w:ind w:left="5505" w:hanging="360"/>
      </w:pPr>
    </w:lvl>
    <w:lvl w:ilvl="5" w:tplc="FFFFFFFF" w:tentative="1">
      <w:start w:val="1"/>
      <w:numFmt w:val="lowerRoman"/>
      <w:lvlText w:val="%6."/>
      <w:lvlJc w:val="right"/>
      <w:pPr>
        <w:tabs>
          <w:tab w:val="num" w:pos="6225"/>
        </w:tabs>
        <w:ind w:left="6225" w:hanging="180"/>
      </w:pPr>
    </w:lvl>
    <w:lvl w:ilvl="6" w:tplc="FFFFFFFF" w:tentative="1">
      <w:start w:val="1"/>
      <w:numFmt w:val="decimal"/>
      <w:lvlText w:val="%7."/>
      <w:lvlJc w:val="left"/>
      <w:pPr>
        <w:tabs>
          <w:tab w:val="num" w:pos="6945"/>
        </w:tabs>
        <w:ind w:left="6945" w:hanging="360"/>
      </w:pPr>
    </w:lvl>
    <w:lvl w:ilvl="7" w:tplc="FFFFFFFF" w:tentative="1">
      <w:start w:val="1"/>
      <w:numFmt w:val="lowerLetter"/>
      <w:lvlText w:val="%8."/>
      <w:lvlJc w:val="left"/>
      <w:pPr>
        <w:tabs>
          <w:tab w:val="num" w:pos="7665"/>
        </w:tabs>
        <w:ind w:left="7665" w:hanging="360"/>
      </w:pPr>
    </w:lvl>
    <w:lvl w:ilvl="8" w:tplc="FFFFFFFF" w:tentative="1">
      <w:start w:val="1"/>
      <w:numFmt w:val="lowerRoman"/>
      <w:lvlText w:val="%9."/>
      <w:lvlJc w:val="right"/>
      <w:pPr>
        <w:tabs>
          <w:tab w:val="num" w:pos="8385"/>
        </w:tabs>
        <w:ind w:left="8385"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17513481">
    <w:abstractNumId w:val="18"/>
  </w:num>
  <w:num w:numId="2" w16cid:durableId="2010331377">
    <w:abstractNumId w:val="15"/>
  </w:num>
  <w:num w:numId="3" w16cid:durableId="1950233868">
    <w:abstractNumId w:val="0"/>
  </w:num>
  <w:num w:numId="4" w16cid:durableId="1129203220">
    <w:abstractNumId w:val="7"/>
  </w:num>
  <w:num w:numId="5" w16cid:durableId="146746132">
    <w:abstractNumId w:val="16"/>
  </w:num>
  <w:num w:numId="6" w16cid:durableId="816610277">
    <w:abstractNumId w:val="2"/>
  </w:num>
  <w:num w:numId="7" w16cid:durableId="732314954">
    <w:abstractNumId w:val="12"/>
  </w:num>
  <w:num w:numId="8" w16cid:durableId="1158617136">
    <w:abstractNumId w:val="9"/>
  </w:num>
  <w:num w:numId="9" w16cid:durableId="1394892774">
    <w:abstractNumId w:val="1"/>
  </w:num>
  <w:num w:numId="10" w16cid:durableId="2134521935">
    <w:abstractNumId w:val="1"/>
  </w:num>
  <w:num w:numId="11" w16cid:durableId="832912886">
    <w:abstractNumId w:val="3"/>
  </w:num>
  <w:num w:numId="12" w16cid:durableId="1809855103">
    <w:abstractNumId w:val="4"/>
  </w:num>
  <w:num w:numId="13" w16cid:durableId="1787961332">
    <w:abstractNumId w:val="14"/>
  </w:num>
  <w:num w:numId="14" w16cid:durableId="94398841">
    <w:abstractNumId w:val="10"/>
  </w:num>
  <w:num w:numId="15" w16cid:durableId="776170764">
    <w:abstractNumId w:val="8"/>
  </w:num>
  <w:num w:numId="16" w16cid:durableId="2100562416">
    <w:abstractNumId w:val="13"/>
  </w:num>
  <w:num w:numId="17" w16cid:durableId="696926479">
    <w:abstractNumId w:val="5"/>
  </w:num>
  <w:num w:numId="18" w16cid:durableId="1461387717">
    <w:abstractNumId w:val="11"/>
  </w:num>
  <w:num w:numId="19" w16cid:durableId="589973179">
    <w:abstractNumId w:val="17"/>
  </w:num>
  <w:num w:numId="20" w16cid:durableId="97224704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E679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12734/Sm%c3%a4rtbehandling%20med%20thorakal%20epidural%20analgesi%2c%20TEDA.pdf?a=false&amp;guest=tru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3</Pages>
  <Words>968</Words>
  <Characters>5135</Characters>
  <Application>Microsoft Office Word</Application>
  <DocSecurity>0</DocSecurity>
  <Lines>42</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6091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Missbruk, postoperativ smärtbehanling på avd 12-25</dc:title>
  <dc:subject/>
  <dc:creator>patrik.jens.johansson@vgregion.se</dc:creator>
  <keywords/>
  <lastModifiedBy>TK.SpStyMigProd</lastModifiedBy>
  <revision>2</revision>
  <lastPrinted>2016-03-31T10:56:00.0000000Z</lastPrinted>
  <dcterms:created xsi:type="dcterms:W3CDTF">2022-06-10T08:56:00.0000000Z</dcterms:created>
  <dcterms:modified xsi:type="dcterms:W3CDTF">2022-06-10T08:56:00.0000000Z</dcterms:modified>
</coreProperties>
</file>