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0D4D6D" w:rsidP="00F35B05" w:rsidRDefault="000D4D6D" w14:paraId="7C08C0EC" w14:textId="77777777">
      <w:pPr>
        <w:pStyle w:val="Heading2"/>
        <w:sectPr w:rsidR="000D4D6D" w:rsidSect="000D4D6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0D4D6D" w:rsidR="000D4D6D" w:rsidP="55A4D340" w:rsidRDefault="000D4D6D" w14:paraId="3A8854C9" w14:textId="7BB92BC4">
      <w:pPr>
        <w:keepNext w:val="1"/>
        <w:spacing w:after="60" w:line="240" w:lineRule="auto"/>
        <w:ind w:left="0" w:right="0"/>
        <w:outlineLvl w:val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</w:pPr>
      <w:r w:rsidRPr="55A4D340" w:rsidR="2F687D2B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40"/>
          <w:szCs w:val="40"/>
        </w:rPr>
        <w:t>Narkolepsi</w:t>
      </w:r>
      <w:r>
        <w:br/>
      </w:r>
    </w:p>
    <w:p w:rsidRPr="000D4D6D" w:rsidR="000D4D6D" w:rsidP="55A4D340" w:rsidRDefault="000D4D6D" w14:paraId="53D632D4" w14:textId="219B42BB">
      <w:pPr>
        <w:keepNext w:val="1"/>
        <w:spacing w:after="60" w:line="240" w:lineRule="auto"/>
        <w:ind w:left="0" w:right="0"/>
        <w:outlineLvl w:val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</w:pPr>
      <w:r w:rsidRPr="55A4D340" w:rsidR="000D4D6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  <w:t>Bakgrund och syfte</w:t>
      </w:r>
    </w:p>
    <w:p w:rsidRPr="000D4D6D" w:rsidR="000D4D6D" w:rsidP="2B2A1367" w:rsidRDefault="000D4D6D" w14:paraId="5B68DA03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Narkolepsi är en kronisk neurologisk sjukdom som kännetecknas av störningar i regleringen av vakenhet och sömn. Patienterna har en uttalad sömnighet dagtid och uppsplittrad nattsömn. De flesta har också attacker med plötslig kraftlöshet i musklerna (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kataplexi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) i samband med plötsliga känsloyttringar samt hallucinationer och förlamning (sömnparalys) vid insomnande och uppvaknande.</w:t>
      </w:r>
    </w:p>
    <w:p w:rsidRPr="000D4D6D" w:rsidR="000D4D6D" w:rsidP="2B2A1367" w:rsidRDefault="000D4D6D" w14:paraId="60808D9D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Narkolepsi klassificeras enligt International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Classification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of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Sleep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Disorders (ICSD3) som två typer. Patienter med typ 1 har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kataplexi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och/eller låga nivåer av det sömnreglerande hormonet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orexin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/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hypokretin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i cerebrospinalvätska (CSV). Typ 2 saknar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kataplexi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och har normala nivåer av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orexin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/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hypokretin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. </w:t>
      </w:r>
    </w:p>
    <w:p w:rsidRPr="000D4D6D" w:rsidR="000D4D6D" w:rsidP="2B2A1367" w:rsidRDefault="000D4D6D" w14:paraId="3EC5A8C9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3FE8FE50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Den vanliga åldern för insjuknande är tonår eller tidiga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vuxenår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. Narkolepsi har en prevalens som är lägre än 50/100 000 personer. Efter vaccination med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Pandemrix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® mot svininfluensan 2009 insjuknade omkring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400-500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personer med narkolepsi, varav de flesta individerna var barn och ungdomar.</w:t>
      </w:r>
    </w:p>
    <w:p w:rsidRPr="000D4D6D" w:rsidR="000D4D6D" w:rsidP="2B2A1367" w:rsidRDefault="000D4D6D" w14:paraId="68710DFD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54329553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Narkolepsi typ1 misstänks vara en autoimmun sjukdom där immunsystemet angriper och förstör nervceller i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hypothalamus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, som producerar det sömnreglerande hormonet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orexin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. Denna reaktion kan triggas av yttre riskfaktorer som infektion av streptokocker och av influensavirus. Den tydligaste riskfaktorn är vaccinet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Pandemrix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®. Det finns ingen uppenbar ärftlighet, men man har noterat att förstagradssläktingar drabbas i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1-2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% jämfört med omkring 0,02% i den allmänna befolkningen</w:t>
      </w:r>
      <w:r w:rsidRPr="2B2A1367" w:rsidR="000D4D6D">
        <w:rPr>
          <w:rFonts w:ascii="Times New Roman" w:hAnsi="Times New Roman" w:eastAsia="Times New Roman" w:cs="Times New Roman"/>
          <w:i w:val="1"/>
          <w:iCs w:val="1"/>
          <w:sz w:val="24"/>
          <w:szCs w:val="24"/>
          <w:lang w:val="da-DK"/>
        </w:rPr>
        <w:t>.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de-DE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Vid typ 2 är orsaken okänd.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de-DE"/>
        </w:rPr>
        <w:t>Sekund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är narkolepsi kan uppstå vid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direktp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da-DK"/>
        </w:rPr>
        <w:t>å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verkan på cellerna i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hypothalamus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orsakad av en tumör, skada eller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kärlp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da-DK"/>
        </w:rPr>
        <w:t>å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verkan med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da-DK"/>
        </w:rPr>
        <w:t>å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tföljande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syrebrist. Dessutom finns ärftliga sjukdomar med narkolepsiliknande symtom, till exempel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Nieman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-Picks sjukdom typ C,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Prader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-Willis syndrom,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dystrofia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myotonika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,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Norries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-,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Coffin-Lowrys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- och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Möbius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- syndrom.</w:t>
      </w:r>
    </w:p>
    <w:p w:rsidRPr="000D4D6D" w:rsidR="000D4D6D" w:rsidP="2B2A1367" w:rsidRDefault="000D4D6D" w14:paraId="33977901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5509EBC3" w14:textId="77777777">
      <w:pPr>
        <w:spacing w:after="0" w:line="240" w:lineRule="auto"/>
        <w:ind w:left="0" w:right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</w:pPr>
      <w:r w:rsidRPr="2B2A1367" w:rsidR="000D4D6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  <w:t>Symtom</w:t>
      </w:r>
    </w:p>
    <w:p w:rsidRPr="000D4D6D" w:rsidR="000D4D6D" w:rsidP="2B2A1367" w:rsidRDefault="000D4D6D" w14:paraId="78A66DDB" w14:textId="77777777">
      <w:pPr>
        <w:numPr>
          <w:ilvl w:val="0"/>
          <w:numId w:val="20"/>
        </w:numPr>
        <w:spacing w:after="0" w:line="240" w:lineRule="auto"/>
        <w:ind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Uttalad 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dagsömnighet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som påverkar vardagen negativt.</w:t>
      </w:r>
    </w:p>
    <w:p w:rsidRPr="000D4D6D" w:rsidR="000D4D6D" w:rsidP="2B2A1367" w:rsidRDefault="000D4D6D" w14:paraId="23D1587B" w14:textId="77777777">
      <w:pPr>
        <w:numPr>
          <w:ilvl w:val="0"/>
          <w:numId w:val="20"/>
        </w:numPr>
        <w:spacing w:after="0" w:line="240" w:lineRule="auto"/>
        <w:ind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Sömnen innehåller ofta livliga drömmar och inte sällan 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mardrömmar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. 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Klardrömmar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och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parasomnier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förekommer också. 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Nattetid är sömnen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ofta 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uppsplittrad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med frekventa uppvaknanden.</w:t>
      </w:r>
    </w:p>
    <w:p w:rsidRPr="000D4D6D" w:rsidR="000D4D6D" w:rsidP="2B2A1367" w:rsidRDefault="000D4D6D" w14:paraId="313C2C25" w14:textId="77777777">
      <w:pPr>
        <w:numPr>
          <w:ilvl w:val="0"/>
          <w:numId w:val="20"/>
        </w:numPr>
        <w:spacing w:after="0" w:line="240" w:lineRule="auto"/>
        <w:ind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Plötsliga attacker av svaghet i muskler (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kataplexiattacker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) förekommer hos majoriteten.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Kataplexiattacker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utlöses av plötsliga emotioner och kan upplevas som mycket handikappande då de ofta uppstår i sociala sammanhang. Svagheten varar under mindre än två minuter och kan skifta från diskret svaghet i nack- och ansiktsmuskulatur till total paralys i hela kroppen med fall som följd. Medvetandet är bevarat.</w:t>
      </w:r>
    </w:p>
    <w:p w:rsidRPr="000D4D6D" w:rsidR="000D4D6D" w:rsidP="2B2A1367" w:rsidRDefault="000D4D6D" w14:paraId="6C764987" w14:textId="77777777">
      <w:pPr>
        <w:numPr>
          <w:ilvl w:val="0"/>
          <w:numId w:val="20"/>
        </w:numPr>
        <w:spacing w:after="0" w:line="240" w:lineRule="auto"/>
        <w:ind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Sömnparalys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uppträder oftast vid insomnandet eller uppvaknandet och innebär att patienten under någon minut inte kan röra skelettmuskulatur förutom andningsmuskulatur och ibland ögonmuskler. </w:t>
      </w:r>
    </w:p>
    <w:p w:rsidRPr="000D4D6D" w:rsidR="000D4D6D" w:rsidP="2B2A1367" w:rsidRDefault="000D4D6D" w14:paraId="10EFA1D4" w14:textId="77777777">
      <w:pPr>
        <w:numPr>
          <w:ilvl w:val="0"/>
          <w:numId w:val="20"/>
        </w:numPr>
        <w:spacing w:after="0" w:line="240" w:lineRule="auto"/>
        <w:ind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Hypnagoga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 (vid insomnandet) eller 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hypnopompa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 (vid uppvaknandet) hallucinationer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utspelar sig i rummet där patienten sover och är oftast skrämmande och av taktil,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auditorisk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och/ eller visuell natur. Det kan vara upplevelsen av främmande människor, djur eller vålnader i rummet, beröring eller strypning, röster och skrik.</w:t>
      </w:r>
    </w:p>
    <w:p w:rsidRPr="000D4D6D" w:rsidR="000D4D6D" w:rsidP="2B2A1367" w:rsidRDefault="000D4D6D" w14:paraId="541FF724" w14:textId="77777777">
      <w:pPr>
        <w:numPr>
          <w:ilvl w:val="0"/>
          <w:numId w:val="20"/>
        </w:numPr>
        <w:spacing w:after="0" w:line="240" w:lineRule="auto"/>
        <w:ind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Ökad samsjuklighet av depression och ångest, social fobi och panikattacker samt ADHD-liknande symtom.</w:t>
      </w:r>
    </w:p>
    <w:p w:rsidRPr="000D4D6D" w:rsidR="000D4D6D" w:rsidP="2B2A1367" w:rsidRDefault="000D4D6D" w14:paraId="6958F199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14396C67" w14:textId="77777777">
      <w:pPr>
        <w:spacing w:after="0" w:line="240" w:lineRule="auto"/>
        <w:ind w:left="0" w:right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</w:pPr>
      <w:r w:rsidRPr="2B2A1367" w:rsidR="000D4D6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  <w:t>Differentialdiagnoser</w:t>
      </w:r>
    </w:p>
    <w:p w:rsidRPr="000D4D6D" w:rsidR="000D4D6D" w:rsidP="2B2A1367" w:rsidRDefault="000D4D6D" w14:paraId="7A005B85" w14:textId="77777777">
      <w:pPr>
        <w:numPr>
          <w:ilvl w:val="0"/>
          <w:numId w:val="21"/>
        </w:numPr>
        <w:spacing w:after="0" w:line="240" w:lineRule="auto"/>
        <w:ind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Otillräcklig sömn </w:t>
      </w:r>
    </w:p>
    <w:p w:rsidRPr="000D4D6D" w:rsidR="000D4D6D" w:rsidP="2B2A1367" w:rsidRDefault="000D4D6D" w14:paraId="7AC3EEAE" w14:textId="77777777">
      <w:pPr>
        <w:numPr>
          <w:ilvl w:val="0"/>
          <w:numId w:val="21"/>
        </w:numPr>
        <w:spacing w:after="0" w:line="240" w:lineRule="auto"/>
        <w:ind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Förskjuten dygnsrytm</w:t>
      </w:r>
    </w:p>
    <w:p w:rsidRPr="000D4D6D" w:rsidR="000D4D6D" w:rsidP="2B2A1367" w:rsidRDefault="000D4D6D" w14:paraId="49A882AB" w14:textId="77777777">
      <w:pPr>
        <w:numPr>
          <w:ilvl w:val="0"/>
          <w:numId w:val="21"/>
        </w:numPr>
        <w:spacing w:after="0" w:line="240" w:lineRule="auto"/>
        <w:ind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Obstruktiv sömnapné</w:t>
      </w:r>
    </w:p>
    <w:p w:rsidRPr="000D4D6D" w:rsidR="000D4D6D" w:rsidP="2B2A1367" w:rsidRDefault="000D4D6D" w14:paraId="60A9C4E4" w14:textId="77777777">
      <w:pPr>
        <w:numPr>
          <w:ilvl w:val="0"/>
          <w:numId w:val="21"/>
        </w:numPr>
        <w:spacing w:after="0" w:line="240" w:lineRule="auto"/>
        <w:ind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Vid idiopatisk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hypersomni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saknas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kataplexi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, sömnhallucination och sömnparalys. Dagsömnigheten innefattar sömndruckenhet efter uppvaknandet och lång sovtid. Tupplurar är ej uppiggande. </w:t>
      </w:r>
    </w:p>
    <w:p w:rsidRPr="000D4D6D" w:rsidR="000D4D6D" w:rsidP="2B2A1367" w:rsidRDefault="000D4D6D" w14:paraId="6BF358CF" w14:textId="77777777">
      <w:pPr>
        <w:numPr>
          <w:ilvl w:val="0"/>
          <w:numId w:val="21"/>
        </w:numPr>
        <w:spacing w:after="0" w:line="240" w:lineRule="auto"/>
        <w:ind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Kleine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-Levin syndrom innebär återkommande episoder av uttalad dagsömnighet associerat med beteendeförändringar, men normal kognition och vakenhet däremellan. </w:t>
      </w:r>
    </w:p>
    <w:p w:rsidRPr="000D4D6D" w:rsidR="000D4D6D" w:rsidP="2B2A1367" w:rsidRDefault="000D4D6D" w14:paraId="71A2F24F" w14:textId="77777777">
      <w:pPr>
        <w:numPr>
          <w:ilvl w:val="0"/>
          <w:numId w:val="21"/>
        </w:numPr>
        <w:spacing w:after="0" w:line="240" w:lineRule="auto"/>
        <w:ind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Hypersomni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av psykiatriska (depression, bipolär sjukdom), neurologiska (stroke, central sömnapné) eller andra medicinska orsaker.</w:t>
      </w:r>
    </w:p>
    <w:p w:rsidRPr="000D4D6D" w:rsidR="000D4D6D" w:rsidP="2B2A1367" w:rsidRDefault="000D4D6D" w14:paraId="1336BD4F" w14:textId="77777777">
      <w:pPr>
        <w:numPr>
          <w:ilvl w:val="0"/>
          <w:numId w:val="21"/>
        </w:numPr>
        <w:spacing w:after="0" w:line="240" w:lineRule="auto"/>
        <w:ind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Menstruationsrelaterad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hypersomni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.</w:t>
      </w:r>
    </w:p>
    <w:p w:rsidRPr="000D4D6D" w:rsidR="000D4D6D" w:rsidP="2B2A1367" w:rsidRDefault="000D4D6D" w14:paraId="360935E0" w14:textId="77777777">
      <w:pPr>
        <w:spacing w:after="0" w:line="240" w:lineRule="auto"/>
        <w:ind w:left="108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1A64925E" w14:textId="77777777">
      <w:pPr>
        <w:spacing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Restless legs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syndrome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/Willis-Ekbom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Disease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(RLS/WED) eller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Periodic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limb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movements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(PLM) innebär också dagtrötthet.</w:t>
      </w:r>
    </w:p>
    <w:p w:rsidRPr="000D4D6D" w:rsidR="000D4D6D" w:rsidP="2B2A1367" w:rsidRDefault="000D4D6D" w14:paraId="1F4FD846" w14:textId="77777777">
      <w:pPr>
        <w:spacing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Syftet är att kvalitetssäkra omhändertagandet av barn med narkolepsi inom VGR.</w:t>
      </w:r>
    </w:p>
    <w:p w:rsidRPr="000D4D6D" w:rsidR="000D4D6D" w:rsidP="2B2A1367" w:rsidRDefault="000D4D6D" w14:paraId="5528AAC7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142C7AB9" w14:textId="77777777">
      <w:pPr>
        <w:keepNext w:val="1"/>
        <w:spacing w:after="60" w:line="240" w:lineRule="auto"/>
        <w:ind w:left="0" w:right="0"/>
        <w:outlineLvl w:val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</w:pPr>
      <w:r w:rsidRPr="2B2A1367" w:rsidR="000D4D6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  <w:t>Arbetsbeskrivning</w:t>
      </w:r>
    </w:p>
    <w:p w:rsidRPr="000D4D6D" w:rsidR="000D4D6D" w:rsidP="2B2A1367" w:rsidRDefault="000D4D6D" w14:paraId="096CCA4D" w14:textId="77777777">
      <w:pPr>
        <w:spacing w:after="0" w:line="240" w:lineRule="auto"/>
        <w:ind w:left="0" w:right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</w:pPr>
      <w:r w:rsidRPr="2B2A1367" w:rsidR="000D4D6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  <w:t>Utredning</w:t>
      </w:r>
    </w:p>
    <w:p w:rsidRPr="000D4D6D" w:rsidR="000D4D6D" w:rsidP="2B2A1367" w:rsidRDefault="000D4D6D" w14:paraId="2D999D34" w14:textId="77777777">
      <w:pPr>
        <w:spacing w:after="0" w:line="240" w:lineRule="auto"/>
        <w:ind w:left="0" w:right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</w:pPr>
      <w:r w:rsidRPr="2B2A1367" w:rsidR="000D4D6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  <w:t>Anamnes</w:t>
      </w:r>
    </w:p>
    <w:p w:rsidRPr="000D4D6D" w:rsidR="000D4D6D" w:rsidP="2B2A1367" w:rsidRDefault="000D4D6D" w14:paraId="79309453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Enligt ovanstående symtom.</w:t>
      </w:r>
    </w:p>
    <w:p w:rsidRPr="000D4D6D" w:rsidR="000D4D6D" w:rsidP="2B2A1367" w:rsidRDefault="000D4D6D" w14:paraId="57B73C72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2B96CAD7" w14:textId="77777777">
      <w:pPr>
        <w:spacing w:after="0" w:line="240" w:lineRule="auto"/>
        <w:ind w:left="0" w:right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</w:pPr>
      <w:r w:rsidRPr="2B2A1367" w:rsidR="000D4D6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  <w:t>Status</w:t>
      </w:r>
    </w:p>
    <w:p w:rsidRPr="000D4D6D" w:rsidR="000D4D6D" w:rsidP="2B2A1367" w:rsidRDefault="000D4D6D" w14:paraId="52F06362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Somatiskt status, vikt, längd, pubertetsstatus</w:t>
      </w:r>
    </w:p>
    <w:p w:rsidRPr="000D4D6D" w:rsidR="000D4D6D" w:rsidP="2B2A1367" w:rsidRDefault="000D4D6D" w14:paraId="6B21992A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i w:val="1"/>
          <w:iCs w:val="1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i w:val="1"/>
          <w:iCs w:val="1"/>
          <w:sz w:val="24"/>
          <w:szCs w:val="24"/>
        </w:rPr>
        <w:t>Om neurologiska bortfall förekommer bör en annan diagnos än narkolepsi övervägas.</w:t>
      </w:r>
    </w:p>
    <w:p w:rsidRPr="000D4D6D" w:rsidR="000D4D6D" w:rsidP="2B2A1367" w:rsidRDefault="000D4D6D" w14:paraId="02FDD60D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5F095284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Epworth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Sleepiness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Scale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visar ofta en summa större än 10 av 24 poäng vid narkolepsi.</w:t>
      </w:r>
    </w:p>
    <w:p w:rsidRPr="000D4D6D" w:rsidR="000D4D6D" w:rsidP="2B2A1367" w:rsidRDefault="000D4D6D" w14:paraId="03AF68BA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7B5158B8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Sömnregistreringar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(Remiss till klinisk neurofysiologi, SU):</w:t>
      </w:r>
    </w:p>
    <w:p w:rsidRPr="000D4D6D" w:rsidR="000D4D6D" w:rsidP="2B2A1367" w:rsidRDefault="000D4D6D" w14:paraId="7AC59109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I första hand rekommenderas MSLT och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aktigrafi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.</w:t>
      </w:r>
    </w:p>
    <w:p w:rsidRPr="000D4D6D" w:rsidR="000D4D6D" w:rsidP="2B2A1367" w:rsidRDefault="000D4D6D" w14:paraId="085A12C4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- Multipelt sömnlatenstest (MSLT)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innebär att patienten under dagtid skall somna vid fem tillfällen under samtidig EEG-registrering. Tiden till sömnstadium 1 mäts som sömnlatens.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Sleep-onset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REM definieras som REM-sömn inom femton minuter efter sömnstart. En sömnlatens kortare än 8 minuter anses patologisk. </w:t>
      </w:r>
    </w:p>
    <w:p w:rsidRPr="000D4D6D" w:rsidR="000D4D6D" w:rsidP="2B2A1367" w:rsidRDefault="000D4D6D" w14:paraId="028E8C80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MSLT bör föregås av en undersökning av föregående dygns nattsömn då denna kan påverka MSLT. Detta kan göras med en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aktigrafiundersökning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eller en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polysomnografi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.</w:t>
      </w:r>
    </w:p>
    <w:p w:rsidRPr="000D4D6D" w:rsidR="000D4D6D" w:rsidP="2B2A1367" w:rsidRDefault="000D4D6D" w14:paraId="31B0ACD2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- Vid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aktigrafi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bärs en rörelsedetektor (accelerometer) under en veckas tid för mätning av fysisk aktivitet och sömn. Detta ger ett objektivt mått på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sömntid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, dagtidssömn och förekomst av uppsplittrad nattsömn.</w:t>
      </w:r>
    </w:p>
    <w:p w:rsidRPr="000D4D6D" w:rsidR="000D4D6D" w:rsidP="2B2A1367" w:rsidRDefault="000D4D6D" w14:paraId="61E2AF1C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- 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Polysomnografi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 (PSG)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utförs inneliggande under sömn och registrerar andningsuppehåll, syrgasmättnad, uppvaknanden,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sympatikoton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aktivitet, hjärtfrekvens och sömnstadier. PSG utförs framför allt för att utesluta differentialdiagnoser som obstruktiv sömnapné,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periodic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limb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movement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och avvikande sömnarkitektur.</w:t>
      </w:r>
    </w:p>
    <w:p w:rsidRPr="000D4D6D" w:rsidR="000D4D6D" w:rsidP="2B2A1367" w:rsidRDefault="000D4D6D" w14:paraId="5064A634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4048FB59" w14:textId="77777777">
      <w:pPr>
        <w:spacing w:after="0" w:line="240" w:lineRule="auto"/>
        <w:ind w:left="0" w:right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</w:pPr>
      <w:r w:rsidRPr="2B2A1367" w:rsidR="000D4D6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  <w:t>Biokemisk diagnostik</w:t>
      </w:r>
    </w:p>
    <w:p w:rsidRPr="000D4D6D" w:rsidR="000D4D6D" w:rsidP="2B2A1367" w:rsidRDefault="000D4D6D" w14:paraId="4ADF52BC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De nervceller som specifikt förstörs använder signalsubstansen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orexin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/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hypokretin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. Nivåerna kan mätas i ryggmärgsvätska och är kraftigt sänkta vid typ 1 (oftast ≤ 110 pg/ml). Nivåerna är normala vid typ 2. </w:t>
      </w:r>
    </w:p>
    <w:p w:rsidRPr="000D4D6D" w:rsidR="000D4D6D" w:rsidP="2B2A1367" w:rsidRDefault="000D4D6D" w14:paraId="7475C21F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Orienterande laboratorieprover för att utesluta somatisk orsak till sömnighet, inklusive Hb, B-glukos, infektionsprover,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thyreoideaprover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, elektrolyt- och leverstatus. </w:t>
      </w:r>
    </w:p>
    <w:p w:rsidRPr="000D4D6D" w:rsidR="000D4D6D" w:rsidP="2B2A1367" w:rsidRDefault="000D4D6D" w14:paraId="64A51892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En positiv HLA-typning stärker misstanken om narkolepsi ytterligare. I princip är alla personer med typ 1 bärare av HLA-DQB1*06:02-haplotypen, men den är också vanligt förekommande i kaukasisk normalpopulation (15–25 %). </w:t>
      </w:r>
    </w:p>
    <w:p w:rsidRPr="000D4D6D" w:rsidR="000D4D6D" w:rsidP="2B2A1367" w:rsidRDefault="000D4D6D" w14:paraId="2CAC75E0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6F32EE3C" w14:textId="77777777">
      <w:pPr>
        <w:spacing w:after="0" w:line="240" w:lineRule="auto"/>
        <w:ind w:left="0" w:right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</w:pPr>
      <w:r w:rsidRPr="2B2A1367" w:rsidR="000D4D6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  <w:t>Bilddiagnostik</w:t>
      </w:r>
    </w:p>
    <w:p w:rsidRPr="000D4D6D" w:rsidR="000D4D6D" w:rsidP="2B2A1367" w:rsidRDefault="000D4D6D" w14:paraId="0FEA682A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MR hjärna utförs vid misstanke om sekundär narkolepsi eller annan orsak till dagsömnighet,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t ex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vid neurologisk sjukdom. </w:t>
      </w:r>
    </w:p>
    <w:p w:rsidRPr="000D4D6D" w:rsidR="000D4D6D" w:rsidP="2B2A1367" w:rsidRDefault="000D4D6D" w14:paraId="2EAACA2E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691B2604" w14:textId="77777777">
      <w:pPr>
        <w:spacing w:after="0" w:line="240" w:lineRule="auto"/>
        <w:ind w:left="0" w:right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</w:pPr>
      <w:r w:rsidRPr="2B2A1367" w:rsidR="000D4D6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  <w:t>Diagnos</w:t>
      </w:r>
    </w:p>
    <w:p w:rsidRPr="000D4D6D" w:rsidR="000D4D6D" w:rsidP="2B2A1367" w:rsidRDefault="000D4D6D" w14:paraId="518E6974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Diagnostiska kriterier enligt den Internationella Klassifikationen för sömnrelaterade 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sjukdomar (International 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Classification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of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Sleep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Disorders - 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Third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edition, ICSD-3)</w:t>
      </w:r>
    </w:p>
    <w:p w:rsidRPr="000D4D6D" w:rsidR="000D4D6D" w:rsidP="2B2A1367" w:rsidRDefault="000D4D6D" w14:paraId="5F706699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Narkolepsi typ 1 ICD-10: G47.4A</w:t>
      </w:r>
    </w:p>
    <w:p w:rsidRPr="000D4D6D" w:rsidR="000D4D6D" w:rsidP="2B2A1367" w:rsidRDefault="000D4D6D" w14:paraId="761CE527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Kriterierna A och B måste uppfyllas:</w:t>
      </w:r>
    </w:p>
    <w:p w:rsidRPr="000D4D6D" w:rsidR="000D4D6D" w:rsidP="2B2A1367" w:rsidRDefault="000D4D6D" w14:paraId="4D9006BF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</w:p>
    <w:p w:rsidRPr="000D4D6D" w:rsidR="000D4D6D" w:rsidP="2B2A1367" w:rsidRDefault="000D4D6D" w14:paraId="295FB7B6" w14:textId="77777777">
      <w:pPr>
        <w:numPr>
          <w:ilvl w:val="0"/>
          <w:numId w:val="22"/>
        </w:numPr>
        <w:spacing w:after="0" w:line="240" w:lineRule="auto"/>
        <w:ind w:right="0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Patienten har dagliga perioder av oemotståndligt behov av att sova eller dagtidssömn i ≥3 månader. </w:t>
      </w:r>
    </w:p>
    <w:p w:rsidRPr="000D4D6D" w:rsidR="000D4D6D" w:rsidP="2B2A1367" w:rsidRDefault="000D4D6D" w14:paraId="5817914A" w14:textId="77777777">
      <w:pPr>
        <w:numPr>
          <w:ilvl w:val="0"/>
          <w:numId w:val="22"/>
        </w:numPr>
        <w:spacing w:after="0" w:line="240" w:lineRule="auto"/>
        <w:ind w:right="0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Närvaron av en eller båda av följande:</w:t>
      </w:r>
    </w:p>
    <w:p w:rsidRPr="000D4D6D" w:rsidR="000D4D6D" w:rsidP="2B2A1367" w:rsidRDefault="000D4D6D" w14:paraId="1B2DAB5D" w14:textId="77777777">
      <w:pPr>
        <w:numPr>
          <w:ilvl w:val="0"/>
          <w:numId w:val="23"/>
        </w:numPr>
        <w:spacing w:after="0" w:line="240" w:lineRule="auto"/>
        <w:ind w:right="0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Kataplexi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och en genomsnittlig sömnlatens på ≤8 minuter och ≥2 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sleep-onset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REM (SOREM) vid MSLT som genomförts med standardiserade tekniker. En SOREM (inom 15 minuter från sömnstart) i en föregående 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polysomnografi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kan ersätta en SOREM vid multipelt sömnlatenstest (MSLT).</w:t>
      </w:r>
    </w:p>
    <w:p w:rsidRPr="000D4D6D" w:rsidR="000D4D6D" w:rsidP="2B2A1367" w:rsidRDefault="000D4D6D" w14:paraId="4213BC57" w14:textId="77777777">
      <w:pPr>
        <w:numPr>
          <w:ilvl w:val="0"/>
          <w:numId w:val="23"/>
        </w:numPr>
        <w:spacing w:after="0" w:line="240" w:lineRule="auto"/>
        <w:ind w:right="0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CSV-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orexin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/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hypokretin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koncentration är antingen ≤ 110 pg/ml eller &lt;1/3 av medelvärden hos normalbefolkningen med samma standardiserade metod.</w:t>
      </w:r>
    </w:p>
    <w:p w:rsidRPr="000D4D6D" w:rsidR="000D4D6D" w:rsidP="2B2A1367" w:rsidRDefault="000D4D6D" w14:paraId="0A2D403B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</w:p>
    <w:p w:rsidRPr="000D4D6D" w:rsidR="000D4D6D" w:rsidP="2B2A1367" w:rsidRDefault="000D4D6D" w14:paraId="0505DD1F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Narkolepsi typ 2 ICD-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10:G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47.4B</w:t>
      </w:r>
    </w:p>
    <w:p w:rsidRPr="000D4D6D" w:rsidR="000D4D6D" w:rsidP="2B2A1367" w:rsidRDefault="000D4D6D" w14:paraId="4D009EE4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Kriterierna A-E måste uppfyllas</w:t>
      </w:r>
    </w:p>
    <w:p w:rsidRPr="000D4D6D" w:rsidR="000D4D6D" w:rsidP="2B2A1367" w:rsidRDefault="000D4D6D" w14:paraId="2BDC663F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414B5B6C" w14:textId="77777777">
      <w:pPr>
        <w:numPr>
          <w:ilvl w:val="0"/>
          <w:numId w:val="24"/>
        </w:numPr>
        <w:spacing w:after="0" w:line="240" w:lineRule="auto"/>
        <w:ind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Patienten har dagliga perioder av oemotståndligt behov av att sova eller dagtidssömn i ≥3 månader. </w:t>
      </w:r>
    </w:p>
    <w:p w:rsidRPr="000D4D6D" w:rsidR="000D4D6D" w:rsidP="2B2A1367" w:rsidRDefault="000D4D6D" w14:paraId="02FF2497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</w:pPr>
    </w:p>
    <w:p w:rsidRPr="000D4D6D" w:rsidR="000D4D6D" w:rsidP="2B2A1367" w:rsidRDefault="000D4D6D" w14:paraId="112B6CFB" w14:textId="77777777">
      <w:pPr>
        <w:numPr>
          <w:ilvl w:val="0"/>
          <w:numId w:val="24"/>
        </w:numPr>
        <w:spacing w:after="0" w:line="240" w:lineRule="auto"/>
        <w:ind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En genomsnittlig sömnlatens på ≤8 minuter och ≥2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sleep-onset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REM (SOREM) vid MSLT som genomförts med standardiserade tekniker. En SOREM (inom 15 minuter från sömnstart) i en föregående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polysomnografi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kan ersätta en SOREM vid multipelt sömnlatenstest (MSLT).</w:t>
      </w:r>
    </w:p>
    <w:p w:rsidRPr="000D4D6D" w:rsidR="000D4D6D" w:rsidP="2B2A1367" w:rsidRDefault="000D4D6D" w14:paraId="4A008E89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</w:pPr>
    </w:p>
    <w:p w:rsidRPr="000D4D6D" w:rsidR="000D4D6D" w:rsidP="2B2A1367" w:rsidRDefault="000D4D6D" w14:paraId="1268F4D7" w14:textId="77777777">
      <w:pPr>
        <w:numPr>
          <w:ilvl w:val="0"/>
          <w:numId w:val="24"/>
        </w:numPr>
        <w:spacing w:after="0" w:line="240" w:lineRule="auto"/>
        <w:ind w:right="0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Inga 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kataplexiattacker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.</w:t>
      </w:r>
    </w:p>
    <w:p w:rsidRPr="000D4D6D" w:rsidR="000D4D6D" w:rsidP="2B2A1367" w:rsidRDefault="000D4D6D" w14:paraId="5F859221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</w:p>
    <w:p w:rsidRPr="000D4D6D" w:rsidR="000D4D6D" w:rsidP="2B2A1367" w:rsidRDefault="000D4D6D" w14:paraId="2243D468" w14:textId="77777777">
      <w:pPr>
        <w:numPr>
          <w:ilvl w:val="0"/>
          <w:numId w:val="24"/>
        </w:numPr>
        <w:spacing w:after="0" w:line="240" w:lineRule="auto"/>
        <w:ind w:right="0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Avsaknad av CSV-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orexin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/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hypokretinvärde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eller koncentration på antingen &gt;110 pg/ml eller &gt;1/3 av medelvärdet hos normalbefolkningen med samma standardiserade metod.</w:t>
      </w:r>
    </w:p>
    <w:p w:rsidRPr="000D4D6D" w:rsidR="000D4D6D" w:rsidP="2B2A1367" w:rsidRDefault="000D4D6D" w14:paraId="1F385A26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</w:p>
    <w:p w:rsidRPr="000D4D6D" w:rsidR="000D4D6D" w:rsidP="2B2A1367" w:rsidRDefault="000D4D6D" w14:paraId="4FE71867" w14:textId="77777777">
      <w:pPr>
        <w:numPr>
          <w:ilvl w:val="0"/>
          <w:numId w:val="24"/>
        </w:numPr>
        <w:spacing w:after="0" w:line="240" w:lineRule="auto"/>
        <w:ind w:right="0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Hypersomnin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och/eller MSLT-fynden kan inte förklaras av andra orsaker såsom otillräcklig sömn, obstruktiv sömnapné, sen 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sömnfasstörning</w:t>
      </w:r>
      <w:r w:rsidRPr="2B2A1367" w:rsidR="000D4D6D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 xml:space="preserve"> eller effekt av medicin eller droger eller deras utsättning. </w:t>
      </w:r>
    </w:p>
    <w:p w:rsidRPr="000D4D6D" w:rsidR="000D4D6D" w:rsidP="2B2A1367" w:rsidRDefault="000D4D6D" w14:paraId="6FA014E3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</w:p>
    <w:p w:rsidRPr="000D4D6D" w:rsidR="000D4D6D" w:rsidP="2B2A1367" w:rsidRDefault="000D4D6D" w14:paraId="6B4E30C3" w14:textId="77777777">
      <w:pPr>
        <w:spacing w:after="0" w:line="240" w:lineRule="auto"/>
        <w:ind w:left="0" w:right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</w:pPr>
      <w:r w:rsidRPr="2B2A1367" w:rsidR="000D4D6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  <w:t>Behandling</w:t>
      </w:r>
    </w:p>
    <w:p w:rsidRPr="000D4D6D" w:rsidR="000D4D6D" w:rsidP="2B2A1367" w:rsidRDefault="000D4D6D" w14:paraId="31B1A30D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Botande behandling saknas</w:t>
      </w:r>
    </w:p>
    <w:p w:rsidRPr="000D4D6D" w:rsidR="000D4D6D" w:rsidP="2B2A1367" w:rsidRDefault="000D4D6D" w14:paraId="06C8E718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64562E20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Icke-farmakologisk behandling: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Regelbunden sömn, fysisk träning och kost samt kortvariga sovstunder dagtid är ofta av stor vikt som symtomlindring. Information till anhöriga och kompisar minskar risken för social isolering. Information och åtgärder i skolan med anpassad studieplats, studietakt, tidpunkt för prov och förlängd provtid samt assistent. Fysioterapeut och arbetsterapeut kan ge råd om hur den fysiska miljön i skolan kan anpassas.</w:t>
      </w:r>
    </w:p>
    <w:p w:rsidRPr="000D4D6D" w:rsidR="000D4D6D" w:rsidP="2B2A1367" w:rsidRDefault="000D4D6D" w14:paraId="59347A7C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4D4BC05C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Dagsömnighet: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Centralstimulerande substanser som frisätter dopamin och noradrenalin används för att minska dagsömnigheten. Specialister i barn- och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vuxenneurologi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kan förskriva läkemedel med indikation ADHD vid narkolepsi. Kontrollera längd, vikt, puls och blodtryck var 6:e månad eller vid doshöjning. Långverkande preparat tex </w:t>
      </w:r>
      <w:r w:rsidRPr="2B2A1367" w:rsidR="000D4D6D">
        <w:rPr>
          <w:rFonts w:ascii="Times New Roman" w:hAnsi="Times New Roman" w:eastAsia="Times New Roman" w:cs="Times New Roman"/>
          <w:i w:val="1"/>
          <w:iCs w:val="1"/>
          <w:sz w:val="24"/>
          <w:szCs w:val="24"/>
        </w:rPr>
        <w:t>metylfenidat</w:t>
      </w:r>
      <w:r w:rsidRPr="2B2A1367" w:rsidR="000D4D6D">
        <w:rPr>
          <w:rFonts w:ascii="Times New Roman" w:hAnsi="Times New Roman" w:eastAsia="Times New Roman" w:cs="Times New Roman"/>
          <w:i w:val="1"/>
          <w:iCs w:val="1"/>
          <w:sz w:val="24"/>
          <w:szCs w:val="24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18-54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mg x 1 rekommenderas i lägsta möjliga dos med upptrappning var 14:e dag. Ibland kan en ny dos behövas på eftermiddagen strax före en kortare sovstund. Om otillräcklig effekt eller biverkningar kan </w:t>
      </w:r>
      <w:r w:rsidRPr="2B2A1367" w:rsidR="000D4D6D">
        <w:rPr>
          <w:rFonts w:ascii="Times New Roman" w:hAnsi="Times New Roman" w:eastAsia="Times New Roman" w:cs="Times New Roman"/>
          <w:i w:val="1"/>
          <w:iCs w:val="1"/>
          <w:sz w:val="24"/>
          <w:szCs w:val="24"/>
        </w:rPr>
        <w:t>dexamfetamin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i långverkande beredning provas i doserna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20-40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mg. Upptrappning med 10 mg var 14:de dag. Även </w:t>
      </w:r>
      <w:r w:rsidRPr="2B2A1367" w:rsidR="000D4D6D">
        <w:rPr>
          <w:rFonts w:ascii="Times New Roman" w:hAnsi="Times New Roman" w:eastAsia="Times New Roman" w:cs="Times New Roman"/>
          <w:i w:val="1"/>
          <w:iCs w:val="1"/>
          <w:sz w:val="24"/>
          <w:szCs w:val="24"/>
        </w:rPr>
        <w:t>modafinil</w:t>
      </w:r>
      <w:r w:rsidRPr="2B2A1367" w:rsidR="000D4D6D">
        <w:rPr>
          <w:rFonts w:ascii="Times New Roman" w:hAnsi="Times New Roman" w:eastAsia="Times New Roman" w:cs="Times New Roman"/>
          <w:i w:val="1"/>
          <w:iCs w:val="1"/>
          <w:sz w:val="24"/>
          <w:szCs w:val="24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(godkänt från 18 år) 100 mg 1 tablett på morgonen som kan ökas till 1 tablett morgon och 1 tablett vid lunch, upp till 2+2 tabletter per dag kan provas till ungdomar. Bland biverkningar finns oro och ångest, minskad aptit med ofrivillig viktnedgång, affektlabilitet, huvudvärk, illamående, muntorrhet,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tremor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och perifer kyla. Genom sina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noradrenerga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effekter via det sympatiska nervsystemet kan preparaten orsaka högt blodtryck och pulsstegring.</w:t>
      </w:r>
    </w:p>
    <w:p w:rsidRPr="000D4D6D" w:rsidR="000D4D6D" w:rsidP="2B2A1367" w:rsidRDefault="000D4D6D" w14:paraId="6E1F770A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4826B0DF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  <w:lang w:val="it-IT"/>
        </w:rPr>
        <w:t>Kataplexiattacker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: Om otillräcklig effekt av centralstimulantia rekommenderas i första hand tillägg av </w:t>
      </w:r>
      <w:r w:rsidRPr="2B2A1367" w:rsidR="000D4D6D">
        <w:rPr>
          <w:rFonts w:ascii="Times New Roman" w:hAnsi="Times New Roman" w:eastAsia="Times New Roman" w:cs="Times New Roman"/>
          <w:i w:val="1"/>
          <w:iCs w:val="1"/>
          <w:sz w:val="24"/>
          <w:szCs w:val="24"/>
        </w:rPr>
        <w:t>fluoxetin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10-20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mg x 1.</w:t>
      </w:r>
    </w:p>
    <w:p w:rsidRPr="000D4D6D" w:rsidR="000D4D6D" w:rsidP="2B2A1367" w:rsidRDefault="000D4D6D" w14:paraId="0F5C26C4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5D47F92E" w14:textId="2CFC2F8B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Störd nattsömn, dagsömnighet och 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kataplexiattacker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>: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Om otillräcklig effekt av centralstimulantia och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fluoxetin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rekommenderas tillägg av</w:t>
      </w:r>
      <w:r w:rsidRPr="2B2A1367" w:rsidR="000D4D6D">
        <w:rPr>
          <w:rFonts w:ascii="Times New Roman" w:hAnsi="Times New Roman" w:eastAsia="Times New Roman" w:cs="Times New Roman"/>
          <w:i w:val="1"/>
          <w:iCs w:val="1"/>
          <w:sz w:val="24"/>
          <w:szCs w:val="24"/>
        </w:rPr>
        <w:t xml:space="preserve"> 4-hydroxysmörsyra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(</w:t>
      </w:r>
      <w:r w:rsidRPr="2B2A1367" w:rsidR="000D4D6D">
        <w:rPr>
          <w:rFonts w:ascii="Times New Roman" w:hAnsi="Times New Roman" w:eastAsia="Times New Roman" w:cs="Times New Roman"/>
          <w:i w:val="1"/>
          <w:iCs w:val="1"/>
          <w:sz w:val="24"/>
          <w:szCs w:val="24"/>
        </w:rPr>
        <w:t>natriumoxybat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)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2,25-4,5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g vid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sä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it-IT"/>
        </w:rPr>
        <w:t>ngg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åendet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och efter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2-4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timmar. Upptrappning med 0,25+0,25 g var 14:e dag.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da-DK"/>
        </w:rPr>
        <w:t xml:space="preserve"> H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ögre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doser än 4,5+4,5 g ökar ej terapeutisk effekt men kan leda till andningsdepression.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Fö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it-IT"/>
        </w:rPr>
        <w:t xml:space="preserve">da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bör undvikas minst två timmar innan intaget. Synergistiska effekter med alkohol gör det riskfyllt att kombinera! (Patienten skall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erhå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it-IT"/>
        </w:rPr>
        <w:t>lla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it-IT"/>
        </w:rPr>
        <w:t xml:space="preserve"> s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ärskild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information kring läkemedlets användning och vara registrerad i narkolepsiregistret). Biverkningar kan vara huvudvärk, illamående, yrsel och urininkontinens. </w:t>
      </w:r>
      <w:r w:rsidRPr="2B2A1367" w:rsidR="000D4D6D">
        <w:rPr>
          <w:rFonts w:ascii="Times New Roman" w:hAnsi="Times New Roman" w:eastAsia="Times New Roman" w:cs="Times New Roman"/>
          <w:i w:val="1"/>
          <w:iCs w:val="1"/>
          <w:sz w:val="24"/>
          <w:szCs w:val="24"/>
          <w:lang w:val="pt-PT"/>
        </w:rPr>
        <w:t>Pitolisant</w:t>
      </w:r>
      <w:r w:rsidRPr="2B2A1367" w:rsidR="000D4D6D">
        <w:rPr>
          <w:rFonts w:ascii="Times New Roman" w:hAnsi="Times New Roman" w:eastAsia="Times New Roman" w:cs="Times New Roman"/>
          <w:i w:val="1"/>
          <w:iCs w:val="1"/>
          <w:sz w:val="24"/>
          <w:szCs w:val="24"/>
          <w:lang w:val="pt-PT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>är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>en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>histamin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 xml:space="preserve"> H3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>receptor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>antagonist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 xml:space="preserve"> som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>ökar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>aktiviteten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 xml:space="preserve"> i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>det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>histaminerga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>systemet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 xml:space="preserve"> och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>ger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>ökad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>vakenhet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>samt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>minskning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>av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>kataplexi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 xml:space="preserve">.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>Dosen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 xml:space="preserve">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>är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pt-PT"/>
        </w:rPr>
        <w:t xml:space="preserve"> 4,5-36 mg x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1. Upptrappning med 4,5 mg per vecka. Biverkningarna är relativt milda och innefattar sömnlöshet, huvudvärk,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illam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da-DK"/>
        </w:rPr>
        <w:t>å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ende och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da-DK"/>
        </w:rPr>
        <w:t>å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ngest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. Varken </w:t>
      </w:r>
      <w:r w:rsidRPr="2B2A1367" w:rsidR="000D4D6D">
        <w:rPr>
          <w:rFonts w:ascii="Times New Roman" w:hAnsi="Times New Roman" w:eastAsia="Times New Roman" w:cs="Times New Roman"/>
          <w:i w:val="1"/>
          <w:iCs w:val="1"/>
          <w:sz w:val="24"/>
          <w:szCs w:val="24"/>
        </w:rPr>
        <w:t>natriumoxybat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och </w:t>
      </w:r>
      <w:r w:rsidRPr="2B2A1367" w:rsidR="000D4D6D">
        <w:rPr>
          <w:rFonts w:ascii="Times New Roman" w:hAnsi="Times New Roman" w:eastAsia="Times New Roman" w:cs="Times New Roman"/>
          <w:i w:val="1"/>
          <w:iCs w:val="1"/>
          <w:sz w:val="24"/>
          <w:szCs w:val="24"/>
        </w:rPr>
        <w:t>pitolisant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är godkänt för behandling av barn och ungdomar. God erfarenhet finns dock av behandling med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natriumoxybat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till ungdomar.</w:t>
      </w:r>
    </w:p>
    <w:p w:rsidRPr="000D4D6D" w:rsidR="000D4D6D" w:rsidP="2B2A1367" w:rsidRDefault="000D4D6D" w14:paraId="2D2F3A98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07E7ADBE" w14:textId="77777777">
      <w:pPr>
        <w:spacing w:after="0" w:line="240" w:lineRule="auto"/>
        <w:ind w:left="0" w:right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</w:pPr>
      <w:r w:rsidRPr="2B2A1367" w:rsidR="000D4D6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  <w:t>Uppföljning</w:t>
      </w:r>
    </w:p>
    <w:p w:rsidRPr="000D4D6D" w:rsidR="000D4D6D" w:rsidP="2B2A1367" w:rsidRDefault="000D4D6D" w14:paraId="5E01014D" w14:textId="0C8628A8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Patienten följs upp av barnneurolog</w:t>
      </w:r>
      <w:r w:rsidRPr="2B2A1367" w:rsidR="25ED72D3">
        <w:rPr>
          <w:rFonts w:ascii="Times New Roman" w:hAnsi="Times New Roman" w:eastAsia="Times New Roman" w:cs="Times New Roman"/>
          <w:sz w:val="24"/>
          <w:szCs w:val="24"/>
        </w:rPr>
        <w:t>/ barnläkare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och sjuksköterska. Efter insatt behandling efter 1 månad hos sjuksköterska för kontroll av biverkningar och hos barnneurolog</w:t>
      </w:r>
      <w:r w:rsidRPr="2B2A1367" w:rsidR="012106F5">
        <w:rPr>
          <w:rFonts w:ascii="Times New Roman" w:hAnsi="Times New Roman" w:eastAsia="Times New Roman" w:cs="Times New Roman"/>
          <w:sz w:val="24"/>
          <w:szCs w:val="24"/>
        </w:rPr>
        <w:t xml:space="preserve"> eller barnläkare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efter 3 månader för kontroll av effekt. Därefter rekommenderas uppföljning 2 ggr per år. Patienter följs lämpligen i Narkolepsiregistret (</w:t>
      </w:r>
      <w:hyperlink r:id="R580d0f58b7594462">
        <w:r w:rsidRPr="2B2A1367" w:rsidR="000D4D6D">
          <w:rPr>
            <w:rFonts w:ascii="Times New Roman" w:hAnsi="Times New Roman" w:eastAsia="Times New Roman" w:cs="Times New Roman"/>
            <w:color w:val="0000FF"/>
            <w:sz w:val="24"/>
            <w:szCs w:val="24"/>
            <w:u w:val="single"/>
          </w:rPr>
          <w:t>www.neuroreg.se</w:t>
        </w:r>
      </w:hyperlink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). </w:t>
      </w:r>
    </w:p>
    <w:p w:rsidRPr="000D4D6D" w:rsidR="000D4D6D" w:rsidP="2B2A1367" w:rsidRDefault="000D4D6D" w14:paraId="679BD869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Intyg inför </w:t>
      </w:r>
      <w:r w:rsidRPr="2B2A1367" w:rsidR="000D4D6D"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  <w:t xml:space="preserve">körkortsprövning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krävs och ska informera om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kataplexi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och sömnattacker dagtid i medicinerat skick, för bedömning om dessa utgör en risk för trafiksäkerheten. Detta förutsätter att behandlande läkare har en god bild av patientens besvär.</w:t>
      </w:r>
    </w:p>
    <w:p w:rsidRPr="000D4D6D" w:rsidR="000D4D6D" w:rsidP="2B2A1367" w:rsidRDefault="000D4D6D" w14:paraId="60CA347F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484CCBBF" w14:textId="77777777">
      <w:pPr>
        <w:spacing w:after="0" w:line="240" w:lineRule="auto"/>
        <w:ind w:left="0" w:right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</w:pPr>
      <w:r w:rsidRPr="2B2A1367" w:rsidR="000D4D6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  <w:t>Prognos</w:t>
      </w:r>
    </w:p>
    <w:p w:rsidRPr="000D4D6D" w:rsidR="000D4D6D" w:rsidP="2B2A1367" w:rsidRDefault="000D4D6D" w14:paraId="45312F89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Narkolepsi är en kronisk sjukdom med variationer över tid där försämring ofta ses under mörka årstider och vid hög arbetsbelastning. En betydande andel patienter har reducerad studie- och arbets-kapacitet med behov av anpassning, hjälpmedel och vissa svåra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fall assistent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i skola och på arbete.</w:t>
      </w:r>
    </w:p>
    <w:p w:rsidRPr="000D4D6D" w:rsidR="000D4D6D" w:rsidP="2B2A1367" w:rsidRDefault="000D4D6D" w14:paraId="0AF969BF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1D5A8919" w14:textId="77777777">
      <w:pPr>
        <w:keepNext w:val="1"/>
        <w:spacing w:after="60" w:line="240" w:lineRule="auto"/>
        <w:ind w:left="0" w:right="0"/>
        <w:outlineLvl w:val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</w:pPr>
      <w:r w:rsidRPr="2B2A1367" w:rsidR="000D4D6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  <w:t>Ansvar</w:t>
      </w:r>
    </w:p>
    <w:p w:rsidRPr="000D4D6D" w:rsidR="000D4D6D" w:rsidP="2B2A1367" w:rsidRDefault="000D4D6D" w14:paraId="354A4D37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Gäller för personal inom Neurologimottagningen barn på Drottning Silvias Barn- och Ungdomssjukhus, Område 1, SU. Ansvar för spridning och implementering har verksamhetschefen som även ansvarar för att rutinen följer gällande författningar och lagar.</w:t>
      </w:r>
    </w:p>
    <w:p w:rsidRPr="000D4D6D" w:rsidR="000D4D6D" w:rsidP="2B2A1367" w:rsidRDefault="000D4D6D" w14:paraId="7E80F53E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344D498E" w14:textId="77777777">
      <w:pPr>
        <w:keepNext w:val="1"/>
        <w:spacing w:after="60" w:line="240" w:lineRule="auto"/>
        <w:ind w:left="0" w:right="0"/>
        <w:outlineLvl w:val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</w:pPr>
      <w:r w:rsidRPr="2B2A1367" w:rsidR="000D4D6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  <w:t>Uppföljning, utvärdering och revision</w:t>
      </w:r>
    </w:p>
    <w:p w:rsidRPr="000D4D6D" w:rsidR="000D4D6D" w:rsidP="2B2A1367" w:rsidRDefault="000D4D6D" w14:paraId="140B9425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Verksamheten följer upp att rutinen följs. Medvetet avsteg från rutinen dokumenteras i Melior om rutinen är kopplad till patient. Övriga orsaker till avsteg från rutinen rapporteras i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MedControlPRO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.</w:t>
      </w:r>
    </w:p>
    <w:p w:rsidRPr="000D4D6D" w:rsidR="000D4D6D" w:rsidP="2B2A1367" w:rsidRDefault="000D4D6D" w14:paraId="1B3F14D4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5E0EC422" w14:textId="77777777">
      <w:pPr>
        <w:keepNext w:val="1"/>
        <w:spacing w:after="60" w:line="240" w:lineRule="auto"/>
        <w:ind w:left="0" w:right="0"/>
        <w:outlineLvl w:val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</w:pPr>
      <w:r w:rsidRPr="2B2A1367" w:rsidR="000D4D6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  <w:t>Dokumentation</w:t>
      </w:r>
    </w:p>
    <w:p w:rsidRPr="000D4D6D" w:rsidR="000D4D6D" w:rsidP="2B2A1367" w:rsidRDefault="000D4D6D" w14:paraId="77873240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Styrande dokument arkiveras i Barium. Redovisande dokument ska hanteras enligt sjukhusets gällande rutiner för arkivering av allmänna handlingar.</w:t>
      </w:r>
    </w:p>
    <w:p w:rsidRPr="000D4D6D" w:rsidR="000D4D6D" w:rsidP="2B2A1367" w:rsidRDefault="000D4D6D" w14:paraId="189FC2A7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</w:p>
    <w:p w:rsidRPr="000D4D6D" w:rsidR="000D4D6D" w:rsidP="2B2A1367" w:rsidRDefault="000D4D6D" w14:paraId="43FB4ED1" w14:textId="77777777">
      <w:pPr>
        <w:keepNext w:val="1"/>
        <w:spacing w:after="60" w:line="240" w:lineRule="auto"/>
        <w:ind w:left="0" w:right="0"/>
        <w:outlineLvl w:val="0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</w:pPr>
      <w:r w:rsidRPr="2B2A1367" w:rsidR="000D4D6D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sz w:val="36"/>
          <w:szCs w:val="36"/>
        </w:rPr>
        <w:t>Kunskapsöversikt</w:t>
      </w:r>
    </w:p>
    <w:p w:rsidRPr="000D4D6D" w:rsidR="000D4D6D" w:rsidP="2B2A1367" w:rsidRDefault="000D4D6D" w14:paraId="1B0B9313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Läkemedelsbehandling vid narkolepsi - bakgrundsdokumentation, publicerad på Läkemedelsverkets webbplats 2013, </w:t>
      </w:r>
      <w:hyperlink r:id="R685840ce6e0a4dc1">
        <w:r w:rsidRPr="2B2A1367" w:rsidR="000D4D6D">
          <w:rPr>
            <w:rFonts w:ascii="Times New Roman" w:hAnsi="Times New Roman" w:eastAsia="Times New Roman" w:cs="Times New Roman"/>
            <w:color w:val="0000FF"/>
            <w:sz w:val="24"/>
            <w:szCs w:val="24"/>
            <w:u w:val="single"/>
          </w:rPr>
          <w:t>www.lakemedelsverket.se</w:t>
        </w:r>
      </w:hyperlink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.</w:t>
      </w:r>
    </w:p>
    <w:p w:rsidRPr="000D4D6D" w:rsidR="000D4D6D" w:rsidP="2B2A1367" w:rsidRDefault="000D4D6D" w14:paraId="26161001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Information från Socialstyrelsen. </w:t>
      </w:r>
      <w:hyperlink r:id="Rce7789cc99034018">
        <w:r w:rsidRPr="2B2A1367" w:rsidR="000D4D6D">
          <w:rPr>
            <w:rFonts w:ascii="Times New Roman" w:hAnsi="Times New Roman" w:eastAsia="Times New Roman" w:cs="Times New Roman"/>
            <w:color w:val="0000FF"/>
            <w:sz w:val="24"/>
            <w:szCs w:val="24"/>
            <w:u w:val="single"/>
          </w:rPr>
          <w:t>www.socialstyrelsen.se/ovanligadiagnoser/narkolepsi</w:t>
        </w:r>
      </w:hyperlink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.</w:t>
      </w:r>
    </w:p>
    <w:p w:rsidRPr="000D4D6D" w:rsidR="000D4D6D" w:rsidP="2B2A1367" w:rsidRDefault="000D4D6D" w14:paraId="3770B082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Läkemedelsverket (2011). Förekomst av narkolepsi med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kataplexi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 hos barn/ungdomar i samband med H1N1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‐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pandemin och vaccinationer med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Pandemrix</w:t>
      </w:r>
    </w:p>
    <w:p w:rsidRPr="000D4D6D" w:rsidR="000D4D6D" w:rsidP="2B2A1367" w:rsidRDefault="000D4D6D" w14:paraId="79304344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en-US"/>
        </w:rPr>
        <w:t>Szakács A. Increased childhood incidence of narcolepsy in western Sweden after H1N1 influenza vaccination. Neurology 2013; 80: 1315-1321.</w:t>
      </w:r>
    </w:p>
    <w:p w:rsidRPr="000D4D6D" w:rsidR="000D4D6D" w:rsidP="2B2A1367" w:rsidRDefault="000D4D6D" w14:paraId="4B9171F3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en-US"/>
        </w:rPr>
        <w:t>Szakács A. Psychiatric comorbidity and cognitive profile in children with narcolepsy with or without association to the H1N1 influenza vaccination. Sleep 2015; 38: 615-621.</w:t>
      </w:r>
    </w:p>
    <w:p w:rsidRPr="000D4D6D" w:rsidR="000D4D6D" w:rsidP="2B2A1367" w:rsidRDefault="000D4D6D" w14:paraId="25CD66FF" w14:textId="77777777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  <w:lang w:val="en-US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Szakács A. A population-based and case-controlled study of children and adolescents with narcolepsy: Health-related quality of life, adaptive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en-US"/>
        </w:rPr>
        <w:t>behavior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 and parental stress.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en-US"/>
        </w:rPr>
        <w:t>Eur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 J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en-US"/>
        </w:rPr>
        <w:t>Paediatr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 Neurol. 2019 Mar;23(2):288-295. </w:t>
      </w:r>
    </w:p>
    <w:p w:rsidRPr="000D4D6D" w:rsidR="000D4D6D" w:rsidP="2B2A1367" w:rsidRDefault="000D4D6D" w14:paraId="7C9F2B80" w14:textId="76CACB96">
      <w:pPr>
        <w:spacing w:after="0" w:line="240" w:lineRule="auto"/>
        <w:ind w:left="0" w:right="0"/>
        <w:rPr>
          <w:rFonts w:ascii="Times New Roman" w:hAnsi="Times New Roman" w:eastAsia="Times New Roman" w:cs="Times New Roman"/>
          <w:sz w:val="24"/>
          <w:szCs w:val="24"/>
          <w:lang w:val="fi-FI"/>
        </w:rPr>
      </w:pP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en-US"/>
        </w:rPr>
        <w:t>Bazetti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 CLA. Narcolepsy - clinical spectrum,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en-US"/>
        </w:rPr>
        <w:t>aetiopathophysiology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  <w:lang w:val="en-US"/>
        </w:rPr>
        <w:t xml:space="preserve">, diagnosis and treatment.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 xml:space="preserve">Nat Rev 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Neurol</w:t>
      </w:r>
      <w:r w:rsidRPr="2B2A1367" w:rsidR="000D4D6D">
        <w:rPr>
          <w:rFonts w:ascii="Times New Roman" w:hAnsi="Times New Roman" w:eastAsia="Times New Roman" w:cs="Times New Roman"/>
          <w:sz w:val="24"/>
          <w:szCs w:val="24"/>
        </w:rPr>
        <w:t>. 2019 Jul 19.</w:t>
      </w:r>
    </w:p>
    <w:p w:rsidRPr="000D4D6D" w:rsidR="000D4D6D" w:rsidP="000D4D6D" w:rsidRDefault="000D4D6D" w14:paraId="790A6675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0D4D6D" w:rsidR="000D4D6D" w:rsidP="000D4D6D" w:rsidRDefault="000D4D6D" w14:paraId="1F098CC8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0D4D6D" w:rsidR="000D4D6D" w:rsidP="000D4D6D" w:rsidRDefault="000D4D6D" w14:paraId="4C6A90AC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0D4D6D" w:rsidR="000D4D6D" w:rsidP="000D4D6D" w:rsidRDefault="000D4D6D" w14:paraId="2F3D0348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0D4D6D" w:rsidR="000D4D6D" w:rsidP="000D4D6D" w:rsidRDefault="000D4D6D" w14:paraId="52B3B11B" w14:textId="77777777">
      <w:pPr>
        <w:spacing w:after="0" w:line="240" w:lineRule="auto"/>
        <w:ind w:left="0" w:right="0"/>
      </w:pPr>
    </w:p>
    <w:p w:rsidRPr="000D4D6D" w:rsidR="000D4D6D" w:rsidP="000D4D6D" w:rsidRDefault="000D4D6D" w14:paraId="529E2B61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0D4D6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5F6D12"/>
    <w:multiLevelType w:val="hybridMultilevel"/>
    <w:tmpl w:val="430C8E1C"/>
    <w:lvl w:ilvl="0" w:tplc="FFFFFFFF">
      <w:start w:val="1"/>
      <w:numFmt w:val="upperLetter"/>
      <w:lvlText w:val="%1."/>
      <w:lvlJc w:val="left"/>
      <w:pPr>
        <w:ind w:left="720" w:hanging="360"/>
      </w:pPr>
      <w:rPr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2BB8"/>
    <w:multiLevelType w:val="hybridMultilevel"/>
    <w:tmpl w:val="D8B43450"/>
    <w:lvl w:ilvl="0" w:tplc="FFFFFFFF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7F95762"/>
    <w:multiLevelType w:val="hybridMultilevel"/>
    <w:tmpl w:val="39BEC076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6FC0435"/>
    <w:multiLevelType w:val="hybridMultilevel"/>
    <w:tmpl w:val="50623C76"/>
    <w:lvl w:ilvl="0" w:tplc="FFFFFFFF">
      <w:start w:val="1"/>
      <w:numFmt w:val="decimal"/>
      <w:lvlText w:val="%1."/>
      <w:lvlJc w:val="lef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6A1445BF"/>
    <w:multiLevelType w:val="hybridMultilevel"/>
    <w:tmpl w:val="9F74D1DC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37093936">
    <w:abstractNumId w:val="22"/>
  </w:num>
  <w:num w:numId="2" w16cid:durableId="1737776203">
    <w:abstractNumId w:val="18"/>
  </w:num>
  <w:num w:numId="3" w16cid:durableId="306280753">
    <w:abstractNumId w:val="0"/>
  </w:num>
  <w:num w:numId="4" w16cid:durableId="1935507253">
    <w:abstractNumId w:val="9"/>
  </w:num>
  <w:num w:numId="5" w16cid:durableId="1929120714">
    <w:abstractNumId w:val="20"/>
  </w:num>
  <w:num w:numId="6" w16cid:durableId="239141114">
    <w:abstractNumId w:val="2"/>
  </w:num>
  <w:num w:numId="7" w16cid:durableId="647125033">
    <w:abstractNumId w:val="14"/>
  </w:num>
  <w:num w:numId="8" w16cid:durableId="1844707441">
    <w:abstractNumId w:val="11"/>
  </w:num>
  <w:num w:numId="9" w16cid:durableId="1997369812">
    <w:abstractNumId w:val="1"/>
  </w:num>
  <w:num w:numId="10" w16cid:durableId="1072579715">
    <w:abstractNumId w:val="1"/>
  </w:num>
  <w:num w:numId="11" w16cid:durableId="244607427">
    <w:abstractNumId w:val="4"/>
  </w:num>
  <w:num w:numId="12" w16cid:durableId="466094337">
    <w:abstractNumId w:val="5"/>
  </w:num>
  <w:num w:numId="13" w16cid:durableId="1058633085">
    <w:abstractNumId w:val="17"/>
  </w:num>
  <w:num w:numId="14" w16cid:durableId="725565369">
    <w:abstractNumId w:val="12"/>
  </w:num>
  <w:num w:numId="15" w16cid:durableId="2005933504">
    <w:abstractNumId w:val="10"/>
  </w:num>
  <w:num w:numId="16" w16cid:durableId="1478493793">
    <w:abstractNumId w:val="16"/>
  </w:num>
  <w:num w:numId="17" w16cid:durableId="1791165615">
    <w:abstractNumId w:val="7"/>
  </w:num>
  <w:num w:numId="18" w16cid:durableId="198973728">
    <w:abstractNumId w:val="13"/>
  </w:num>
  <w:num w:numId="19" w16cid:durableId="1493526788">
    <w:abstractNumId w:val="21"/>
  </w:num>
  <w:num w:numId="20" w16cid:durableId="1688827572">
    <w:abstractNumId w:val="8"/>
  </w:num>
  <w:num w:numId="21" w16cid:durableId="530382981">
    <w:abstractNumId w:val="6"/>
  </w:num>
  <w:num w:numId="22" w16cid:durableId="217864372">
    <w:abstractNumId w:val="19"/>
  </w:num>
  <w:num w:numId="23" w16cid:durableId="1245844988">
    <w:abstractNumId w:val="15"/>
  </w:num>
  <w:num w:numId="24" w16cid:durableId="6636271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4D6D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2106F5"/>
    <w:rsid w:val="024801E3"/>
    <w:rsid w:val="05CDEDBC"/>
    <w:rsid w:val="0B412F2B"/>
    <w:rsid w:val="0BBF019E"/>
    <w:rsid w:val="149CC093"/>
    <w:rsid w:val="231F0182"/>
    <w:rsid w:val="25ED72D3"/>
    <w:rsid w:val="27F272A5"/>
    <w:rsid w:val="2B2A1367"/>
    <w:rsid w:val="2CACBB6B"/>
    <w:rsid w:val="2F687D2B"/>
    <w:rsid w:val="3F527289"/>
    <w:rsid w:val="51BFE59B"/>
    <w:rsid w:val="55A4D340"/>
    <w:rsid w:val="58FE3DC2"/>
    <w:rsid w:val="647B2B65"/>
    <w:rsid w:val="6B2CF8ED"/>
    <w:rsid w:val="6D95CECE"/>
    <w:rsid w:val="7C5B4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572351519c1e4795" /><Relationship Type="http://schemas.openxmlformats.org/officeDocument/2006/relationships/hyperlink" Target="http://www.neuroreg.se" TargetMode="External" Id="R580d0f58b7594462" /><Relationship Type="http://schemas.openxmlformats.org/officeDocument/2006/relationships/hyperlink" Target="http://www.lakemedelsverket.se" TargetMode="External" Id="R685840ce6e0a4dc1" /><Relationship Type="http://schemas.openxmlformats.org/officeDocument/2006/relationships/hyperlink" Target="http://www.socialstyrelsen.se/ovanligadiagnoser/narkolepsi" TargetMode="External" Id="Rce7789cc99034018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fe9212-9a37-4def-b098-d340a5059737}"/>
      </w:docPartPr>
      <w:docPartBody>
        <w:p w14:paraId="53DAC58B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Narkolepsi - Neurologimottagning barn</dc:title>
  <dc:subject/>
  <dc:creator>patrik.jens.johansson@vgregion.se</dc:creator>
  <keywords/>
  <lastModifiedBy>Ulrica Adgård</lastModifiedBy>
  <revision>5</revision>
  <lastPrinted>2016-03-31T10:56:00.0000000Z</lastPrinted>
  <dcterms:created xsi:type="dcterms:W3CDTF">2022-06-03T15:30:00.0000000Z</dcterms:created>
  <dcterms:modified xsi:type="dcterms:W3CDTF">2024-02-22T11:52:39.0000000Z</dcterms:modified>
</coreProperties>
</file>