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081F09" w14:textId="2157AAE7" w:rsidR="004D2D21" w:rsidRDefault="00D85AEF" w:rsidP="00D85AEF">
      <w:pPr>
        <w:pStyle w:val="Rubrik1"/>
        <w:ind w:left="0"/>
        <w:sectPr w:rsidR="004D2D21" w:rsidSect="004D2D2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r>
        <w:t>SCT – Virusspecifika T-celler</w:t>
      </w:r>
    </w:p>
    <w:bookmarkEnd w:id="0"/>
    <w:p w14:paraId="0FED322C" w14:textId="77777777" w:rsidR="00D426EB" w:rsidRPr="004D2D21" w:rsidRDefault="00D426EB" w:rsidP="00D426EB">
      <w:pPr>
        <w:pStyle w:val="Rubrik2"/>
        <w:ind w:left="0"/>
      </w:pPr>
      <w:r w:rsidRPr="004D2D21">
        <w:t>Revideringar i denna version</w:t>
      </w:r>
    </w:p>
    <w:p w14:paraId="19AA807A" w14:textId="77777777" w:rsidR="00D426EB" w:rsidRPr="009751E5" w:rsidRDefault="00D426EB" w:rsidP="00D426EB">
      <w:pPr>
        <w:spacing w:after="0" w:line="240" w:lineRule="auto"/>
        <w:ind w:left="0" w:right="0"/>
        <w:rPr>
          <w:rFonts w:ascii="Arial" w:hAnsi="Arial" w:cs="Arial"/>
          <w:color w:val="FF0000"/>
          <w:sz w:val="20"/>
          <w:szCs w:val="20"/>
        </w:rPr>
      </w:pPr>
      <w:r w:rsidRPr="2C01A00B">
        <w:rPr>
          <w:rFonts w:ascii="Arial" w:hAnsi="Arial" w:cs="Arial"/>
          <w:sz w:val="20"/>
          <w:szCs w:val="20"/>
        </w:rPr>
        <w:t xml:space="preserve">Ersätter version </w:t>
      </w:r>
      <w:r>
        <w:rPr>
          <w:rFonts w:ascii="Arial" w:hAnsi="Arial" w:cs="Arial"/>
          <w:sz w:val="20"/>
          <w:szCs w:val="20"/>
        </w:rPr>
        <w:t>4 från 2025-02-17</w:t>
      </w:r>
      <w:r w:rsidRPr="00433F9D">
        <w:rPr>
          <w:rFonts w:ascii="Arial" w:hAnsi="Arial" w:cs="Arial"/>
          <w:sz w:val="20"/>
          <w:szCs w:val="20"/>
        </w:rPr>
        <w:t>. Tillägg under ny rubrik – kontraindikation för infusion</w:t>
      </w:r>
      <w:r w:rsidRPr="00433F9D">
        <w:rPr>
          <w:rFonts w:ascii="Arial" w:hAnsi="Arial" w:cs="Arial"/>
          <w:sz w:val="20"/>
          <w:szCs w:val="20"/>
        </w:rPr>
        <w:t xml:space="preserve"> </w:t>
      </w:r>
      <w:r w:rsidRPr="00433F9D">
        <w:rPr>
          <w:rFonts w:ascii="Arial" w:hAnsi="Arial" w:cs="Arial"/>
          <w:sz w:val="20"/>
          <w:szCs w:val="20"/>
        </w:rPr>
        <w:t>gällande vilka patienter som inte ska ges virusspecifika T-celler. Förtydligande av immunitet hos donatorn. Tillägg av avsnitt om biverkningar. Tillägg om skriftligt samtycke inför behandling.</w:t>
      </w:r>
    </w:p>
    <w:p w14:paraId="3D0F8E87" w14:textId="77777777" w:rsidR="00D426EB" w:rsidRPr="004D2D21" w:rsidRDefault="00D426EB" w:rsidP="00D426EB">
      <w:pPr>
        <w:pStyle w:val="Rubrik2"/>
        <w:ind w:left="0"/>
      </w:pPr>
      <w:r w:rsidRPr="004D2D21">
        <w:t>Bakgrund/Syfte</w:t>
      </w:r>
    </w:p>
    <w:p w14:paraId="18DBB274" w14:textId="77777777" w:rsidR="00D426EB" w:rsidRPr="00F07A0E" w:rsidRDefault="00D426EB" w:rsidP="00D426EB">
      <w:pPr>
        <w:spacing w:line="240" w:lineRule="auto"/>
        <w:ind w:left="0" w:right="0"/>
        <w:jc w:val="both"/>
        <w:rPr>
          <w:rFonts w:ascii="Arial" w:hAnsi="Arial" w:cs="Arial"/>
          <w:sz w:val="20"/>
          <w:szCs w:val="20"/>
        </w:rPr>
      </w:pPr>
      <w:r w:rsidRPr="004D2D21">
        <w:rPr>
          <w:rFonts w:ascii="Arial" w:hAnsi="Arial" w:cs="Arial"/>
          <w:sz w:val="20"/>
          <w:szCs w:val="20"/>
        </w:rPr>
        <w:t>Målet med denna riktlinje är att ge information om behandling, utredning</w:t>
      </w:r>
      <w:r>
        <w:rPr>
          <w:rFonts w:ascii="Arial" w:hAnsi="Arial" w:cs="Arial"/>
          <w:sz w:val="20"/>
          <w:szCs w:val="20"/>
        </w:rPr>
        <w:t>, celltillförsel</w:t>
      </w:r>
      <w:r w:rsidRPr="004D2D21">
        <w:rPr>
          <w:rFonts w:ascii="Arial" w:hAnsi="Arial" w:cs="Arial"/>
          <w:sz w:val="20"/>
          <w:szCs w:val="20"/>
        </w:rPr>
        <w:t xml:space="preserve"> samt uppföljning i samband med </w:t>
      </w:r>
      <w:r>
        <w:rPr>
          <w:rFonts w:ascii="Arial" w:hAnsi="Arial" w:cs="Arial"/>
          <w:sz w:val="20"/>
          <w:szCs w:val="20"/>
        </w:rPr>
        <w:t xml:space="preserve">behandling med </w:t>
      </w:r>
      <w:r w:rsidRPr="004D2D21">
        <w:rPr>
          <w:rFonts w:ascii="Arial" w:hAnsi="Arial" w:cs="Arial"/>
          <w:sz w:val="20"/>
          <w:szCs w:val="20"/>
        </w:rPr>
        <w:t>virusspecifika T-celler.</w:t>
      </w:r>
      <w:r>
        <w:rPr>
          <w:rFonts w:ascii="Arial" w:hAnsi="Arial" w:cs="Arial"/>
          <w:sz w:val="20"/>
          <w:szCs w:val="20"/>
        </w:rPr>
        <w:t xml:space="preserve"> Virusspecifika T-celler räknas som ett s.k. avancerat </w:t>
      </w:r>
      <w:proofErr w:type="gramStart"/>
      <w:r>
        <w:rPr>
          <w:rFonts w:ascii="Arial" w:hAnsi="Arial" w:cs="Arial"/>
          <w:sz w:val="20"/>
          <w:szCs w:val="20"/>
        </w:rPr>
        <w:t>terapi läkemedel</w:t>
      </w:r>
      <w:proofErr w:type="gramEnd"/>
      <w:r>
        <w:rPr>
          <w:rFonts w:ascii="Arial" w:hAnsi="Arial" w:cs="Arial"/>
          <w:sz w:val="20"/>
          <w:szCs w:val="20"/>
        </w:rPr>
        <w:t xml:space="preserve"> (ATMP) och tillverkning sker enligt det s.k. sjukhusundantaget (LVFS 2011:3) där framställning och behandling sker på Sahlgrenska Universitetssjukhuset under behandlande läkares ansvar. Insamling av celler för tillverkningen regleras enligt läkemedelsverkets föreskrifter om hantering av celler avsedda för läkemedelstillverkning (LVFS 2008:12)</w:t>
      </w:r>
    </w:p>
    <w:p w14:paraId="3F59C4B6" w14:textId="77777777" w:rsidR="00D426EB" w:rsidRPr="004D2D21" w:rsidRDefault="00D426EB" w:rsidP="00D426EB">
      <w:pPr>
        <w:pStyle w:val="Rubrik2"/>
        <w:ind w:left="0"/>
      </w:pPr>
      <w:r w:rsidRPr="004D2D21">
        <w:t>Arbetsbeskrivning</w:t>
      </w:r>
    </w:p>
    <w:p w14:paraId="71DC5946" w14:textId="77777777" w:rsidR="00D426EB" w:rsidRDefault="00D426EB" w:rsidP="00D426EB">
      <w:pPr>
        <w:spacing w:before="120" w:after="0" w:line="240" w:lineRule="auto"/>
        <w:ind w:left="0" w:right="0"/>
        <w:jc w:val="both"/>
        <w:rPr>
          <w:rFonts w:ascii="Arial" w:hAnsi="Arial" w:cs="Arial"/>
          <w:sz w:val="20"/>
          <w:szCs w:val="20"/>
        </w:rPr>
      </w:pPr>
      <w:r w:rsidRPr="004D2D21">
        <w:rPr>
          <w:rFonts w:ascii="Arial" w:hAnsi="Arial" w:cs="Arial"/>
          <w:sz w:val="20"/>
          <w:szCs w:val="20"/>
        </w:rPr>
        <w:t xml:space="preserve">Patienter </w:t>
      </w:r>
      <w:r>
        <w:rPr>
          <w:rFonts w:ascii="Arial" w:hAnsi="Arial" w:cs="Arial"/>
          <w:sz w:val="20"/>
          <w:szCs w:val="20"/>
        </w:rPr>
        <w:t>med</w:t>
      </w:r>
      <w:r w:rsidRPr="004D2D21">
        <w:rPr>
          <w:rFonts w:ascii="Arial" w:hAnsi="Arial" w:cs="Arial"/>
          <w:sz w:val="20"/>
          <w:szCs w:val="20"/>
        </w:rPr>
        <w:t xml:space="preserve"> försvagat immun</w:t>
      </w:r>
      <w:r>
        <w:rPr>
          <w:rFonts w:ascii="Arial" w:hAnsi="Arial" w:cs="Arial"/>
          <w:sz w:val="20"/>
          <w:szCs w:val="20"/>
        </w:rPr>
        <w:t>försvar</w:t>
      </w:r>
      <w:r w:rsidRPr="004D2D21">
        <w:rPr>
          <w:rFonts w:ascii="Arial" w:hAnsi="Arial" w:cs="Arial"/>
          <w:sz w:val="20"/>
          <w:szCs w:val="20"/>
        </w:rPr>
        <w:t xml:space="preserve"> efter allogen </w:t>
      </w:r>
      <w:proofErr w:type="spellStart"/>
      <w:r w:rsidRPr="004D2D21">
        <w:rPr>
          <w:rFonts w:ascii="Arial" w:hAnsi="Arial" w:cs="Arial"/>
          <w:sz w:val="20"/>
          <w:szCs w:val="20"/>
        </w:rPr>
        <w:t>hematopoetisk</w:t>
      </w:r>
      <w:proofErr w:type="spellEnd"/>
      <w:r w:rsidRPr="004D2D21">
        <w:rPr>
          <w:rFonts w:ascii="Arial" w:hAnsi="Arial" w:cs="Arial"/>
          <w:sz w:val="20"/>
          <w:szCs w:val="20"/>
        </w:rPr>
        <w:t xml:space="preserve"> stamcellstransplantation (HSCT) drabbas ibland av svåra </w:t>
      </w:r>
      <w:r>
        <w:rPr>
          <w:rFonts w:ascii="Arial" w:hAnsi="Arial" w:cs="Arial"/>
          <w:sz w:val="20"/>
          <w:szCs w:val="20"/>
        </w:rPr>
        <w:t>virus</w:t>
      </w:r>
      <w:r w:rsidRPr="004D2D21">
        <w:rPr>
          <w:rFonts w:ascii="Arial" w:hAnsi="Arial" w:cs="Arial"/>
          <w:sz w:val="20"/>
          <w:szCs w:val="20"/>
        </w:rPr>
        <w:t>infektioner som hos friska personer</w:t>
      </w:r>
      <w:r>
        <w:rPr>
          <w:rFonts w:ascii="Arial" w:hAnsi="Arial" w:cs="Arial"/>
          <w:sz w:val="20"/>
          <w:szCs w:val="20"/>
        </w:rPr>
        <w:t xml:space="preserve"> vanligtvis läker ut utan behandling.</w:t>
      </w:r>
      <w:r w:rsidRPr="004D2D21">
        <w:rPr>
          <w:rFonts w:ascii="Arial" w:hAnsi="Arial" w:cs="Arial"/>
          <w:sz w:val="20"/>
          <w:szCs w:val="20"/>
        </w:rPr>
        <w:t xml:space="preserve"> </w:t>
      </w:r>
      <w:r>
        <w:rPr>
          <w:rFonts w:ascii="Arial" w:hAnsi="Arial" w:cs="Arial"/>
          <w:sz w:val="20"/>
          <w:szCs w:val="20"/>
        </w:rPr>
        <w:t xml:space="preserve">De allvarligaste infektionerna </w:t>
      </w:r>
      <w:r w:rsidRPr="004D2D21">
        <w:rPr>
          <w:rFonts w:ascii="Arial" w:hAnsi="Arial" w:cs="Arial"/>
          <w:sz w:val="20"/>
          <w:szCs w:val="20"/>
        </w:rPr>
        <w:t>orsakas av CMV, EBV eller adenovirus</w:t>
      </w:r>
      <w:r>
        <w:rPr>
          <w:rFonts w:ascii="Arial" w:hAnsi="Arial" w:cs="Arial"/>
          <w:sz w:val="20"/>
          <w:szCs w:val="20"/>
        </w:rPr>
        <w:t xml:space="preserve"> och de kan utvecklas till livshotande tillstånd trots behandling med antivirala läkemedel. I dessa fall har behandling med framrenade minnes T-celler från en donator som är immun mot dessa virus visat lovande resultat. </w:t>
      </w:r>
      <w:r w:rsidRPr="004D2D21">
        <w:rPr>
          <w:rFonts w:ascii="Arial" w:hAnsi="Arial" w:cs="Arial"/>
          <w:sz w:val="20"/>
          <w:szCs w:val="20"/>
        </w:rPr>
        <w:t xml:space="preserve"> </w:t>
      </w:r>
      <w:r>
        <w:rPr>
          <w:rFonts w:ascii="Arial" w:hAnsi="Arial" w:cs="Arial"/>
          <w:sz w:val="20"/>
          <w:szCs w:val="20"/>
        </w:rPr>
        <w:t>Då behandlingen ges i efter</w:t>
      </w:r>
      <w:r w:rsidRPr="004D2D21">
        <w:rPr>
          <w:rFonts w:ascii="Arial" w:hAnsi="Arial" w:cs="Arial"/>
          <w:sz w:val="20"/>
          <w:szCs w:val="20"/>
        </w:rPr>
        <w:t xml:space="preserve"> HSCT används oftast samma donator som donerat de </w:t>
      </w:r>
      <w:proofErr w:type="spellStart"/>
      <w:r w:rsidRPr="004D2D21">
        <w:rPr>
          <w:rFonts w:ascii="Arial" w:hAnsi="Arial" w:cs="Arial"/>
          <w:sz w:val="20"/>
          <w:szCs w:val="20"/>
        </w:rPr>
        <w:t>hematopoetiska</w:t>
      </w:r>
      <w:proofErr w:type="spellEnd"/>
      <w:r w:rsidRPr="004D2D21">
        <w:rPr>
          <w:rFonts w:ascii="Arial" w:hAnsi="Arial" w:cs="Arial"/>
          <w:sz w:val="20"/>
          <w:szCs w:val="20"/>
        </w:rPr>
        <w:t xml:space="preserve"> stamcellerna, men man kan även använda sig av familjemedlem som är haploidentisk med patienten. </w:t>
      </w:r>
    </w:p>
    <w:p w14:paraId="2D59C67F" w14:textId="77777777" w:rsidR="00D426EB" w:rsidRPr="004D2D21" w:rsidRDefault="00D426EB" w:rsidP="00D426EB">
      <w:pPr>
        <w:pStyle w:val="MellanrubrikVGR"/>
        <w:ind w:left="0"/>
      </w:pPr>
      <w:r w:rsidRPr="004D2D21">
        <w:t>Indikationer för infusion av virusspecifika T-celler</w:t>
      </w:r>
    </w:p>
    <w:p w14:paraId="6820B78C" w14:textId="77777777" w:rsidR="00D426EB" w:rsidRDefault="00D426EB" w:rsidP="00D426EB">
      <w:pPr>
        <w:spacing w:after="0" w:line="240" w:lineRule="auto"/>
        <w:ind w:left="0" w:right="0"/>
        <w:jc w:val="both"/>
        <w:rPr>
          <w:rFonts w:ascii="Arial" w:hAnsi="Arial" w:cs="Arial"/>
          <w:sz w:val="20"/>
          <w:szCs w:val="20"/>
        </w:rPr>
      </w:pPr>
      <w:r w:rsidRPr="004D2D21">
        <w:rPr>
          <w:rFonts w:ascii="Arial" w:hAnsi="Arial" w:cs="Arial"/>
          <w:sz w:val="20"/>
          <w:szCs w:val="20"/>
        </w:rPr>
        <w:t>Indikation för behandlingen är reaktivering av EBV, CMV eller adenovirus efter en allogen stamcellstransplantation som inte svarar på standardbehandling</w:t>
      </w:r>
      <w:r>
        <w:rPr>
          <w:rFonts w:ascii="Arial" w:hAnsi="Arial" w:cs="Arial"/>
          <w:sz w:val="20"/>
          <w:szCs w:val="20"/>
        </w:rPr>
        <w:t xml:space="preserve"> med antivirala läkemedel</w:t>
      </w:r>
      <w:r w:rsidRPr="004D2D21">
        <w:rPr>
          <w:rFonts w:ascii="Arial" w:hAnsi="Arial" w:cs="Arial"/>
          <w:sz w:val="20"/>
          <w:szCs w:val="20"/>
        </w:rPr>
        <w:t>.</w:t>
      </w:r>
      <w:r>
        <w:rPr>
          <w:rFonts w:ascii="Arial" w:hAnsi="Arial" w:cs="Arial"/>
          <w:sz w:val="20"/>
          <w:szCs w:val="20"/>
        </w:rPr>
        <w:t xml:space="preserve"> </w:t>
      </w:r>
    </w:p>
    <w:p w14:paraId="4A2E65A7" w14:textId="77777777" w:rsidR="00D426EB" w:rsidRPr="004D2D21" w:rsidRDefault="00D426EB" w:rsidP="00D426EB">
      <w:pPr>
        <w:pStyle w:val="MellanrubrikVGR"/>
        <w:ind w:left="0"/>
      </w:pPr>
      <w:r>
        <w:t>Kontra</w:t>
      </w:r>
      <w:r w:rsidRPr="004D2D21">
        <w:t>indikationer för infusion av virusspecifika T-celler</w:t>
      </w:r>
    </w:p>
    <w:p w14:paraId="70FE91CE" w14:textId="77777777" w:rsidR="00D426EB" w:rsidRPr="00433F9D" w:rsidRDefault="00D426EB" w:rsidP="00D426EB">
      <w:pPr>
        <w:pStyle w:val="Liststycke"/>
        <w:numPr>
          <w:ilvl w:val="0"/>
          <w:numId w:val="24"/>
        </w:numPr>
        <w:spacing w:after="0" w:line="240" w:lineRule="auto"/>
        <w:ind w:right="0"/>
        <w:jc w:val="both"/>
        <w:rPr>
          <w:rFonts w:ascii="Arial" w:hAnsi="Arial" w:cs="Arial"/>
          <w:sz w:val="20"/>
          <w:szCs w:val="20"/>
        </w:rPr>
      </w:pPr>
      <w:r w:rsidRPr="00433F9D">
        <w:rPr>
          <w:rFonts w:ascii="Arial" w:hAnsi="Arial" w:cs="Arial"/>
          <w:sz w:val="20"/>
          <w:szCs w:val="20"/>
        </w:rPr>
        <w:t xml:space="preserve">Virusspecifika T-celler skall normalt inte ges till patienter som har pågående akut eller kronisk </w:t>
      </w:r>
      <w:proofErr w:type="spellStart"/>
      <w:r w:rsidRPr="00433F9D">
        <w:rPr>
          <w:rFonts w:ascii="Arial" w:hAnsi="Arial" w:cs="Arial"/>
          <w:sz w:val="20"/>
          <w:szCs w:val="20"/>
        </w:rPr>
        <w:t>graft</w:t>
      </w:r>
      <w:proofErr w:type="spellEnd"/>
      <w:r w:rsidRPr="00433F9D">
        <w:rPr>
          <w:rFonts w:ascii="Arial" w:hAnsi="Arial" w:cs="Arial"/>
          <w:sz w:val="20"/>
          <w:szCs w:val="20"/>
        </w:rPr>
        <w:t>-</w:t>
      </w:r>
      <w:proofErr w:type="spellStart"/>
      <w:r w:rsidRPr="00433F9D">
        <w:rPr>
          <w:rFonts w:ascii="Arial" w:hAnsi="Arial" w:cs="Arial"/>
          <w:sz w:val="20"/>
          <w:szCs w:val="20"/>
        </w:rPr>
        <w:t>versus</w:t>
      </w:r>
      <w:proofErr w:type="spellEnd"/>
      <w:r w:rsidRPr="00433F9D">
        <w:rPr>
          <w:rFonts w:ascii="Arial" w:hAnsi="Arial" w:cs="Arial"/>
          <w:sz w:val="20"/>
          <w:szCs w:val="20"/>
        </w:rPr>
        <w:t xml:space="preserve">-hostreaktion av grad III eller IV. </w:t>
      </w:r>
    </w:p>
    <w:p w14:paraId="712C7961" w14:textId="77777777" w:rsidR="00D426EB" w:rsidRPr="00433F9D" w:rsidRDefault="00D426EB" w:rsidP="00D426EB">
      <w:pPr>
        <w:pStyle w:val="Liststycke"/>
        <w:numPr>
          <w:ilvl w:val="0"/>
          <w:numId w:val="24"/>
        </w:numPr>
        <w:spacing w:after="0" w:line="240" w:lineRule="auto"/>
        <w:ind w:right="0"/>
        <w:jc w:val="both"/>
        <w:rPr>
          <w:rFonts w:ascii="Arial" w:hAnsi="Arial" w:cs="Arial"/>
          <w:sz w:val="20"/>
          <w:szCs w:val="20"/>
        </w:rPr>
      </w:pPr>
      <w:r w:rsidRPr="00433F9D">
        <w:rPr>
          <w:rFonts w:ascii="Arial" w:hAnsi="Arial" w:cs="Arial"/>
          <w:sz w:val="20"/>
          <w:szCs w:val="20"/>
        </w:rPr>
        <w:t xml:space="preserve">Virusspecifika T celler skall inte ges till patienter som har tumörsjukdom eller misstänks ha recidiv orsakade av tidigare tumörsjukdom. </w:t>
      </w:r>
    </w:p>
    <w:p w14:paraId="52396DA8" w14:textId="77777777" w:rsidR="00D426EB" w:rsidRPr="00433F9D" w:rsidRDefault="00D426EB" w:rsidP="00D426EB">
      <w:pPr>
        <w:pStyle w:val="Liststycke"/>
        <w:numPr>
          <w:ilvl w:val="0"/>
          <w:numId w:val="24"/>
        </w:numPr>
        <w:spacing w:after="0" w:line="240" w:lineRule="auto"/>
        <w:ind w:right="0"/>
        <w:jc w:val="both"/>
        <w:rPr>
          <w:rFonts w:ascii="Arial" w:hAnsi="Arial" w:cs="Arial"/>
          <w:sz w:val="20"/>
          <w:szCs w:val="20"/>
        </w:rPr>
      </w:pPr>
      <w:r w:rsidRPr="00433F9D">
        <w:rPr>
          <w:rFonts w:ascii="Arial" w:hAnsi="Arial" w:cs="Arial"/>
          <w:sz w:val="20"/>
          <w:szCs w:val="20"/>
        </w:rPr>
        <w:t xml:space="preserve">Behandling med ATG eller </w:t>
      </w:r>
      <w:proofErr w:type="spellStart"/>
      <w:r w:rsidRPr="00433F9D">
        <w:rPr>
          <w:rFonts w:ascii="Arial" w:hAnsi="Arial" w:cs="Arial"/>
          <w:sz w:val="20"/>
          <w:szCs w:val="20"/>
        </w:rPr>
        <w:t>Alemtuzumab</w:t>
      </w:r>
      <w:proofErr w:type="spellEnd"/>
      <w:r w:rsidRPr="00433F9D">
        <w:rPr>
          <w:rFonts w:ascii="Arial" w:hAnsi="Arial" w:cs="Arial"/>
          <w:sz w:val="20"/>
          <w:szCs w:val="20"/>
        </w:rPr>
        <w:t xml:space="preserve"> i samband med </w:t>
      </w:r>
      <w:proofErr w:type="spellStart"/>
      <w:r w:rsidRPr="00433F9D">
        <w:rPr>
          <w:rFonts w:ascii="Arial" w:hAnsi="Arial" w:cs="Arial"/>
          <w:sz w:val="20"/>
          <w:szCs w:val="20"/>
        </w:rPr>
        <w:t>hematopoietisk</w:t>
      </w:r>
      <w:proofErr w:type="spellEnd"/>
      <w:r w:rsidRPr="00433F9D">
        <w:rPr>
          <w:rFonts w:ascii="Arial" w:hAnsi="Arial" w:cs="Arial"/>
          <w:sz w:val="20"/>
          <w:szCs w:val="20"/>
        </w:rPr>
        <w:t xml:space="preserve"> stamcellstransplantation kan påverka effekten av behandling med Virusspecifika T-celler om injektionen av T-celler sker mindre än 50 dagar efter stamcellstransplantationen. </w:t>
      </w:r>
    </w:p>
    <w:p w14:paraId="0030A3C5" w14:textId="77777777" w:rsidR="00D426EB" w:rsidRPr="004D2D21" w:rsidRDefault="00D426EB" w:rsidP="00D426EB">
      <w:pPr>
        <w:pStyle w:val="MellanrubrikVGR"/>
        <w:ind w:left="0"/>
      </w:pPr>
      <w:r w:rsidRPr="004D2D21">
        <w:t>Intervention</w:t>
      </w:r>
    </w:p>
    <w:p w14:paraId="650778F5" w14:textId="77777777" w:rsidR="00D426EB" w:rsidRDefault="00D426EB" w:rsidP="00D426EB">
      <w:pPr>
        <w:spacing w:after="0" w:line="240" w:lineRule="auto"/>
        <w:ind w:left="0" w:right="0"/>
        <w:jc w:val="both"/>
        <w:rPr>
          <w:rFonts w:ascii="Arial" w:hAnsi="Arial" w:cs="Arial"/>
          <w:sz w:val="20"/>
          <w:szCs w:val="20"/>
        </w:rPr>
      </w:pPr>
      <w:r w:rsidRPr="004D2D21">
        <w:rPr>
          <w:rFonts w:ascii="Arial" w:hAnsi="Arial" w:cs="Arial"/>
          <w:sz w:val="20"/>
          <w:szCs w:val="20"/>
        </w:rPr>
        <w:t>Vid beslut om behandling med virusspecifika T-celler behöver stamcellsdonatorn eller alternativ haploidentisk donator kontaktas och en tid för aferes ordnas. Vid aferes samlas minst 1 x 10^9 leukocyter in</w:t>
      </w:r>
      <w:r>
        <w:rPr>
          <w:rFonts w:ascii="Arial" w:hAnsi="Arial" w:cs="Arial"/>
          <w:sz w:val="20"/>
          <w:szCs w:val="20"/>
        </w:rPr>
        <w:t>. Vid aferes räcker det med att processa en blodvolym för att få tillräckligt med celler</w:t>
      </w:r>
      <w:r w:rsidRPr="004D2D21">
        <w:rPr>
          <w:rFonts w:ascii="Arial" w:hAnsi="Arial" w:cs="Arial"/>
          <w:sz w:val="20"/>
          <w:szCs w:val="20"/>
        </w:rPr>
        <w:t xml:space="preserve">. Dessa celler </w:t>
      </w:r>
      <w:proofErr w:type="spellStart"/>
      <w:r w:rsidRPr="004D2D21">
        <w:rPr>
          <w:rFonts w:ascii="Arial" w:hAnsi="Arial" w:cs="Arial"/>
          <w:sz w:val="20"/>
          <w:szCs w:val="20"/>
        </w:rPr>
        <w:t>inkuberas</w:t>
      </w:r>
      <w:proofErr w:type="spellEnd"/>
      <w:r w:rsidRPr="004D2D21">
        <w:rPr>
          <w:rFonts w:ascii="Arial" w:hAnsi="Arial" w:cs="Arial"/>
          <w:sz w:val="20"/>
          <w:szCs w:val="20"/>
        </w:rPr>
        <w:t xml:space="preserve"> sedan i ett slutet system över natten med reagenser som aktiverar och </w:t>
      </w:r>
      <w:r>
        <w:rPr>
          <w:rFonts w:ascii="Arial" w:hAnsi="Arial" w:cs="Arial"/>
          <w:sz w:val="20"/>
          <w:szCs w:val="20"/>
        </w:rPr>
        <w:t xml:space="preserve">slutligen </w:t>
      </w:r>
      <w:r w:rsidRPr="004D2D21">
        <w:rPr>
          <w:rFonts w:ascii="Arial" w:hAnsi="Arial" w:cs="Arial"/>
          <w:sz w:val="20"/>
          <w:szCs w:val="20"/>
        </w:rPr>
        <w:lastRenderedPageBreak/>
        <w:t>renar</w:t>
      </w:r>
      <w:r>
        <w:rPr>
          <w:rFonts w:ascii="Arial" w:hAnsi="Arial" w:cs="Arial"/>
          <w:sz w:val="20"/>
          <w:szCs w:val="20"/>
        </w:rPr>
        <w:t xml:space="preserve"> fram</w:t>
      </w:r>
      <w:r w:rsidRPr="004D2D21">
        <w:rPr>
          <w:rFonts w:ascii="Arial" w:hAnsi="Arial" w:cs="Arial"/>
          <w:sz w:val="20"/>
          <w:szCs w:val="20"/>
        </w:rPr>
        <w:t xml:space="preserve"> virusspecifika </w:t>
      </w:r>
      <w:r>
        <w:rPr>
          <w:rFonts w:ascii="Arial" w:hAnsi="Arial" w:cs="Arial"/>
          <w:sz w:val="20"/>
          <w:szCs w:val="20"/>
        </w:rPr>
        <w:t>T-</w:t>
      </w:r>
      <w:r w:rsidRPr="004D2D21">
        <w:rPr>
          <w:rFonts w:ascii="Arial" w:hAnsi="Arial" w:cs="Arial"/>
          <w:sz w:val="20"/>
          <w:szCs w:val="20"/>
        </w:rPr>
        <w:t xml:space="preserve">celler. </w:t>
      </w:r>
      <w:r>
        <w:rPr>
          <w:rFonts w:ascii="Arial" w:hAnsi="Arial" w:cs="Arial"/>
          <w:sz w:val="20"/>
          <w:szCs w:val="20"/>
        </w:rPr>
        <w:t>Tillverkningen</w:t>
      </w:r>
      <w:r w:rsidRPr="004D2D21">
        <w:rPr>
          <w:rFonts w:ascii="Arial" w:hAnsi="Arial" w:cs="Arial"/>
          <w:sz w:val="20"/>
          <w:szCs w:val="20"/>
        </w:rPr>
        <w:t xml:space="preserve"> sker på stamcellslaboratoriet, Sahlgrenska Universitetssjukhuset. Efter en kvalitetskontroll ges cellerna nästkommande dag till patienten</w:t>
      </w:r>
      <w:r>
        <w:rPr>
          <w:rFonts w:ascii="Arial" w:hAnsi="Arial" w:cs="Arial"/>
          <w:sz w:val="20"/>
          <w:szCs w:val="20"/>
        </w:rPr>
        <w:t>.</w:t>
      </w:r>
    </w:p>
    <w:p w14:paraId="6AB83847" w14:textId="77777777" w:rsidR="00D426EB" w:rsidRPr="00433F9D" w:rsidRDefault="00D426EB" w:rsidP="00D426EB">
      <w:pPr>
        <w:spacing w:after="0" w:line="240" w:lineRule="auto"/>
        <w:ind w:left="0" w:right="0"/>
        <w:jc w:val="both"/>
        <w:rPr>
          <w:rFonts w:ascii="Arial" w:hAnsi="Arial" w:cs="Arial"/>
          <w:sz w:val="20"/>
          <w:szCs w:val="20"/>
        </w:rPr>
      </w:pPr>
    </w:p>
    <w:p w14:paraId="3853EBE3"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Patient/vårdnadshavare ska ha lämnat skriftligt samtycke till behandlingen med virusspecifika T-celler.</w:t>
      </w:r>
    </w:p>
    <w:p w14:paraId="068D331E" w14:textId="77777777" w:rsidR="00D426EB" w:rsidRPr="00433F9D" w:rsidRDefault="00D426EB" w:rsidP="00D426EB">
      <w:pPr>
        <w:pStyle w:val="MellanrubrikVGR"/>
        <w:ind w:left="0"/>
        <w:rPr>
          <w:color w:val="auto"/>
        </w:rPr>
      </w:pPr>
      <w:r w:rsidRPr="00433F9D">
        <w:rPr>
          <w:color w:val="auto"/>
        </w:rPr>
        <w:t>Doser</w:t>
      </w:r>
    </w:p>
    <w:p w14:paraId="71EEBC98" w14:textId="77777777" w:rsidR="00D426EB" w:rsidRPr="00433F9D" w:rsidRDefault="00D426EB" w:rsidP="00D426EB">
      <w:pPr>
        <w:spacing w:after="0" w:line="240" w:lineRule="auto"/>
        <w:ind w:left="0" w:right="0"/>
        <w:jc w:val="both"/>
        <w:rPr>
          <w:rFonts w:ascii="Arial" w:hAnsi="Arial" w:cs="Arial"/>
          <w:b/>
          <w:sz w:val="20"/>
          <w:szCs w:val="20"/>
        </w:rPr>
      </w:pPr>
      <w:r w:rsidRPr="00433F9D">
        <w:rPr>
          <w:rFonts w:ascii="Arial" w:hAnsi="Arial" w:cs="Arial"/>
          <w:sz w:val="20"/>
          <w:szCs w:val="20"/>
        </w:rPr>
        <w:t xml:space="preserve">Dosen ordineras i antal CD3+ celler/kg </w:t>
      </w:r>
      <w:proofErr w:type="gramStart"/>
      <w:r w:rsidRPr="00433F9D">
        <w:rPr>
          <w:rFonts w:ascii="Arial" w:hAnsi="Arial" w:cs="Arial"/>
          <w:sz w:val="20"/>
          <w:szCs w:val="20"/>
        </w:rPr>
        <w:t>kroppsvikt patient</w:t>
      </w:r>
      <w:proofErr w:type="gramEnd"/>
      <w:r w:rsidRPr="00433F9D">
        <w:rPr>
          <w:rFonts w:ascii="Arial" w:hAnsi="Arial" w:cs="Arial"/>
          <w:sz w:val="20"/>
          <w:szCs w:val="20"/>
        </w:rPr>
        <w:t>. Dosering diskuteras med ansvarig läkare stamcellslaboratoriet efter analys av cellinnehåll i produkten. Enligt produktresumé för virusspecifika T-celler bör det totala antalet T celler, vilket markeras på produkten som ges till patient, hållas under 50 000 celler/kg kroppsvikt. För redovisning av givna celldoser vid internationella studier se referens (1).</w:t>
      </w:r>
    </w:p>
    <w:p w14:paraId="6EC603FC" w14:textId="77777777" w:rsidR="00D426EB" w:rsidRPr="00433F9D" w:rsidRDefault="00D426EB" w:rsidP="00D426EB">
      <w:pPr>
        <w:pStyle w:val="MellanrubrikVGR"/>
        <w:ind w:left="0"/>
        <w:rPr>
          <w:color w:val="auto"/>
        </w:rPr>
      </w:pPr>
      <w:r w:rsidRPr="00433F9D">
        <w:rPr>
          <w:color w:val="auto"/>
        </w:rPr>
        <w:t>Utredning av donatorn</w:t>
      </w:r>
    </w:p>
    <w:p w14:paraId="3D93C29F"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 xml:space="preserve">Inför insamling av celler för virusspecifika T-celler behöver donatorn utredas, informeras och lämna särskilt samtycke för läkemedelsframställning. Om den tilltänkta donatorn ska skördas på Sahlgrenska Universitetssjukhuset skickas remiss för donatorutredning till hematologen på Sahlgrenska. Hematologen har egna donatorsamtycken. Om donatorn skall skördas på </w:t>
      </w:r>
      <w:proofErr w:type="gramStart"/>
      <w:r w:rsidRPr="00433F9D">
        <w:rPr>
          <w:rFonts w:ascii="Arial" w:hAnsi="Arial" w:cs="Arial"/>
          <w:sz w:val="20"/>
          <w:szCs w:val="20"/>
        </w:rPr>
        <w:t>annat centra</w:t>
      </w:r>
      <w:proofErr w:type="gramEnd"/>
      <w:r w:rsidRPr="00433F9D">
        <w:rPr>
          <w:rFonts w:ascii="Arial" w:hAnsi="Arial" w:cs="Arial"/>
          <w:sz w:val="20"/>
          <w:szCs w:val="20"/>
        </w:rPr>
        <w:t xml:space="preserve"> i Sverige eller utomlands har stamcellslaboratoriet samtycken som skickas med till donatorcentrat. </w:t>
      </w:r>
      <w:r w:rsidRPr="00433F9D">
        <w:rPr>
          <w:rFonts w:ascii="Arial" w:hAnsi="Arial" w:cs="Arial"/>
          <w:sz w:val="20"/>
          <w:szCs w:val="20"/>
        </w:rPr>
        <w:t>Samtycket finns på både engelska och svenska.</w:t>
      </w:r>
    </w:p>
    <w:p w14:paraId="689E3323" w14:textId="77777777" w:rsidR="00D426EB" w:rsidRPr="00433F9D" w:rsidRDefault="00D426EB" w:rsidP="00D426EB">
      <w:pPr>
        <w:spacing w:after="0" w:line="240" w:lineRule="auto"/>
        <w:ind w:left="0" w:right="0"/>
        <w:jc w:val="both"/>
        <w:rPr>
          <w:rFonts w:ascii="Arial" w:hAnsi="Arial" w:cs="Arial"/>
          <w:sz w:val="20"/>
          <w:szCs w:val="20"/>
        </w:rPr>
      </w:pPr>
    </w:p>
    <w:p w14:paraId="181CBCB4"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 xml:space="preserve">Personer som utreds för att fungera som donatorer till EBV- eller CMV-infekterade patienter ska som regel uppvisa förekomst av </w:t>
      </w:r>
      <w:proofErr w:type="spellStart"/>
      <w:r w:rsidRPr="00433F9D">
        <w:rPr>
          <w:rFonts w:ascii="Arial" w:hAnsi="Arial" w:cs="Arial"/>
          <w:sz w:val="20"/>
          <w:szCs w:val="20"/>
        </w:rPr>
        <w:t>IgG</w:t>
      </w:r>
      <w:proofErr w:type="spellEnd"/>
      <w:r w:rsidRPr="00433F9D">
        <w:rPr>
          <w:rFonts w:ascii="Arial" w:hAnsi="Arial" w:cs="Arial"/>
          <w:sz w:val="20"/>
          <w:szCs w:val="20"/>
        </w:rPr>
        <w:t xml:space="preserve"> antikroppar mot det virus som är indikation för behandlingen (</w:t>
      </w:r>
      <w:proofErr w:type="spellStart"/>
      <w:r w:rsidRPr="00433F9D">
        <w:rPr>
          <w:rFonts w:ascii="Arial" w:hAnsi="Arial" w:cs="Arial"/>
          <w:sz w:val="20"/>
          <w:szCs w:val="20"/>
        </w:rPr>
        <w:t>seropositivitet</w:t>
      </w:r>
      <w:proofErr w:type="spellEnd"/>
      <w:r w:rsidRPr="00433F9D">
        <w:rPr>
          <w:rFonts w:ascii="Arial" w:hAnsi="Arial" w:cs="Arial"/>
          <w:sz w:val="20"/>
          <w:szCs w:val="20"/>
        </w:rPr>
        <w:t xml:space="preserve">). Därefter bestäms donatorns cellulära immunitet (förekomst av virusspecifika T-celler) mot CMV, EBV och adenovirus. För adenovirus kan det vara av värde att undersöka cellulär immunitet även om serologin är negativ.  Utvärdering av cellulär immunitet sker med samma viruspeptidrepertoar som används för cellstimulering vid tillverkning. </w:t>
      </w:r>
    </w:p>
    <w:p w14:paraId="218009F4" w14:textId="77777777" w:rsidR="00D426EB" w:rsidRPr="00433F9D" w:rsidRDefault="00D426EB" w:rsidP="00D426EB">
      <w:pPr>
        <w:spacing w:after="0" w:line="240" w:lineRule="auto"/>
        <w:ind w:left="0" w:right="0"/>
        <w:jc w:val="both"/>
        <w:rPr>
          <w:rFonts w:ascii="Arial" w:hAnsi="Arial" w:cs="Arial"/>
          <w:sz w:val="20"/>
          <w:szCs w:val="20"/>
        </w:rPr>
      </w:pPr>
    </w:p>
    <w:p w14:paraId="480A90D5"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 xml:space="preserve">För att en donator skall anses bära på T-celler som är specifika mot CMV, EBV eller adenovirus krävs att mer än 0.01% av antigen-specifika CD4- eller CD8 positiva celler uttrycker IFN-g efter stimulering med respektive peptidblandning, samt att frekvensen är mer än dubbelt så hög efter stimulering jämfört med prover som </w:t>
      </w:r>
      <w:proofErr w:type="spellStart"/>
      <w:r w:rsidRPr="00433F9D">
        <w:rPr>
          <w:rFonts w:ascii="Arial" w:hAnsi="Arial" w:cs="Arial"/>
          <w:sz w:val="20"/>
          <w:szCs w:val="20"/>
        </w:rPr>
        <w:t>inkuberats</w:t>
      </w:r>
      <w:proofErr w:type="spellEnd"/>
      <w:r w:rsidRPr="00433F9D">
        <w:rPr>
          <w:rFonts w:ascii="Arial" w:hAnsi="Arial" w:cs="Arial"/>
          <w:sz w:val="20"/>
          <w:szCs w:val="20"/>
        </w:rPr>
        <w:t xml:space="preserve"> utan viruspeptider. </w:t>
      </w:r>
    </w:p>
    <w:p w14:paraId="58632840" w14:textId="77777777" w:rsidR="00D426EB" w:rsidRPr="00433F9D" w:rsidRDefault="00D426EB" w:rsidP="00D426EB">
      <w:pPr>
        <w:spacing w:after="0" w:line="240" w:lineRule="auto"/>
        <w:ind w:left="0" w:right="0"/>
        <w:jc w:val="both"/>
        <w:rPr>
          <w:rFonts w:ascii="Arial" w:hAnsi="Arial" w:cs="Arial"/>
          <w:sz w:val="20"/>
          <w:szCs w:val="20"/>
        </w:rPr>
      </w:pPr>
    </w:p>
    <w:p w14:paraId="6F0BF62A"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 xml:space="preserve">Virusprover (virusserologi) får vara tagna tidigast 30 dagar innan insamling av cellprodukt. De virusprover som kontrolleras är: HIV- och hepatitserologi, anti HTLV I/II, </w:t>
      </w:r>
      <w:proofErr w:type="spellStart"/>
      <w:r w:rsidRPr="00433F9D">
        <w:rPr>
          <w:rFonts w:ascii="Arial" w:hAnsi="Arial" w:cs="Arial"/>
          <w:sz w:val="20"/>
          <w:szCs w:val="20"/>
        </w:rPr>
        <w:t>treponema</w:t>
      </w:r>
      <w:proofErr w:type="spellEnd"/>
      <w:r w:rsidRPr="00433F9D">
        <w:rPr>
          <w:rFonts w:ascii="Arial" w:hAnsi="Arial" w:cs="Arial"/>
          <w:sz w:val="20"/>
          <w:szCs w:val="20"/>
        </w:rPr>
        <w:t xml:space="preserve"> </w:t>
      </w:r>
      <w:proofErr w:type="spellStart"/>
      <w:r w:rsidRPr="00433F9D">
        <w:rPr>
          <w:rFonts w:ascii="Arial" w:hAnsi="Arial" w:cs="Arial"/>
          <w:sz w:val="20"/>
          <w:szCs w:val="20"/>
        </w:rPr>
        <w:t>pallidum</w:t>
      </w:r>
      <w:proofErr w:type="spellEnd"/>
      <w:r w:rsidRPr="00433F9D">
        <w:rPr>
          <w:rFonts w:ascii="Arial" w:hAnsi="Arial" w:cs="Arial"/>
          <w:sz w:val="20"/>
          <w:szCs w:val="20"/>
        </w:rPr>
        <w:t xml:space="preserve"> samt serologi för EBV, CMV och </w:t>
      </w:r>
      <w:proofErr w:type="spellStart"/>
      <w:r w:rsidRPr="00433F9D">
        <w:rPr>
          <w:rFonts w:ascii="Arial" w:hAnsi="Arial" w:cs="Arial"/>
          <w:sz w:val="20"/>
          <w:szCs w:val="20"/>
        </w:rPr>
        <w:t>toxoplasmos</w:t>
      </w:r>
      <w:proofErr w:type="spellEnd"/>
      <w:r w:rsidRPr="00433F9D">
        <w:rPr>
          <w:rFonts w:ascii="Arial" w:hAnsi="Arial" w:cs="Arial"/>
          <w:sz w:val="20"/>
          <w:szCs w:val="20"/>
        </w:rPr>
        <w:t xml:space="preserve">. </w:t>
      </w:r>
    </w:p>
    <w:p w14:paraId="38EF9E12" w14:textId="77777777" w:rsidR="00D426EB" w:rsidRPr="00433F9D" w:rsidRDefault="00D426EB" w:rsidP="00D426EB">
      <w:pPr>
        <w:spacing w:after="0" w:line="240" w:lineRule="auto"/>
        <w:ind w:left="0" w:right="0"/>
        <w:jc w:val="both"/>
        <w:rPr>
          <w:rFonts w:ascii="Arial" w:hAnsi="Arial" w:cs="Arial"/>
          <w:sz w:val="20"/>
          <w:szCs w:val="20"/>
        </w:rPr>
      </w:pPr>
    </w:p>
    <w:p w14:paraId="5B8FF945"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 xml:space="preserve">Vid cellprodukt från obesläktad donator sker utredning och konfirmerande provtagning enligt rutin för obesläktad donator.  </w:t>
      </w:r>
    </w:p>
    <w:p w14:paraId="3D5AB903" w14:textId="77777777" w:rsidR="00D426EB" w:rsidRPr="00433F9D" w:rsidRDefault="00D426EB" w:rsidP="00D426EB">
      <w:pPr>
        <w:spacing w:after="0" w:line="240" w:lineRule="auto"/>
        <w:ind w:left="0" w:right="0"/>
        <w:jc w:val="both"/>
        <w:rPr>
          <w:rFonts w:ascii="Arial" w:hAnsi="Arial" w:cs="Arial"/>
          <w:sz w:val="20"/>
          <w:szCs w:val="20"/>
        </w:rPr>
      </w:pPr>
    </w:p>
    <w:p w14:paraId="5C7885F9"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Förekomst av cellulär immunitet mot CMV, EBV och adenovirus måste säkerställas enligt ovan av klinisk immunologi för alla tilltänkta donatorer innan skörd sker. Kontakta klinisk immunologi för planering av provtagning och analys (</w:t>
      </w:r>
      <w:proofErr w:type="spellStart"/>
      <w:r w:rsidRPr="00433F9D">
        <w:rPr>
          <w:rFonts w:ascii="Arial" w:hAnsi="Arial" w:cs="Arial"/>
          <w:sz w:val="20"/>
          <w:szCs w:val="20"/>
        </w:rPr>
        <w:t>tel</w:t>
      </w:r>
      <w:proofErr w:type="spellEnd"/>
      <w:r w:rsidRPr="00433F9D">
        <w:rPr>
          <w:rFonts w:ascii="Arial" w:hAnsi="Arial" w:cs="Arial"/>
          <w:sz w:val="20"/>
          <w:szCs w:val="20"/>
        </w:rPr>
        <w:t xml:space="preserve">: </w:t>
      </w:r>
      <w:proofErr w:type="gramStart"/>
      <w:r w:rsidRPr="00433F9D">
        <w:rPr>
          <w:rFonts w:ascii="Arial" w:hAnsi="Arial" w:cs="Arial"/>
          <w:sz w:val="20"/>
          <w:szCs w:val="20"/>
        </w:rPr>
        <w:t>24703</w:t>
      </w:r>
      <w:proofErr w:type="gramEnd"/>
      <w:r w:rsidRPr="00433F9D">
        <w:rPr>
          <w:rFonts w:ascii="Arial" w:hAnsi="Arial" w:cs="Arial"/>
          <w:sz w:val="20"/>
          <w:szCs w:val="20"/>
        </w:rPr>
        <w:t xml:space="preserve">). Be om svarskopia till ansvarig läkare på stamcellslaboratoriet Sahlgrenska Universitetssjukhuset. </w:t>
      </w:r>
    </w:p>
    <w:p w14:paraId="16B89227" w14:textId="77777777" w:rsidR="00D426EB" w:rsidRPr="00433F9D" w:rsidRDefault="00D426EB" w:rsidP="00D426EB">
      <w:pPr>
        <w:pStyle w:val="MellanrubrikVGR"/>
        <w:ind w:left="0"/>
        <w:rPr>
          <w:color w:val="auto"/>
        </w:rPr>
      </w:pPr>
      <w:r w:rsidRPr="00433F9D">
        <w:rPr>
          <w:color w:val="auto"/>
        </w:rPr>
        <w:t>Inför injektion av cellprodukt</w:t>
      </w:r>
    </w:p>
    <w:p w14:paraId="41CB9CD6" w14:textId="77777777" w:rsidR="00D426EB" w:rsidRPr="00433F9D" w:rsidRDefault="00D426EB" w:rsidP="00D426EB">
      <w:pPr>
        <w:numPr>
          <w:ilvl w:val="0"/>
          <w:numId w:val="20"/>
        </w:numPr>
        <w:spacing w:after="0" w:line="240" w:lineRule="auto"/>
        <w:ind w:right="0"/>
        <w:jc w:val="both"/>
        <w:rPr>
          <w:rFonts w:ascii="Arial" w:hAnsi="Arial" w:cs="Arial"/>
          <w:sz w:val="20"/>
          <w:szCs w:val="20"/>
        </w:rPr>
      </w:pPr>
      <w:r w:rsidRPr="00433F9D">
        <w:rPr>
          <w:rFonts w:ascii="Arial" w:hAnsi="Arial" w:cs="Arial"/>
          <w:sz w:val="20"/>
          <w:szCs w:val="20"/>
        </w:rPr>
        <w:t>Se till att patienten har en välfungerande infart.</w:t>
      </w:r>
    </w:p>
    <w:p w14:paraId="3B4CA033" w14:textId="77777777" w:rsidR="00D426EB" w:rsidRPr="00433F9D" w:rsidRDefault="00D426EB" w:rsidP="00D426EB">
      <w:pPr>
        <w:numPr>
          <w:ilvl w:val="0"/>
          <w:numId w:val="20"/>
        </w:numPr>
        <w:spacing w:after="0" w:line="240" w:lineRule="auto"/>
        <w:ind w:right="0"/>
        <w:jc w:val="both"/>
        <w:rPr>
          <w:rFonts w:ascii="Arial" w:hAnsi="Arial" w:cs="Arial"/>
          <w:sz w:val="20"/>
          <w:szCs w:val="20"/>
        </w:rPr>
      </w:pPr>
      <w:r w:rsidRPr="00433F9D">
        <w:rPr>
          <w:rFonts w:ascii="Arial" w:hAnsi="Arial" w:cs="Arial"/>
          <w:sz w:val="20"/>
          <w:szCs w:val="20"/>
        </w:rPr>
        <w:t xml:space="preserve">Kortisonbehandling bör undvikas i samband med behandlingen. </w:t>
      </w:r>
    </w:p>
    <w:p w14:paraId="05AA91EF" w14:textId="77777777" w:rsidR="00D426EB" w:rsidRPr="00433F9D" w:rsidRDefault="00D426EB" w:rsidP="00D426EB">
      <w:pPr>
        <w:numPr>
          <w:ilvl w:val="0"/>
          <w:numId w:val="20"/>
        </w:numPr>
        <w:spacing w:after="0" w:line="240" w:lineRule="auto"/>
        <w:ind w:right="0"/>
        <w:jc w:val="both"/>
        <w:rPr>
          <w:rFonts w:ascii="Arial" w:hAnsi="Arial" w:cs="Arial"/>
          <w:sz w:val="20"/>
          <w:szCs w:val="20"/>
        </w:rPr>
      </w:pPr>
      <w:r w:rsidRPr="00433F9D">
        <w:rPr>
          <w:rFonts w:ascii="Arial" w:hAnsi="Arial" w:cs="Arial"/>
          <w:sz w:val="20"/>
          <w:szCs w:val="20"/>
        </w:rPr>
        <w:t xml:space="preserve">Kontrollera att akutläkemedel finns ordinerade så som adrenalin och </w:t>
      </w:r>
      <w:proofErr w:type="spellStart"/>
      <w:r w:rsidRPr="00433F9D">
        <w:rPr>
          <w:rFonts w:ascii="Arial" w:hAnsi="Arial" w:cs="Arial"/>
          <w:sz w:val="20"/>
          <w:szCs w:val="20"/>
        </w:rPr>
        <w:t>tavegyl</w:t>
      </w:r>
      <w:proofErr w:type="spellEnd"/>
      <w:r w:rsidRPr="00433F9D">
        <w:rPr>
          <w:rFonts w:ascii="Arial" w:hAnsi="Arial" w:cs="Arial"/>
          <w:sz w:val="20"/>
          <w:szCs w:val="20"/>
        </w:rPr>
        <w:t xml:space="preserve">. </w:t>
      </w:r>
    </w:p>
    <w:p w14:paraId="7BAD2349" w14:textId="77777777" w:rsidR="00D426EB" w:rsidRPr="00433F9D" w:rsidRDefault="00D426EB" w:rsidP="00D426EB">
      <w:pPr>
        <w:numPr>
          <w:ilvl w:val="0"/>
          <w:numId w:val="20"/>
        </w:numPr>
        <w:spacing w:after="0" w:line="240" w:lineRule="auto"/>
        <w:ind w:right="0"/>
        <w:jc w:val="both"/>
        <w:rPr>
          <w:rFonts w:ascii="Arial" w:hAnsi="Arial" w:cs="Arial"/>
          <w:sz w:val="20"/>
          <w:szCs w:val="20"/>
        </w:rPr>
      </w:pPr>
      <w:r w:rsidRPr="00433F9D">
        <w:rPr>
          <w:rFonts w:ascii="Arial" w:hAnsi="Arial" w:cs="Arial"/>
          <w:sz w:val="20"/>
          <w:szCs w:val="20"/>
        </w:rPr>
        <w:t>Uppvätskning enligt ordination.</w:t>
      </w:r>
    </w:p>
    <w:p w14:paraId="3C2FA0D4" w14:textId="77777777" w:rsidR="00D426EB" w:rsidRPr="00433F9D" w:rsidRDefault="00D426EB" w:rsidP="00D426EB">
      <w:pPr>
        <w:numPr>
          <w:ilvl w:val="0"/>
          <w:numId w:val="20"/>
        </w:numPr>
        <w:spacing w:after="0" w:line="240" w:lineRule="auto"/>
        <w:ind w:right="0"/>
        <w:jc w:val="both"/>
        <w:rPr>
          <w:rFonts w:ascii="Arial" w:hAnsi="Arial" w:cs="Arial"/>
          <w:sz w:val="20"/>
          <w:szCs w:val="20"/>
        </w:rPr>
      </w:pPr>
      <w:r w:rsidRPr="00433F9D">
        <w:rPr>
          <w:rFonts w:ascii="Arial" w:hAnsi="Arial" w:cs="Arial"/>
          <w:sz w:val="20"/>
          <w:szCs w:val="20"/>
        </w:rPr>
        <w:t>Lämna dokumentet gällande frisläppning av cellprodukt till läkare för kontroll och signatur. Faxa detta papper till stamcellslaboratoriet innan injektion.</w:t>
      </w:r>
    </w:p>
    <w:p w14:paraId="0A39C1DB" w14:textId="77777777" w:rsidR="00D426EB" w:rsidRPr="00433F9D" w:rsidRDefault="00D426EB" w:rsidP="00D426EB">
      <w:pPr>
        <w:numPr>
          <w:ilvl w:val="0"/>
          <w:numId w:val="20"/>
        </w:numPr>
        <w:spacing w:after="0" w:line="240" w:lineRule="auto"/>
        <w:ind w:right="0"/>
        <w:jc w:val="both"/>
        <w:rPr>
          <w:rFonts w:ascii="Arial" w:hAnsi="Arial" w:cs="Arial"/>
          <w:sz w:val="20"/>
          <w:szCs w:val="20"/>
        </w:rPr>
      </w:pPr>
      <w:r w:rsidRPr="00433F9D">
        <w:rPr>
          <w:rFonts w:ascii="Arial" w:hAnsi="Arial" w:cs="Arial"/>
          <w:sz w:val="20"/>
          <w:szCs w:val="20"/>
        </w:rPr>
        <w:t xml:space="preserve">Ordination för </w:t>
      </w:r>
      <w:r w:rsidRPr="00433F9D">
        <w:rPr>
          <w:rFonts w:ascii="Arial" w:hAnsi="Arial" w:cs="Arial"/>
          <w:i/>
          <w:sz w:val="20"/>
          <w:szCs w:val="20"/>
        </w:rPr>
        <w:t>Läkemedel infusion</w:t>
      </w:r>
      <w:r w:rsidRPr="00433F9D">
        <w:rPr>
          <w:rFonts w:ascii="Arial" w:hAnsi="Arial" w:cs="Arial"/>
          <w:sz w:val="20"/>
          <w:szCs w:val="20"/>
        </w:rPr>
        <w:t xml:space="preserve"> i </w:t>
      </w:r>
      <w:proofErr w:type="spellStart"/>
      <w:r w:rsidRPr="00433F9D">
        <w:rPr>
          <w:rFonts w:ascii="Arial" w:hAnsi="Arial" w:cs="Arial"/>
          <w:sz w:val="20"/>
          <w:szCs w:val="20"/>
        </w:rPr>
        <w:t>Melior</w:t>
      </w:r>
      <w:proofErr w:type="spellEnd"/>
      <w:r w:rsidRPr="00433F9D">
        <w:rPr>
          <w:rFonts w:ascii="Arial" w:hAnsi="Arial" w:cs="Arial"/>
          <w:sz w:val="20"/>
          <w:szCs w:val="20"/>
        </w:rPr>
        <w:t xml:space="preserve"> där virusspecifika T-celler skrivs i anvisningen. Volym som skall ges ordineras.</w:t>
      </w:r>
    </w:p>
    <w:p w14:paraId="64CEA40E" w14:textId="77777777" w:rsidR="00D426EB" w:rsidRPr="00433F9D" w:rsidRDefault="00D426EB" w:rsidP="00D426EB">
      <w:pPr>
        <w:numPr>
          <w:ilvl w:val="0"/>
          <w:numId w:val="20"/>
        </w:numPr>
        <w:spacing w:after="0" w:line="240" w:lineRule="auto"/>
        <w:ind w:right="0"/>
        <w:jc w:val="both"/>
        <w:rPr>
          <w:rFonts w:ascii="Arial" w:hAnsi="Arial" w:cs="Arial"/>
          <w:sz w:val="20"/>
          <w:szCs w:val="20"/>
        </w:rPr>
      </w:pPr>
      <w:r w:rsidRPr="00433F9D">
        <w:rPr>
          <w:rFonts w:ascii="Arial" w:hAnsi="Arial" w:cs="Arial"/>
          <w:sz w:val="20"/>
          <w:szCs w:val="20"/>
        </w:rPr>
        <w:t>Kontrollera identitet på sprutan gentemot ordination, rosa rapporten samt gentemot patienten inne på rummet.</w:t>
      </w:r>
    </w:p>
    <w:p w14:paraId="6678A173" w14:textId="77777777" w:rsidR="00D426EB" w:rsidRPr="00433F9D" w:rsidRDefault="00D426EB" w:rsidP="00D426EB">
      <w:pPr>
        <w:numPr>
          <w:ilvl w:val="0"/>
          <w:numId w:val="20"/>
        </w:numPr>
        <w:spacing w:after="0" w:line="240" w:lineRule="auto"/>
        <w:ind w:right="0"/>
        <w:jc w:val="both"/>
        <w:rPr>
          <w:rFonts w:ascii="Arial" w:hAnsi="Arial" w:cs="Arial"/>
          <w:sz w:val="20"/>
          <w:szCs w:val="20"/>
        </w:rPr>
      </w:pPr>
      <w:r w:rsidRPr="00433F9D">
        <w:rPr>
          <w:rFonts w:ascii="Arial" w:hAnsi="Arial" w:cs="Arial"/>
          <w:sz w:val="20"/>
          <w:szCs w:val="20"/>
        </w:rPr>
        <w:lastRenderedPageBreak/>
        <w:t xml:space="preserve">Blodprov för utökad immunbristpanel skall tas innan injektion – skriv: innan injektion av virusspecifika T-celler i </w:t>
      </w:r>
      <w:proofErr w:type="spellStart"/>
      <w:r w:rsidRPr="00433F9D">
        <w:rPr>
          <w:rFonts w:ascii="Arial" w:hAnsi="Arial" w:cs="Arial"/>
          <w:sz w:val="20"/>
          <w:szCs w:val="20"/>
        </w:rPr>
        <w:t>Labbest</w:t>
      </w:r>
      <w:proofErr w:type="spellEnd"/>
      <w:r w:rsidRPr="00433F9D">
        <w:rPr>
          <w:rFonts w:ascii="Arial" w:hAnsi="Arial" w:cs="Arial"/>
          <w:sz w:val="20"/>
          <w:szCs w:val="20"/>
        </w:rPr>
        <w:t xml:space="preserve">. Remiss skrivs ut i </w:t>
      </w:r>
      <w:proofErr w:type="spellStart"/>
      <w:r w:rsidRPr="00433F9D">
        <w:rPr>
          <w:rFonts w:ascii="Arial" w:hAnsi="Arial" w:cs="Arial"/>
          <w:sz w:val="20"/>
          <w:szCs w:val="20"/>
        </w:rPr>
        <w:t>Labbest</w:t>
      </w:r>
      <w:proofErr w:type="spellEnd"/>
      <w:r w:rsidRPr="00433F9D">
        <w:rPr>
          <w:rFonts w:ascii="Arial" w:hAnsi="Arial" w:cs="Arial"/>
          <w:sz w:val="20"/>
          <w:szCs w:val="20"/>
        </w:rPr>
        <w:t xml:space="preserve">. (Om provet tas en fredag måste det nå klinisk immunologi innan </w:t>
      </w:r>
      <w:proofErr w:type="spellStart"/>
      <w:r w:rsidRPr="00433F9D">
        <w:rPr>
          <w:rFonts w:ascii="Arial" w:hAnsi="Arial" w:cs="Arial"/>
          <w:sz w:val="20"/>
          <w:szCs w:val="20"/>
        </w:rPr>
        <w:t>kl</w:t>
      </w:r>
      <w:proofErr w:type="spellEnd"/>
      <w:r w:rsidRPr="00433F9D">
        <w:rPr>
          <w:rFonts w:ascii="Arial" w:hAnsi="Arial" w:cs="Arial"/>
          <w:sz w:val="20"/>
          <w:szCs w:val="20"/>
        </w:rPr>
        <w:t xml:space="preserve"> 13.00)</w:t>
      </w:r>
    </w:p>
    <w:p w14:paraId="3CD695FD" w14:textId="77777777" w:rsidR="00D426EB" w:rsidRPr="00433F9D" w:rsidRDefault="00D426EB" w:rsidP="00D426EB">
      <w:pPr>
        <w:pStyle w:val="MellanrubrikVGR"/>
        <w:ind w:left="0"/>
        <w:rPr>
          <w:color w:val="auto"/>
        </w:rPr>
      </w:pPr>
      <w:r w:rsidRPr="00433F9D">
        <w:rPr>
          <w:color w:val="auto"/>
        </w:rPr>
        <w:t>Injektion av cellprodukt</w:t>
      </w:r>
    </w:p>
    <w:p w14:paraId="0F44E341"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 xml:space="preserve">Injektion av virusspecifika T-celler kräver ingen premedicinering. Cellprodukten ges som en vanlig intravenös injektion. Sprutan kan </w:t>
      </w:r>
      <w:proofErr w:type="spellStart"/>
      <w:r w:rsidRPr="00433F9D">
        <w:rPr>
          <w:rFonts w:ascii="Arial" w:hAnsi="Arial" w:cs="Arial"/>
          <w:sz w:val="20"/>
          <w:szCs w:val="20"/>
        </w:rPr>
        <w:t>eftersköljas</w:t>
      </w:r>
      <w:proofErr w:type="spellEnd"/>
      <w:r w:rsidRPr="00433F9D">
        <w:rPr>
          <w:rFonts w:ascii="Arial" w:hAnsi="Arial" w:cs="Arial"/>
          <w:sz w:val="20"/>
          <w:szCs w:val="20"/>
        </w:rPr>
        <w:t xml:space="preserve"> med </w:t>
      </w:r>
      <w:proofErr w:type="spellStart"/>
      <w:r w:rsidRPr="00433F9D">
        <w:rPr>
          <w:rFonts w:ascii="Arial" w:hAnsi="Arial" w:cs="Arial"/>
          <w:sz w:val="20"/>
          <w:szCs w:val="20"/>
        </w:rPr>
        <w:t>NaCl</w:t>
      </w:r>
      <w:proofErr w:type="spellEnd"/>
      <w:r w:rsidRPr="00433F9D">
        <w:rPr>
          <w:rFonts w:ascii="Arial" w:hAnsi="Arial" w:cs="Arial"/>
          <w:sz w:val="20"/>
          <w:szCs w:val="20"/>
        </w:rPr>
        <w:t xml:space="preserve"> i ett slutet system. Produktvolymen är </w:t>
      </w:r>
      <w:proofErr w:type="gramStart"/>
      <w:r w:rsidRPr="00433F9D">
        <w:rPr>
          <w:rFonts w:ascii="Arial" w:hAnsi="Arial" w:cs="Arial"/>
          <w:sz w:val="20"/>
          <w:szCs w:val="20"/>
        </w:rPr>
        <w:t>mellan  5</w:t>
      </w:r>
      <w:proofErr w:type="gramEnd"/>
      <w:r w:rsidRPr="00433F9D">
        <w:rPr>
          <w:rFonts w:ascii="Arial" w:hAnsi="Arial" w:cs="Arial"/>
          <w:sz w:val="20"/>
          <w:szCs w:val="20"/>
        </w:rPr>
        <w:t xml:space="preserve">-6 </w:t>
      </w:r>
      <w:proofErr w:type="spellStart"/>
      <w:r w:rsidRPr="00433F9D">
        <w:rPr>
          <w:rFonts w:ascii="Arial" w:hAnsi="Arial" w:cs="Arial"/>
          <w:sz w:val="20"/>
          <w:szCs w:val="20"/>
        </w:rPr>
        <w:t>mL</w:t>
      </w:r>
      <w:proofErr w:type="spellEnd"/>
      <w:r w:rsidRPr="00433F9D">
        <w:rPr>
          <w:rFonts w:ascii="Arial" w:hAnsi="Arial" w:cs="Arial"/>
          <w:sz w:val="20"/>
          <w:szCs w:val="20"/>
        </w:rPr>
        <w:t>.</w:t>
      </w:r>
    </w:p>
    <w:p w14:paraId="60CEEE02" w14:textId="77777777" w:rsidR="00D426EB" w:rsidRPr="00433F9D" w:rsidRDefault="00D426EB" w:rsidP="00D426EB">
      <w:pPr>
        <w:spacing w:after="0" w:line="240" w:lineRule="auto"/>
        <w:ind w:left="0" w:right="0"/>
        <w:jc w:val="both"/>
        <w:rPr>
          <w:rFonts w:ascii="Arial" w:hAnsi="Arial" w:cs="Arial"/>
          <w:sz w:val="20"/>
          <w:szCs w:val="20"/>
        </w:rPr>
      </w:pPr>
    </w:p>
    <w:p w14:paraId="7D8DA1CF"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Vid injektion ska chockberedskap finnas. Extra vätska kan ges. Patienten bör stanna på avdelningen 3 timmar efter injektionen.</w:t>
      </w:r>
    </w:p>
    <w:p w14:paraId="3D856F4C" w14:textId="77777777" w:rsidR="00D426EB" w:rsidRPr="00433F9D" w:rsidRDefault="00D426EB" w:rsidP="00D426EB">
      <w:pPr>
        <w:pStyle w:val="MellanrubrikVGR"/>
        <w:ind w:left="0"/>
        <w:rPr>
          <w:color w:val="auto"/>
        </w:rPr>
      </w:pPr>
      <w:r w:rsidRPr="00433F9D">
        <w:rPr>
          <w:color w:val="auto"/>
        </w:rPr>
        <w:t>Kontroller</w:t>
      </w:r>
    </w:p>
    <w:p w14:paraId="430B7C11"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Blodtryck, puls, syrgasmättnad, andningsfrekvens och kroppstemperatur</w:t>
      </w:r>
      <w:r w:rsidRPr="00433F9D">
        <w:rPr>
          <w:rFonts w:ascii="Arial" w:hAnsi="Arial" w:cs="Arial"/>
          <w:b/>
          <w:sz w:val="20"/>
          <w:szCs w:val="20"/>
        </w:rPr>
        <w:t xml:space="preserve"> </w:t>
      </w:r>
      <w:r w:rsidRPr="00433F9D">
        <w:rPr>
          <w:rFonts w:ascii="Arial" w:hAnsi="Arial" w:cs="Arial"/>
          <w:sz w:val="20"/>
          <w:szCs w:val="20"/>
        </w:rPr>
        <w:t>precis innan injektion och 1 gång/timme tills avslutad observation.</w:t>
      </w:r>
    </w:p>
    <w:p w14:paraId="2AA380A1" w14:textId="77777777" w:rsidR="00D426EB" w:rsidRPr="00433F9D" w:rsidRDefault="00D426EB" w:rsidP="00D426EB">
      <w:pPr>
        <w:pStyle w:val="MellanrubrikVGR"/>
        <w:ind w:left="0"/>
        <w:rPr>
          <w:color w:val="auto"/>
        </w:rPr>
      </w:pPr>
      <w:r w:rsidRPr="00433F9D">
        <w:rPr>
          <w:color w:val="auto"/>
        </w:rPr>
        <w:t xml:space="preserve">Observation </w:t>
      </w:r>
    </w:p>
    <w:p w14:paraId="5D8A5BE8"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I samband med injektion och 3 timmar efter.</w:t>
      </w:r>
    </w:p>
    <w:p w14:paraId="1FF4AEB2" w14:textId="77777777" w:rsidR="00D426EB" w:rsidRPr="00433F9D" w:rsidRDefault="00D426EB" w:rsidP="00D426EB">
      <w:pPr>
        <w:pStyle w:val="MellanrubrikVGR"/>
        <w:ind w:left="0"/>
        <w:rPr>
          <w:color w:val="auto"/>
        </w:rPr>
      </w:pPr>
      <w:r w:rsidRPr="00433F9D">
        <w:rPr>
          <w:color w:val="auto"/>
        </w:rPr>
        <w:t>Dokumentation</w:t>
      </w:r>
    </w:p>
    <w:p w14:paraId="08DEAD39"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Det ska alltid finnas en operationsberättelse (läkaranteckning) i patientjournalen för varje genomförd infusion av cellprodukt. Eventuella reaktioner/komplikationer dokumenteras.</w:t>
      </w:r>
    </w:p>
    <w:p w14:paraId="61A80CEA" w14:textId="77777777" w:rsidR="00D426EB" w:rsidRPr="00433F9D" w:rsidRDefault="00D426EB" w:rsidP="00D426EB">
      <w:pPr>
        <w:spacing w:after="0" w:line="240" w:lineRule="auto"/>
        <w:ind w:left="0" w:right="0"/>
        <w:jc w:val="both"/>
        <w:rPr>
          <w:rFonts w:ascii="Arial" w:hAnsi="Arial" w:cs="Arial"/>
          <w:sz w:val="20"/>
          <w:szCs w:val="20"/>
        </w:rPr>
      </w:pPr>
    </w:p>
    <w:p w14:paraId="07046978"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För sjuksköterska gäller dokumentation av tid för infusion av celler samt eventuella reaktioner i ordinarie omvårdnadsrapport.</w:t>
      </w:r>
    </w:p>
    <w:p w14:paraId="4F4EC8C1" w14:textId="77777777" w:rsidR="00D426EB" w:rsidRPr="00433F9D" w:rsidRDefault="00D426EB" w:rsidP="00D426EB">
      <w:pPr>
        <w:pStyle w:val="MellanrubrikVGR"/>
        <w:ind w:left="0"/>
        <w:rPr>
          <w:color w:val="auto"/>
        </w:rPr>
      </w:pPr>
      <w:r w:rsidRPr="00433F9D">
        <w:rPr>
          <w:color w:val="auto"/>
        </w:rPr>
        <w:t>Infusionskomplikationer</w:t>
      </w:r>
    </w:p>
    <w:p w14:paraId="1C787BBE"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Alla infusioner skall rapporteras till stamcellslaboratoriet på det rosa rapportbladet på samma sätt som vid stamcellstransplantation, oavsett om komplikation uppstått vid infusionen eller inte.</w:t>
      </w:r>
    </w:p>
    <w:p w14:paraId="552FE384" w14:textId="77777777" w:rsidR="00D426EB" w:rsidRPr="00433F9D" w:rsidRDefault="00D426EB" w:rsidP="00D426EB">
      <w:pPr>
        <w:pStyle w:val="MellanrubrikVGR"/>
        <w:ind w:left="0"/>
        <w:rPr>
          <w:color w:val="auto"/>
        </w:rPr>
      </w:pPr>
      <w:r w:rsidRPr="00433F9D">
        <w:rPr>
          <w:color w:val="auto"/>
        </w:rPr>
        <w:t>Biverkningar</w:t>
      </w:r>
    </w:p>
    <w:p w14:paraId="29382156"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Biverkningsprofilen är som regel mild. Det vanligaste rapporterade symtomet vid infusion är feber. Det saknas säkra belägg för allvarliga långtidsbiverkningar inklusive GVHD.</w:t>
      </w:r>
    </w:p>
    <w:p w14:paraId="6963A6AC" w14:textId="77777777" w:rsidR="00D426EB" w:rsidRPr="00433F9D" w:rsidRDefault="00D426EB" w:rsidP="00D426EB">
      <w:pPr>
        <w:spacing w:after="0" w:line="240" w:lineRule="auto"/>
        <w:ind w:left="0" w:right="0"/>
        <w:jc w:val="both"/>
        <w:rPr>
          <w:rFonts w:ascii="Arial" w:hAnsi="Arial" w:cs="Arial"/>
          <w:sz w:val="20"/>
          <w:szCs w:val="20"/>
        </w:rPr>
      </w:pPr>
    </w:p>
    <w:p w14:paraId="2EFE0ACC" w14:textId="0E10683F"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 xml:space="preserve">Misstänkta biverkningar rapporteras av behandlingsansvarig läkare till transplantationsansvarig läkare som i samråd med ansvarig läkare på SCL tar beslut om anmälan till Läkemedelsverket. En sådan eventuell anmälan skall ske utan dröjsmål. Biverkan skall anmälas både av behandlingsansvarig läkare och tillverkaren (stamcellslaboratoriet). Vägledning genom nedanstående länk i </w:t>
      </w:r>
      <w:proofErr w:type="gramStart"/>
      <w:r w:rsidRPr="00433F9D">
        <w:rPr>
          <w:rFonts w:ascii="Arial" w:hAnsi="Arial" w:cs="Arial"/>
          <w:sz w:val="20"/>
          <w:szCs w:val="20"/>
        </w:rPr>
        <w:t>avsnitt</w:t>
      </w:r>
      <w:r w:rsidR="00CF12C8">
        <w:rPr>
          <w:rFonts w:ascii="Arial" w:hAnsi="Arial" w:cs="Arial"/>
          <w:sz w:val="20"/>
          <w:szCs w:val="20"/>
        </w:rPr>
        <w:t xml:space="preserve"> </w:t>
      </w:r>
      <w:r w:rsidRPr="00433F9D">
        <w:rPr>
          <w:rFonts w:ascii="Arial" w:hAnsi="Arial" w:cs="Arial"/>
          <w:sz w:val="20"/>
          <w:szCs w:val="20"/>
        </w:rPr>
        <w:t>säkerhetsövervakning</w:t>
      </w:r>
      <w:proofErr w:type="gramEnd"/>
      <w:r w:rsidRPr="00433F9D">
        <w:rPr>
          <w:rFonts w:ascii="Arial" w:hAnsi="Arial" w:cs="Arial"/>
          <w:sz w:val="20"/>
          <w:szCs w:val="20"/>
        </w:rPr>
        <w:t>/biverkningar.</w:t>
      </w:r>
    </w:p>
    <w:p w14:paraId="62F106AE" w14:textId="77777777" w:rsidR="00D426EB" w:rsidRPr="00433F9D" w:rsidRDefault="00D426EB" w:rsidP="00D426EB">
      <w:pPr>
        <w:spacing w:after="0" w:line="240" w:lineRule="auto"/>
        <w:ind w:left="0" w:right="0"/>
        <w:jc w:val="both"/>
        <w:rPr>
          <w:rFonts w:ascii="Arial" w:hAnsi="Arial" w:cs="Arial"/>
          <w:sz w:val="20"/>
          <w:szCs w:val="20"/>
        </w:rPr>
      </w:pPr>
    </w:p>
    <w:p w14:paraId="539A217E" w14:textId="77777777" w:rsidR="00D426EB" w:rsidRPr="00433F9D" w:rsidRDefault="00D426EB" w:rsidP="00D426EB">
      <w:pPr>
        <w:spacing w:after="0" w:line="240" w:lineRule="auto"/>
        <w:ind w:left="0" w:right="0"/>
        <w:jc w:val="both"/>
        <w:rPr>
          <w:rFonts w:ascii="Arial" w:hAnsi="Arial" w:cs="Arial"/>
          <w:sz w:val="20"/>
          <w:szCs w:val="20"/>
        </w:rPr>
      </w:pPr>
      <w:hyperlink r:id="rId17" w:history="1">
        <w:r w:rsidRPr="00433F9D">
          <w:rPr>
            <w:rStyle w:val="Hyperlnk"/>
            <w:rFonts w:ascii="Arial" w:hAnsi="Arial" w:cs="Arial"/>
            <w:color w:val="auto"/>
            <w:sz w:val="20"/>
            <w:szCs w:val="20"/>
          </w:rPr>
          <w:t>Vägledning till Läkemedelsverkets föreskrifter (LVFS 2011:3) om läkemedel som omfattas av sjukhus</w:t>
        </w:r>
        <w:r w:rsidRPr="00433F9D">
          <w:rPr>
            <w:rStyle w:val="Hyperlnk"/>
            <w:rFonts w:ascii="Arial" w:hAnsi="Arial" w:cs="Arial"/>
            <w:color w:val="auto"/>
            <w:sz w:val="20"/>
            <w:szCs w:val="20"/>
          </w:rPr>
          <w:softHyphen/>
          <w:t>undantag | Läkemedelsverket</w:t>
        </w:r>
      </w:hyperlink>
    </w:p>
    <w:p w14:paraId="5B03C845" w14:textId="77777777" w:rsidR="00D426EB" w:rsidRPr="00433F9D" w:rsidRDefault="00D426EB" w:rsidP="00D426EB">
      <w:pPr>
        <w:pStyle w:val="MellanrubrikVGR"/>
        <w:ind w:left="0"/>
        <w:rPr>
          <w:color w:val="auto"/>
        </w:rPr>
      </w:pPr>
      <w:r w:rsidRPr="00433F9D">
        <w:rPr>
          <w:color w:val="auto"/>
        </w:rPr>
        <w:t>Uppföljning efter behandling med virusspecifika T-celler</w:t>
      </w:r>
    </w:p>
    <w:p w14:paraId="3B26F5AE"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 xml:space="preserve">Virusnivåer i blodet följs med PCR-teknik två gånger per vecka, eller enligt läkarordination. Utökad immunbristpanel skall kontrolleras efter infusion av cellprodukt enligt schemat nedan.  Prov skall tas för cellulär immunitet (förekomst av virusspecifika T-celler) mot EBV, CMV och adenovirus när patienten är virusfri, när antalet CD3+ celler stiger märkbart i perifert blod eller senast 1 månad efter behandling, samt även 3 månader efter behandling (se provtagningsschema på nästa sida). </w:t>
      </w:r>
    </w:p>
    <w:p w14:paraId="60ABDC4A" w14:textId="77777777" w:rsidR="00D426EB" w:rsidRPr="00433F9D" w:rsidRDefault="00D426EB" w:rsidP="00D426EB">
      <w:pPr>
        <w:spacing w:after="0" w:line="240" w:lineRule="auto"/>
        <w:ind w:left="0" w:right="0"/>
        <w:jc w:val="both"/>
        <w:rPr>
          <w:rFonts w:ascii="Arial" w:hAnsi="Arial" w:cs="Arial"/>
          <w:sz w:val="20"/>
          <w:szCs w:val="20"/>
        </w:rPr>
      </w:pPr>
    </w:p>
    <w:p w14:paraId="3C2EF90C" w14:textId="77777777" w:rsidR="00D426EB" w:rsidRPr="00433F9D" w:rsidRDefault="00D426EB" w:rsidP="00D426EB">
      <w:pPr>
        <w:spacing w:after="0" w:line="240" w:lineRule="auto"/>
        <w:ind w:left="0" w:right="0"/>
        <w:jc w:val="both"/>
        <w:rPr>
          <w:rFonts w:ascii="Arial" w:hAnsi="Arial" w:cs="Arial"/>
          <w:sz w:val="20"/>
          <w:szCs w:val="20"/>
        </w:rPr>
      </w:pPr>
      <w:r w:rsidRPr="00433F9D">
        <w:rPr>
          <w:rFonts w:ascii="Arial" w:hAnsi="Arial" w:cs="Arial"/>
          <w:sz w:val="20"/>
          <w:szCs w:val="20"/>
        </w:rPr>
        <w:t>Provtagning och analys av cellulär immunitet planeras i samråd med klinisk immunologi (</w:t>
      </w:r>
      <w:proofErr w:type="spellStart"/>
      <w:r w:rsidRPr="00433F9D">
        <w:rPr>
          <w:rFonts w:ascii="Arial" w:hAnsi="Arial" w:cs="Arial"/>
          <w:sz w:val="20"/>
          <w:szCs w:val="20"/>
        </w:rPr>
        <w:t>tel</w:t>
      </w:r>
      <w:proofErr w:type="spellEnd"/>
      <w:r w:rsidRPr="00433F9D">
        <w:rPr>
          <w:rFonts w:ascii="Arial" w:hAnsi="Arial" w:cs="Arial"/>
          <w:sz w:val="20"/>
          <w:szCs w:val="20"/>
        </w:rPr>
        <w:t xml:space="preserve">: </w:t>
      </w:r>
      <w:proofErr w:type="gramStart"/>
      <w:r w:rsidRPr="00433F9D">
        <w:rPr>
          <w:rFonts w:ascii="Arial" w:hAnsi="Arial" w:cs="Arial"/>
          <w:sz w:val="20"/>
          <w:szCs w:val="20"/>
        </w:rPr>
        <w:t>24703</w:t>
      </w:r>
      <w:proofErr w:type="gramEnd"/>
      <w:r w:rsidRPr="00433F9D">
        <w:rPr>
          <w:rFonts w:ascii="Arial" w:hAnsi="Arial" w:cs="Arial"/>
          <w:sz w:val="20"/>
          <w:szCs w:val="20"/>
        </w:rPr>
        <w:t>) och kräver att prov tas i heparinrör (grön kork).</w:t>
      </w:r>
    </w:p>
    <w:p w14:paraId="711505FE" w14:textId="77777777" w:rsidR="00D426EB" w:rsidRDefault="00D426EB" w:rsidP="00D426EB">
      <w:pPr>
        <w:spacing w:after="0" w:line="240" w:lineRule="auto"/>
        <w:ind w:left="0" w:right="0"/>
        <w:jc w:val="both"/>
        <w:rPr>
          <w:rFonts w:ascii="Arial" w:hAnsi="Arial" w:cs="Arial"/>
          <w:i/>
          <w:iCs/>
          <w:sz w:val="20"/>
          <w:szCs w:val="20"/>
        </w:rPr>
      </w:pPr>
    </w:p>
    <w:p w14:paraId="4E93C9CC" w14:textId="77777777" w:rsidR="00D426EB" w:rsidRPr="004D2D21" w:rsidRDefault="00D426EB" w:rsidP="00D426EB">
      <w:pPr>
        <w:spacing w:line="240" w:lineRule="auto"/>
        <w:ind w:left="0" w:right="0"/>
        <w:jc w:val="both"/>
        <w:rPr>
          <w:rFonts w:ascii="Arial" w:hAnsi="Arial" w:cs="Arial"/>
          <w:i/>
          <w:iCs/>
          <w:sz w:val="20"/>
          <w:szCs w:val="20"/>
        </w:rPr>
      </w:pPr>
      <w:r w:rsidRPr="004D2D21">
        <w:rPr>
          <w:rFonts w:ascii="Arial" w:hAnsi="Arial" w:cs="Arial"/>
          <w:i/>
          <w:iCs/>
          <w:sz w:val="20"/>
          <w:szCs w:val="20"/>
        </w:rPr>
        <w:t>Provtagningsschema</w:t>
      </w:r>
    </w:p>
    <w:tbl>
      <w:tblPr>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3119"/>
        <w:gridCol w:w="3755"/>
      </w:tblGrid>
      <w:tr w:rsidR="00D426EB" w:rsidRPr="004D2D21" w14:paraId="77C9F0E5" w14:textId="77777777" w:rsidTr="004B4DFB">
        <w:trPr>
          <w:trHeight w:val="286"/>
        </w:trPr>
        <w:tc>
          <w:tcPr>
            <w:tcW w:w="2376" w:type="dxa"/>
            <w:shd w:val="clear" w:color="auto" w:fill="FFEEC9" w:themeFill="accent3" w:themeFillTint="33"/>
          </w:tcPr>
          <w:p w14:paraId="16B17FF0" w14:textId="77777777" w:rsidR="00D426EB" w:rsidRPr="004D2D21" w:rsidRDefault="00D426EB" w:rsidP="004B4DFB">
            <w:pPr>
              <w:spacing w:after="0" w:line="240" w:lineRule="auto"/>
              <w:ind w:left="0" w:right="0"/>
              <w:jc w:val="both"/>
              <w:rPr>
                <w:rFonts w:ascii="Arial" w:hAnsi="Arial" w:cs="Arial"/>
                <w:b/>
                <w:bCs/>
                <w:sz w:val="20"/>
                <w:szCs w:val="20"/>
              </w:rPr>
            </w:pPr>
            <w:r w:rsidRPr="004D2D21">
              <w:rPr>
                <w:rFonts w:ascii="Arial" w:hAnsi="Arial" w:cs="Arial"/>
                <w:b/>
                <w:bCs/>
                <w:sz w:val="20"/>
                <w:szCs w:val="20"/>
              </w:rPr>
              <w:t>Tid efter behandling</w:t>
            </w:r>
          </w:p>
        </w:tc>
        <w:tc>
          <w:tcPr>
            <w:tcW w:w="3119" w:type="dxa"/>
            <w:shd w:val="clear" w:color="auto" w:fill="FFEEC9" w:themeFill="accent3" w:themeFillTint="33"/>
          </w:tcPr>
          <w:p w14:paraId="3285D216" w14:textId="77777777" w:rsidR="00D426EB" w:rsidRPr="004D2D21" w:rsidRDefault="00D426EB" w:rsidP="004B4DFB">
            <w:pPr>
              <w:spacing w:after="0" w:line="240" w:lineRule="auto"/>
              <w:ind w:left="0" w:right="0"/>
              <w:jc w:val="both"/>
              <w:rPr>
                <w:rFonts w:ascii="Arial" w:hAnsi="Arial" w:cs="Arial"/>
                <w:b/>
                <w:bCs/>
                <w:sz w:val="20"/>
                <w:szCs w:val="20"/>
              </w:rPr>
            </w:pPr>
            <w:r w:rsidRPr="004D2D21">
              <w:rPr>
                <w:rFonts w:ascii="Arial" w:hAnsi="Arial" w:cs="Arial"/>
                <w:b/>
                <w:bCs/>
                <w:sz w:val="20"/>
                <w:szCs w:val="20"/>
              </w:rPr>
              <w:t>Provtagning</w:t>
            </w:r>
          </w:p>
        </w:tc>
        <w:tc>
          <w:tcPr>
            <w:tcW w:w="3755" w:type="dxa"/>
            <w:shd w:val="clear" w:color="auto" w:fill="FFEEC9" w:themeFill="accent3" w:themeFillTint="33"/>
          </w:tcPr>
          <w:p w14:paraId="52D95CCC" w14:textId="77777777" w:rsidR="00D426EB" w:rsidRPr="004D2D21" w:rsidRDefault="00D426EB" w:rsidP="004B4DFB">
            <w:pPr>
              <w:spacing w:after="0" w:line="240" w:lineRule="auto"/>
              <w:ind w:left="0" w:right="0"/>
              <w:jc w:val="both"/>
              <w:rPr>
                <w:rFonts w:ascii="Arial" w:hAnsi="Arial" w:cs="Arial"/>
                <w:b/>
                <w:bCs/>
                <w:sz w:val="20"/>
                <w:szCs w:val="20"/>
              </w:rPr>
            </w:pPr>
            <w:r w:rsidRPr="004D2D21">
              <w:rPr>
                <w:rFonts w:ascii="Arial" w:hAnsi="Arial" w:cs="Arial"/>
                <w:b/>
                <w:bCs/>
                <w:sz w:val="20"/>
                <w:szCs w:val="20"/>
              </w:rPr>
              <w:t>Prover</w:t>
            </w:r>
          </w:p>
        </w:tc>
      </w:tr>
      <w:tr w:rsidR="00D426EB" w:rsidRPr="004D2D21" w14:paraId="6F5EF0D9" w14:textId="77777777" w:rsidTr="004B4DFB">
        <w:trPr>
          <w:trHeight w:val="276"/>
        </w:trPr>
        <w:tc>
          <w:tcPr>
            <w:tcW w:w="2376" w:type="dxa"/>
            <w:shd w:val="clear" w:color="auto" w:fill="auto"/>
          </w:tcPr>
          <w:p w14:paraId="192B8BE3" w14:textId="77777777" w:rsidR="00D426EB" w:rsidRPr="004D2D21" w:rsidRDefault="00D426EB" w:rsidP="004B4DFB">
            <w:pPr>
              <w:spacing w:after="0" w:line="240" w:lineRule="auto"/>
              <w:ind w:left="0" w:right="0"/>
              <w:jc w:val="both"/>
              <w:rPr>
                <w:rFonts w:ascii="Arial" w:hAnsi="Arial" w:cs="Arial"/>
                <w:sz w:val="20"/>
                <w:szCs w:val="20"/>
              </w:rPr>
            </w:pPr>
            <w:bookmarkStart w:id="1" w:name="_Hlk35527892"/>
            <w:r w:rsidRPr="004D2D21">
              <w:rPr>
                <w:rFonts w:ascii="Arial" w:hAnsi="Arial" w:cs="Arial"/>
                <w:sz w:val="20"/>
                <w:szCs w:val="20"/>
              </w:rPr>
              <w:t xml:space="preserve">Vecka </w:t>
            </w:r>
            <w:proofErr w:type="gramStart"/>
            <w:r w:rsidRPr="004D2D21">
              <w:rPr>
                <w:rFonts w:ascii="Arial" w:hAnsi="Arial" w:cs="Arial"/>
                <w:sz w:val="20"/>
                <w:szCs w:val="20"/>
              </w:rPr>
              <w:t>1-4</w:t>
            </w:r>
            <w:proofErr w:type="gramEnd"/>
          </w:p>
        </w:tc>
        <w:tc>
          <w:tcPr>
            <w:tcW w:w="3119" w:type="dxa"/>
            <w:shd w:val="clear" w:color="auto" w:fill="auto"/>
          </w:tcPr>
          <w:p w14:paraId="36A23F55"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Utökad immunbristpanel</w:t>
            </w:r>
          </w:p>
        </w:tc>
        <w:tc>
          <w:tcPr>
            <w:tcW w:w="3755" w:type="dxa"/>
            <w:shd w:val="clear" w:color="auto" w:fill="auto"/>
          </w:tcPr>
          <w:p w14:paraId="09647EBE"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Veckovis (vecka 1, 2, 3, 4)</w:t>
            </w:r>
          </w:p>
        </w:tc>
      </w:tr>
      <w:tr w:rsidR="00D426EB" w:rsidRPr="004D2D21" w14:paraId="3E974715" w14:textId="77777777" w:rsidTr="004B4DFB">
        <w:trPr>
          <w:trHeight w:val="286"/>
        </w:trPr>
        <w:tc>
          <w:tcPr>
            <w:tcW w:w="2376" w:type="dxa"/>
            <w:shd w:val="clear" w:color="auto" w:fill="auto"/>
          </w:tcPr>
          <w:p w14:paraId="284AAD05" w14:textId="77777777" w:rsidR="00D426EB" w:rsidRPr="004D2D21" w:rsidRDefault="00D426EB" w:rsidP="004B4DFB">
            <w:pPr>
              <w:spacing w:after="0" w:line="240" w:lineRule="auto"/>
              <w:ind w:left="0" w:right="0"/>
              <w:jc w:val="both"/>
              <w:rPr>
                <w:rFonts w:ascii="Arial" w:hAnsi="Arial" w:cs="Arial"/>
                <w:sz w:val="20"/>
                <w:szCs w:val="20"/>
              </w:rPr>
            </w:pPr>
            <w:bookmarkStart w:id="2" w:name="_Hlk35527992"/>
            <w:bookmarkEnd w:id="1"/>
            <w:r w:rsidRPr="004D2D21">
              <w:rPr>
                <w:rFonts w:ascii="Arial" w:hAnsi="Arial" w:cs="Arial"/>
                <w:sz w:val="20"/>
                <w:szCs w:val="20"/>
              </w:rPr>
              <w:t>Senast vecka 4</w:t>
            </w:r>
          </w:p>
        </w:tc>
        <w:tc>
          <w:tcPr>
            <w:tcW w:w="3119" w:type="dxa"/>
            <w:shd w:val="clear" w:color="auto" w:fill="auto"/>
          </w:tcPr>
          <w:p w14:paraId="53DC59C7"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Cellulär immunitet</w:t>
            </w:r>
          </w:p>
        </w:tc>
        <w:tc>
          <w:tcPr>
            <w:tcW w:w="3755" w:type="dxa"/>
            <w:shd w:val="clear" w:color="auto" w:fill="auto"/>
          </w:tcPr>
          <w:p w14:paraId="476D13A4" w14:textId="77777777" w:rsidR="00D426EB" w:rsidRPr="004D2D21" w:rsidRDefault="00D426EB" w:rsidP="004B4DFB">
            <w:pPr>
              <w:spacing w:after="0" w:line="240" w:lineRule="auto"/>
              <w:ind w:left="0" w:right="0"/>
              <w:jc w:val="both"/>
              <w:rPr>
                <w:rFonts w:ascii="Arial" w:hAnsi="Arial" w:cs="Arial"/>
                <w:sz w:val="20"/>
                <w:szCs w:val="20"/>
              </w:rPr>
            </w:pPr>
            <w:bookmarkStart w:id="3" w:name="OLE_LINK5"/>
            <w:bookmarkStart w:id="4" w:name="OLE_LINK6"/>
            <w:bookmarkStart w:id="5" w:name="OLE_LINK7"/>
            <w:bookmarkStart w:id="6" w:name="OLE_LINK8"/>
            <w:r w:rsidRPr="004D2D21">
              <w:rPr>
                <w:rFonts w:ascii="Arial" w:hAnsi="Arial" w:cs="Arial"/>
                <w:sz w:val="20"/>
                <w:szCs w:val="20"/>
              </w:rPr>
              <w:t>Enstaka prov efter kontakt</w:t>
            </w:r>
            <w:bookmarkEnd w:id="3"/>
            <w:bookmarkEnd w:id="4"/>
            <w:r w:rsidRPr="004D2D21">
              <w:rPr>
                <w:rFonts w:ascii="Arial" w:hAnsi="Arial" w:cs="Arial"/>
                <w:sz w:val="20"/>
                <w:szCs w:val="20"/>
              </w:rPr>
              <w:t xml:space="preserve"> med klinisk immunologi</w:t>
            </w:r>
            <w:bookmarkEnd w:id="5"/>
            <w:bookmarkEnd w:id="6"/>
            <w:r w:rsidRPr="004D2D21">
              <w:rPr>
                <w:rFonts w:ascii="Arial" w:hAnsi="Arial" w:cs="Arial"/>
                <w:sz w:val="20"/>
                <w:szCs w:val="20"/>
              </w:rPr>
              <w:t xml:space="preserve">, </w:t>
            </w:r>
            <w:bookmarkStart w:id="7" w:name="OLE_LINK9"/>
            <w:bookmarkStart w:id="8" w:name="OLE_LINK10"/>
            <w:proofErr w:type="spellStart"/>
            <w:r w:rsidRPr="004D2D21">
              <w:rPr>
                <w:rFonts w:ascii="Arial" w:hAnsi="Arial" w:cs="Arial"/>
                <w:sz w:val="20"/>
                <w:szCs w:val="20"/>
              </w:rPr>
              <w:t>tel</w:t>
            </w:r>
            <w:proofErr w:type="spellEnd"/>
            <w:r w:rsidRPr="004D2D21">
              <w:rPr>
                <w:rFonts w:ascii="Arial" w:hAnsi="Arial" w:cs="Arial"/>
                <w:sz w:val="20"/>
                <w:szCs w:val="20"/>
              </w:rPr>
              <w:t xml:space="preserve">: </w:t>
            </w:r>
            <w:proofErr w:type="gramStart"/>
            <w:r w:rsidRPr="004D2D21">
              <w:rPr>
                <w:rFonts w:ascii="Arial" w:hAnsi="Arial" w:cs="Arial"/>
                <w:sz w:val="20"/>
                <w:szCs w:val="20"/>
              </w:rPr>
              <w:t>24703</w:t>
            </w:r>
            <w:bookmarkEnd w:id="7"/>
            <w:bookmarkEnd w:id="8"/>
            <w:proofErr w:type="gramEnd"/>
          </w:p>
        </w:tc>
      </w:tr>
      <w:bookmarkEnd w:id="2"/>
      <w:tr w:rsidR="00D426EB" w:rsidRPr="004D2D21" w14:paraId="4BE1875F" w14:textId="77777777" w:rsidTr="004B4DFB">
        <w:trPr>
          <w:trHeight w:val="276"/>
        </w:trPr>
        <w:tc>
          <w:tcPr>
            <w:tcW w:w="2376" w:type="dxa"/>
            <w:shd w:val="clear" w:color="auto" w:fill="auto"/>
          </w:tcPr>
          <w:p w14:paraId="4C8EB590"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 xml:space="preserve">Vecka </w:t>
            </w:r>
            <w:proofErr w:type="gramStart"/>
            <w:r w:rsidRPr="004D2D21">
              <w:rPr>
                <w:rFonts w:ascii="Arial" w:hAnsi="Arial" w:cs="Arial"/>
                <w:sz w:val="20"/>
                <w:szCs w:val="20"/>
              </w:rPr>
              <w:t>5-12</w:t>
            </w:r>
            <w:proofErr w:type="gramEnd"/>
          </w:p>
        </w:tc>
        <w:tc>
          <w:tcPr>
            <w:tcW w:w="3119" w:type="dxa"/>
            <w:shd w:val="clear" w:color="auto" w:fill="auto"/>
          </w:tcPr>
          <w:p w14:paraId="19D8335A"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Utökad immunbristpanel</w:t>
            </w:r>
          </w:p>
        </w:tc>
        <w:tc>
          <w:tcPr>
            <w:tcW w:w="3755" w:type="dxa"/>
            <w:shd w:val="clear" w:color="auto" w:fill="auto"/>
          </w:tcPr>
          <w:p w14:paraId="1636B59A"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Varannan vecka (vecka 6, 8, 10, 12)</w:t>
            </w:r>
          </w:p>
        </w:tc>
      </w:tr>
      <w:tr w:rsidR="00D426EB" w:rsidRPr="004D2D21" w14:paraId="580C5BB4" w14:textId="77777777" w:rsidTr="004B4DFB">
        <w:trPr>
          <w:trHeight w:val="286"/>
        </w:trPr>
        <w:tc>
          <w:tcPr>
            <w:tcW w:w="2376" w:type="dxa"/>
            <w:shd w:val="clear" w:color="auto" w:fill="auto"/>
          </w:tcPr>
          <w:p w14:paraId="26132AB8"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Månad 3</w:t>
            </w:r>
          </w:p>
        </w:tc>
        <w:tc>
          <w:tcPr>
            <w:tcW w:w="3119" w:type="dxa"/>
            <w:shd w:val="clear" w:color="auto" w:fill="auto"/>
          </w:tcPr>
          <w:p w14:paraId="485A9B34"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Cellulär immunitet</w:t>
            </w:r>
          </w:p>
        </w:tc>
        <w:tc>
          <w:tcPr>
            <w:tcW w:w="3755" w:type="dxa"/>
            <w:shd w:val="clear" w:color="auto" w:fill="auto"/>
          </w:tcPr>
          <w:p w14:paraId="5700E2DF"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 xml:space="preserve">Enstaka prov efter kontakt med klinisk immunologi, </w:t>
            </w:r>
            <w:proofErr w:type="spellStart"/>
            <w:r w:rsidRPr="004D2D21">
              <w:rPr>
                <w:rFonts w:ascii="Arial" w:hAnsi="Arial" w:cs="Arial"/>
                <w:sz w:val="20"/>
                <w:szCs w:val="20"/>
              </w:rPr>
              <w:t>tel</w:t>
            </w:r>
            <w:proofErr w:type="spellEnd"/>
            <w:r w:rsidRPr="004D2D21">
              <w:rPr>
                <w:rFonts w:ascii="Arial" w:hAnsi="Arial" w:cs="Arial"/>
                <w:sz w:val="20"/>
                <w:szCs w:val="20"/>
              </w:rPr>
              <w:t xml:space="preserve">: </w:t>
            </w:r>
            <w:proofErr w:type="gramStart"/>
            <w:r w:rsidRPr="004D2D21">
              <w:rPr>
                <w:rFonts w:ascii="Arial" w:hAnsi="Arial" w:cs="Arial"/>
                <w:sz w:val="20"/>
                <w:szCs w:val="20"/>
              </w:rPr>
              <w:t>24703</w:t>
            </w:r>
            <w:proofErr w:type="gramEnd"/>
          </w:p>
        </w:tc>
      </w:tr>
      <w:tr w:rsidR="00D426EB" w:rsidRPr="004D2D21" w14:paraId="1E76FF0D" w14:textId="77777777" w:rsidTr="004B4DFB">
        <w:trPr>
          <w:trHeight w:val="286"/>
        </w:trPr>
        <w:tc>
          <w:tcPr>
            <w:tcW w:w="2376" w:type="dxa"/>
            <w:shd w:val="clear" w:color="auto" w:fill="auto"/>
          </w:tcPr>
          <w:p w14:paraId="6D26E84C"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 xml:space="preserve">Månad </w:t>
            </w:r>
            <w:proofErr w:type="gramStart"/>
            <w:r w:rsidRPr="004D2D21">
              <w:rPr>
                <w:rFonts w:ascii="Arial" w:hAnsi="Arial" w:cs="Arial"/>
                <w:sz w:val="20"/>
                <w:szCs w:val="20"/>
              </w:rPr>
              <w:t>3-6</w:t>
            </w:r>
            <w:proofErr w:type="gramEnd"/>
          </w:p>
        </w:tc>
        <w:tc>
          <w:tcPr>
            <w:tcW w:w="3119" w:type="dxa"/>
            <w:shd w:val="clear" w:color="auto" w:fill="auto"/>
          </w:tcPr>
          <w:p w14:paraId="08AA98A2"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Utökad immunbristpanel</w:t>
            </w:r>
          </w:p>
        </w:tc>
        <w:tc>
          <w:tcPr>
            <w:tcW w:w="3755" w:type="dxa"/>
            <w:shd w:val="clear" w:color="auto" w:fill="auto"/>
          </w:tcPr>
          <w:p w14:paraId="13AE3D6B"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Varje månad (månad 4, 5, 6)</w:t>
            </w:r>
          </w:p>
        </w:tc>
      </w:tr>
      <w:tr w:rsidR="00D426EB" w:rsidRPr="004D2D21" w14:paraId="66CCEAEC" w14:textId="77777777" w:rsidTr="004B4DFB">
        <w:trPr>
          <w:trHeight w:val="276"/>
        </w:trPr>
        <w:tc>
          <w:tcPr>
            <w:tcW w:w="2376" w:type="dxa"/>
            <w:shd w:val="clear" w:color="auto" w:fill="auto"/>
          </w:tcPr>
          <w:p w14:paraId="56234CA5"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 xml:space="preserve">Månad </w:t>
            </w:r>
            <w:proofErr w:type="gramStart"/>
            <w:r w:rsidRPr="004D2D21">
              <w:rPr>
                <w:rFonts w:ascii="Arial" w:hAnsi="Arial" w:cs="Arial"/>
                <w:sz w:val="20"/>
                <w:szCs w:val="20"/>
              </w:rPr>
              <w:t>6-12</w:t>
            </w:r>
            <w:proofErr w:type="gramEnd"/>
          </w:p>
        </w:tc>
        <w:tc>
          <w:tcPr>
            <w:tcW w:w="3119" w:type="dxa"/>
            <w:shd w:val="clear" w:color="auto" w:fill="auto"/>
          </w:tcPr>
          <w:p w14:paraId="23403541"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Utökad immunbristpanel</w:t>
            </w:r>
          </w:p>
        </w:tc>
        <w:tc>
          <w:tcPr>
            <w:tcW w:w="3755" w:type="dxa"/>
            <w:shd w:val="clear" w:color="auto" w:fill="auto"/>
          </w:tcPr>
          <w:p w14:paraId="7147B3E2" w14:textId="77777777" w:rsidR="00D426EB" w:rsidRPr="004D2D21" w:rsidRDefault="00D426EB" w:rsidP="004B4DFB">
            <w:pPr>
              <w:spacing w:after="0" w:line="240" w:lineRule="auto"/>
              <w:ind w:left="0" w:right="0"/>
              <w:jc w:val="both"/>
              <w:rPr>
                <w:rFonts w:ascii="Arial" w:hAnsi="Arial" w:cs="Arial"/>
                <w:sz w:val="20"/>
                <w:szCs w:val="20"/>
              </w:rPr>
            </w:pPr>
            <w:r w:rsidRPr="004D2D21">
              <w:rPr>
                <w:rFonts w:ascii="Arial" w:hAnsi="Arial" w:cs="Arial"/>
                <w:sz w:val="20"/>
                <w:szCs w:val="20"/>
              </w:rPr>
              <w:t>Varannan månad (månad 8, 10, 12)</w:t>
            </w:r>
          </w:p>
        </w:tc>
      </w:tr>
    </w:tbl>
    <w:p w14:paraId="5E5D4975" w14:textId="77777777" w:rsidR="00D426EB" w:rsidRPr="004D2D21" w:rsidRDefault="00D426EB" w:rsidP="00D426EB">
      <w:pPr>
        <w:spacing w:after="0" w:line="240" w:lineRule="auto"/>
        <w:ind w:left="0" w:right="0"/>
        <w:jc w:val="both"/>
        <w:rPr>
          <w:rFonts w:ascii="Arial" w:hAnsi="Arial" w:cs="Arial"/>
          <w:sz w:val="20"/>
          <w:szCs w:val="20"/>
        </w:rPr>
      </w:pPr>
    </w:p>
    <w:p w14:paraId="3BD7F2A8" w14:textId="77777777" w:rsidR="00D426EB" w:rsidRPr="00BA2E7A" w:rsidRDefault="00D426EB" w:rsidP="00D426EB">
      <w:pPr>
        <w:spacing w:after="0" w:line="240" w:lineRule="auto"/>
        <w:ind w:left="0" w:right="0"/>
        <w:jc w:val="both"/>
        <w:rPr>
          <w:rFonts w:ascii="Arial" w:hAnsi="Arial" w:cs="Arial"/>
          <w:sz w:val="20"/>
          <w:szCs w:val="20"/>
        </w:rPr>
      </w:pPr>
      <w:r w:rsidRPr="2C01A00B">
        <w:rPr>
          <w:rFonts w:ascii="Arial" w:hAnsi="Arial" w:cs="Arial"/>
          <w:sz w:val="20"/>
          <w:szCs w:val="20"/>
        </w:rPr>
        <w:t>Kontroll av blodstatus, diff</w:t>
      </w:r>
      <w:r>
        <w:rPr>
          <w:rFonts w:ascii="Arial" w:hAnsi="Arial" w:cs="Arial"/>
          <w:sz w:val="20"/>
          <w:szCs w:val="20"/>
        </w:rPr>
        <w:t>.</w:t>
      </w:r>
      <w:r w:rsidRPr="2C01A00B">
        <w:rPr>
          <w:rFonts w:ascii="Arial" w:hAnsi="Arial" w:cs="Arial"/>
          <w:sz w:val="20"/>
          <w:szCs w:val="20"/>
        </w:rPr>
        <w:t xml:space="preserve"> och andra relevanta prover ordineras av ansvarig läkare.</w:t>
      </w:r>
    </w:p>
    <w:p w14:paraId="6684F91C" w14:textId="77777777" w:rsidR="00D426EB" w:rsidRPr="004D2D21" w:rsidRDefault="00D426EB" w:rsidP="00D426EB">
      <w:pPr>
        <w:pStyle w:val="Rubrik2"/>
        <w:ind w:left="0"/>
      </w:pPr>
      <w:r w:rsidRPr="004D2D21">
        <w:t>Ansvar</w:t>
      </w:r>
    </w:p>
    <w:p w14:paraId="16559E76" w14:textId="77777777" w:rsidR="00D426EB" w:rsidRPr="00BA2E7A" w:rsidRDefault="00D426EB" w:rsidP="00D426EB">
      <w:pPr>
        <w:spacing w:after="0" w:line="240" w:lineRule="auto"/>
        <w:ind w:left="0" w:right="0"/>
        <w:jc w:val="both"/>
        <w:rPr>
          <w:rFonts w:ascii="Arial" w:hAnsi="Arial" w:cs="Arial"/>
          <w:sz w:val="20"/>
          <w:szCs w:val="20"/>
        </w:rPr>
      </w:pPr>
      <w:r w:rsidRPr="004D2D21">
        <w:rPr>
          <w:rFonts w:ascii="Arial" w:hAnsi="Arial" w:cs="Arial"/>
          <w:sz w:val="20"/>
          <w:szCs w:val="20"/>
        </w:rPr>
        <w:t>Gäller för all personal på Barncancercentrum. Avdelningschefen har ansvar för spridning och implementering. Verksamhetschefen ansvarar för att de rutiner och riktlinjer som verksamheten kräver finns tillgängliga och att verksamheten arbetar enligt SOSFS 2011:9.</w:t>
      </w:r>
    </w:p>
    <w:p w14:paraId="6DACCEEF" w14:textId="77777777" w:rsidR="00D426EB" w:rsidRPr="004D2D21" w:rsidRDefault="00D426EB" w:rsidP="00D426EB">
      <w:pPr>
        <w:pStyle w:val="Rubrik2"/>
        <w:ind w:left="0"/>
      </w:pPr>
      <w:r w:rsidRPr="004D2D21">
        <w:t>Uppföljning, utvärdering och revision</w:t>
      </w:r>
    </w:p>
    <w:p w14:paraId="198B9E43" w14:textId="77777777" w:rsidR="00D426EB" w:rsidRPr="00BA2E7A" w:rsidRDefault="00D426EB" w:rsidP="00D426EB">
      <w:pPr>
        <w:spacing w:after="0" w:line="240" w:lineRule="auto"/>
        <w:ind w:left="0" w:right="0"/>
        <w:jc w:val="both"/>
        <w:rPr>
          <w:rFonts w:ascii="Arial" w:hAnsi="Arial" w:cs="Arial"/>
        </w:rPr>
      </w:pPr>
      <w:r w:rsidRPr="004D2D21">
        <w:rPr>
          <w:rFonts w:ascii="Arial" w:hAnsi="Arial" w:cs="Arial"/>
          <w:sz w:val="20"/>
          <w:szCs w:val="20"/>
        </w:rPr>
        <w:t xml:space="preserve">Innehållsansvarig är ansvarig för revision. Medvetet avsteg från rutinen dokumenteras i </w:t>
      </w:r>
      <w:proofErr w:type="spellStart"/>
      <w:r w:rsidRPr="004D2D21">
        <w:rPr>
          <w:rFonts w:ascii="Arial" w:hAnsi="Arial" w:cs="Arial"/>
          <w:sz w:val="20"/>
          <w:szCs w:val="20"/>
        </w:rPr>
        <w:t>Melior</w:t>
      </w:r>
      <w:proofErr w:type="spellEnd"/>
      <w:r w:rsidRPr="004D2D21">
        <w:rPr>
          <w:rFonts w:ascii="Arial" w:hAnsi="Arial" w:cs="Arial"/>
          <w:sz w:val="20"/>
          <w:szCs w:val="20"/>
        </w:rPr>
        <w:t xml:space="preserve"> om rutinen är kopplad till patient. Övriga orsaker till avsteg från rutinen rapporteras i </w:t>
      </w:r>
      <w:proofErr w:type="spellStart"/>
      <w:r w:rsidRPr="004D2D21">
        <w:rPr>
          <w:rFonts w:ascii="Arial" w:hAnsi="Arial" w:cs="Arial"/>
          <w:sz w:val="20"/>
          <w:szCs w:val="20"/>
        </w:rPr>
        <w:t>MedControlPro</w:t>
      </w:r>
      <w:proofErr w:type="spellEnd"/>
      <w:r w:rsidRPr="004D2D21">
        <w:rPr>
          <w:rFonts w:ascii="Arial" w:hAnsi="Arial" w:cs="Arial"/>
        </w:rPr>
        <w:t>.</w:t>
      </w:r>
    </w:p>
    <w:p w14:paraId="1C433880" w14:textId="77777777" w:rsidR="00D426EB" w:rsidRPr="004D2D21" w:rsidRDefault="00D426EB" w:rsidP="00D426EB">
      <w:pPr>
        <w:pStyle w:val="Rubrik2"/>
        <w:ind w:left="0"/>
      </w:pPr>
      <w:r w:rsidRPr="004D2D21">
        <w:t>Referenser</w:t>
      </w:r>
    </w:p>
    <w:p w14:paraId="49D622CB" w14:textId="12B2DF88" w:rsidR="00D426EB" w:rsidRPr="00D426EB" w:rsidRDefault="00D426EB" w:rsidP="00D426EB">
      <w:pPr>
        <w:pStyle w:val="Liststycke"/>
        <w:numPr>
          <w:ilvl w:val="0"/>
          <w:numId w:val="25"/>
        </w:numPr>
        <w:rPr>
          <w:rFonts w:ascii="Arial" w:hAnsi="Arial" w:cs="Arial"/>
          <w:sz w:val="20"/>
          <w:szCs w:val="20"/>
          <w:lang w:val="en-GB"/>
        </w:rPr>
      </w:pPr>
      <w:hyperlink r:id="rId18" w:history="1">
        <w:r w:rsidRPr="00D426EB">
          <w:rPr>
            <w:rStyle w:val="Hyperlnk"/>
            <w:rFonts w:ascii="Arial" w:hAnsi="Arial" w:cs="Arial"/>
            <w:sz w:val="20"/>
            <w:szCs w:val="20"/>
            <w:shd w:val="clear" w:color="auto" w:fill="FFFFFF"/>
          </w:rPr>
          <w:t>Kaeuferle, T., Krauss, R., Blaeschke, F. </w:t>
        </w:r>
        <w:r w:rsidRPr="00D426EB">
          <w:rPr>
            <w:rStyle w:val="Hyperlnk"/>
            <w:rFonts w:ascii="Arial" w:hAnsi="Arial" w:cs="Arial"/>
            <w:i/>
            <w:iCs/>
            <w:sz w:val="20"/>
            <w:szCs w:val="20"/>
            <w:shd w:val="clear" w:color="auto" w:fill="FFFFFF"/>
          </w:rPr>
          <w:t>et al.</w:t>
        </w:r>
        <w:r w:rsidRPr="00D426EB">
          <w:rPr>
            <w:rStyle w:val="Hyperlnk"/>
            <w:rFonts w:ascii="Arial" w:hAnsi="Arial" w:cs="Arial"/>
            <w:sz w:val="20"/>
            <w:szCs w:val="20"/>
            <w:shd w:val="clear" w:color="auto" w:fill="FFFFFF"/>
          </w:rPr>
          <w:t> </w:t>
        </w:r>
        <w:r w:rsidRPr="00D426EB">
          <w:rPr>
            <w:rStyle w:val="Hyperlnk"/>
            <w:rFonts w:ascii="Arial" w:hAnsi="Arial" w:cs="Arial"/>
            <w:sz w:val="20"/>
            <w:szCs w:val="20"/>
            <w:shd w:val="clear" w:color="auto" w:fill="FFFFFF"/>
            <w:lang w:val="en-GB"/>
          </w:rPr>
          <w:t>(2019). Strategies of adoptive T -cell transfer to treat refractory viral infections post allogeneic stem cell transplantation. </w:t>
        </w:r>
        <w:r w:rsidRPr="00D426EB">
          <w:rPr>
            <w:rStyle w:val="Hyperlnk"/>
            <w:rFonts w:ascii="Arial" w:hAnsi="Arial" w:cs="Arial"/>
            <w:i/>
            <w:iCs/>
            <w:sz w:val="20"/>
            <w:szCs w:val="20"/>
            <w:shd w:val="clear" w:color="auto" w:fill="FFFFFF"/>
            <w:lang w:val="en-GB"/>
          </w:rPr>
          <w:t>Journal of Hematology &amp;l Oncology. s</w:t>
        </w:r>
        <w:r w:rsidRPr="00D426EB">
          <w:rPr>
            <w:rStyle w:val="Hyperlnk"/>
            <w:rFonts w:ascii="Arial" w:hAnsi="Arial" w:cs="Arial"/>
            <w:sz w:val="20"/>
            <w:szCs w:val="20"/>
            <w:shd w:val="clear" w:color="auto" w:fill="FFFFFF"/>
            <w:lang w:val="en-GB"/>
          </w:rPr>
          <w:t> 12-13 https://doi.org/10.1186/s13045-019-0701-1</w:t>
        </w:r>
      </w:hyperlink>
    </w:p>
    <w:p w14:paraId="5695D52B" w14:textId="33D1EE68" w:rsidR="00D426EB" w:rsidRPr="00D426EB" w:rsidRDefault="00D426EB" w:rsidP="00D426EB">
      <w:pPr>
        <w:pStyle w:val="Liststycke"/>
        <w:numPr>
          <w:ilvl w:val="0"/>
          <w:numId w:val="25"/>
        </w:numPr>
        <w:rPr>
          <w:rFonts w:ascii="Arial" w:hAnsi="Arial" w:cs="Arial"/>
          <w:sz w:val="20"/>
          <w:szCs w:val="20"/>
          <w:lang w:val="en-GB"/>
        </w:rPr>
      </w:pPr>
      <w:r w:rsidRPr="00D426EB">
        <w:rPr>
          <w:rFonts w:ascii="Arial" w:hAnsi="Arial" w:cs="Arial"/>
          <w:sz w:val="20"/>
          <w:szCs w:val="20"/>
          <w:lang w:val="en-GB"/>
        </w:rPr>
        <w:t xml:space="preserve">EBMT handbook 2024 </w:t>
      </w:r>
      <w:hyperlink r:id="rId19" w:history="1">
        <w:r w:rsidRPr="00D426EB">
          <w:rPr>
            <w:rStyle w:val="Hyperlnk"/>
            <w:rFonts w:ascii="Arial" w:hAnsi="Arial" w:cs="Arial"/>
            <w:sz w:val="20"/>
            <w:szCs w:val="20"/>
            <w:lang w:val="en-GB"/>
          </w:rPr>
          <w:t>EBMT Handbook | EBMT</w:t>
        </w:r>
      </w:hyperlink>
    </w:p>
    <w:p w14:paraId="4D1FBBAC" w14:textId="77777777" w:rsidR="00D426EB" w:rsidRPr="00D426EB" w:rsidRDefault="00D426EB" w:rsidP="00D426EB">
      <w:pPr>
        <w:pStyle w:val="Liststycke"/>
        <w:numPr>
          <w:ilvl w:val="0"/>
          <w:numId w:val="25"/>
        </w:numPr>
        <w:rPr>
          <w:rFonts w:ascii="Arial" w:hAnsi="Arial" w:cs="Arial"/>
          <w:sz w:val="20"/>
          <w:szCs w:val="20"/>
          <w:lang w:val="en-GB"/>
        </w:rPr>
      </w:pPr>
      <w:r w:rsidRPr="00D426EB">
        <w:rPr>
          <w:rFonts w:ascii="Arial" w:hAnsi="Arial" w:cs="Arial"/>
          <w:sz w:val="20"/>
          <w:szCs w:val="20"/>
          <w:lang w:val="en-GB"/>
        </w:rPr>
        <w:t xml:space="preserve">Blyth E et al. Donor-derived CMV-specific T cells reduce the requirement for CMV-directed </w:t>
      </w:r>
    </w:p>
    <w:p w14:paraId="614D6311" w14:textId="6C818C8D" w:rsidR="00D426EB" w:rsidRPr="000923F0" w:rsidRDefault="00D426EB" w:rsidP="000923F0">
      <w:pPr>
        <w:pStyle w:val="Liststycke"/>
        <w:numPr>
          <w:ilvl w:val="0"/>
          <w:numId w:val="25"/>
        </w:numPr>
        <w:rPr>
          <w:rFonts w:ascii="Arial" w:hAnsi="Arial" w:cs="Arial"/>
          <w:sz w:val="20"/>
          <w:szCs w:val="20"/>
          <w:lang w:val="en-GB"/>
        </w:rPr>
      </w:pPr>
      <w:r w:rsidRPr="00D426EB">
        <w:rPr>
          <w:rFonts w:ascii="Arial" w:hAnsi="Arial" w:cs="Arial"/>
          <w:sz w:val="20"/>
          <w:szCs w:val="20"/>
          <w:lang w:val="en-GB"/>
        </w:rPr>
        <w:t>pharmacotherapy after allogeneic stem cell transplantation. Blood. 2013 May 2;121(18):3745-</w:t>
      </w:r>
      <w:r w:rsidRPr="000923F0">
        <w:rPr>
          <w:rFonts w:ascii="Arial" w:hAnsi="Arial" w:cs="Arial"/>
          <w:sz w:val="20"/>
          <w:szCs w:val="20"/>
          <w:lang w:val="en-GB"/>
        </w:rPr>
        <w:t xml:space="preserve">58. </w:t>
      </w:r>
      <w:proofErr w:type="spellStart"/>
      <w:r w:rsidRPr="000923F0">
        <w:rPr>
          <w:rFonts w:ascii="Arial" w:hAnsi="Arial" w:cs="Arial"/>
          <w:sz w:val="20"/>
          <w:szCs w:val="20"/>
          <w:lang w:val="en-GB"/>
        </w:rPr>
        <w:t>doi</w:t>
      </w:r>
      <w:proofErr w:type="spellEnd"/>
      <w:r w:rsidRPr="000923F0">
        <w:rPr>
          <w:rFonts w:ascii="Arial" w:hAnsi="Arial" w:cs="Arial"/>
          <w:sz w:val="20"/>
          <w:szCs w:val="20"/>
          <w:lang w:val="en-GB"/>
        </w:rPr>
        <w:t xml:space="preserve">: 10.1182/blood-2012-08-448977. </w:t>
      </w:r>
      <w:proofErr w:type="spellStart"/>
      <w:r w:rsidRPr="000923F0">
        <w:rPr>
          <w:rFonts w:ascii="Arial" w:hAnsi="Arial" w:cs="Arial"/>
          <w:sz w:val="20"/>
          <w:szCs w:val="20"/>
          <w:lang w:val="en-GB"/>
        </w:rPr>
        <w:t>Epub</w:t>
      </w:r>
      <w:proofErr w:type="spellEnd"/>
      <w:r w:rsidRPr="000923F0">
        <w:rPr>
          <w:rFonts w:ascii="Arial" w:hAnsi="Arial" w:cs="Arial"/>
          <w:sz w:val="20"/>
          <w:szCs w:val="20"/>
          <w:lang w:val="en-GB"/>
        </w:rPr>
        <w:t xml:space="preserve"> 2013 Feb 22. </w:t>
      </w:r>
      <w:r w:rsidRPr="000923F0">
        <w:rPr>
          <w:rFonts w:ascii="Arial" w:hAnsi="Arial" w:cs="Arial"/>
          <w:sz w:val="20"/>
          <w:szCs w:val="20"/>
        </w:rPr>
        <w:t xml:space="preserve">PMID: </w:t>
      </w:r>
      <w:proofErr w:type="gramStart"/>
      <w:r w:rsidRPr="000923F0">
        <w:rPr>
          <w:rFonts w:ascii="Arial" w:hAnsi="Arial" w:cs="Arial"/>
          <w:sz w:val="20"/>
          <w:szCs w:val="20"/>
        </w:rPr>
        <w:t>23435462</w:t>
      </w:r>
      <w:proofErr w:type="gramEnd"/>
      <w:r w:rsidRPr="000923F0">
        <w:rPr>
          <w:rFonts w:ascii="Arial" w:hAnsi="Arial" w:cs="Arial"/>
          <w:sz w:val="20"/>
          <w:szCs w:val="20"/>
        </w:rPr>
        <w:t>.</w:t>
      </w:r>
    </w:p>
    <w:p w14:paraId="2ACD1F33" w14:textId="12C34F49" w:rsidR="00D426EB" w:rsidRPr="00D426EB" w:rsidRDefault="00D426EB" w:rsidP="00D426EB">
      <w:pPr>
        <w:pStyle w:val="Liststycke"/>
        <w:numPr>
          <w:ilvl w:val="0"/>
          <w:numId w:val="25"/>
        </w:numPr>
        <w:rPr>
          <w:rFonts w:ascii="Arial" w:hAnsi="Arial" w:cs="Arial"/>
          <w:sz w:val="20"/>
          <w:szCs w:val="20"/>
          <w:lang w:val="en-GB"/>
        </w:rPr>
      </w:pPr>
      <w:r w:rsidRPr="000923F0">
        <w:rPr>
          <w:rFonts w:ascii="Arial" w:hAnsi="Arial" w:cs="Arial"/>
          <w:sz w:val="20"/>
          <w:szCs w:val="20"/>
          <w:lang w:val="en-GB"/>
        </w:rPr>
        <w:t xml:space="preserve">J Feucht et al. </w:t>
      </w:r>
      <w:r w:rsidRPr="00D426EB">
        <w:rPr>
          <w:rFonts w:ascii="Arial" w:hAnsi="Arial" w:cs="Arial"/>
          <w:sz w:val="20"/>
          <w:szCs w:val="20"/>
          <w:lang w:val="en-GB"/>
        </w:rPr>
        <w:t xml:space="preserve">Adoptive T-cell therapy with </w:t>
      </w:r>
      <w:proofErr w:type="spellStart"/>
      <w:r w:rsidRPr="00D426EB">
        <w:rPr>
          <w:rFonts w:ascii="Arial" w:hAnsi="Arial" w:cs="Arial"/>
          <w:sz w:val="20"/>
          <w:szCs w:val="20"/>
          <w:lang w:val="en-GB"/>
        </w:rPr>
        <w:t>hexon</w:t>
      </w:r>
      <w:proofErr w:type="spellEnd"/>
      <w:r w:rsidRPr="00D426EB">
        <w:rPr>
          <w:rFonts w:ascii="Arial" w:hAnsi="Arial" w:cs="Arial"/>
          <w:sz w:val="20"/>
          <w:szCs w:val="20"/>
          <w:lang w:val="en-GB"/>
        </w:rPr>
        <w:t>-specific Th1 cells as a treatment of refractory adenovirus infection after HSCT, Blood 2015 Volume 125(12)</w:t>
      </w:r>
    </w:p>
    <w:p w14:paraId="1F250F02" w14:textId="033287BA" w:rsidR="00D426EB" w:rsidRPr="000923F0" w:rsidRDefault="00D426EB" w:rsidP="005F5F14">
      <w:pPr>
        <w:pStyle w:val="Liststycke"/>
        <w:numPr>
          <w:ilvl w:val="0"/>
          <w:numId w:val="25"/>
        </w:numPr>
        <w:rPr>
          <w:rFonts w:ascii="Arial" w:hAnsi="Arial" w:cs="Arial"/>
          <w:sz w:val="20"/>
          <w:szCs w:val="20"/>
        </w:rPr>
      </w:pPr>
      <w:r w:rsidRPr="000923F0">
        <w:rPr>
          <w:rFonts w:ascii="Arial" w:hAnsi="Arial" w:cs="Arial"/>
          <w:sz w:val="20"/>
          <w:szCs w:val="20"/>
          <w:lang w:val="en-GB"/>
        </w:rPr>
        <w:t xml:space="preserve">Simmons HZ, Bazzell AF, Dains JE. Adverse Effects of Virus-Specific T-Cell Therapy: An Integrative Review. J Adv </w:t>
      </w:r>
      <w:proofErr w:type="spellStart"/>
      <w:r w:rsidRPr="000923F0">
        <w:rPr>
          <w:rFonts w:ascii="Arial" w:hAnsi="Arial" w:cs="Arial"/>
          <w:sz w:val="20"/>
          <w:szCs w:val="20"/>
          <w:lang w:val="en-GB"/>
        </w:rPr>
        <w:t>Pract</w:t>
      </w:r>
      <w:proofErr w:type="spellEnd"/>
      <w:r w:rsidRPr="000923F0">
        <w:rPr>
          <w:rFonts w:ascii="Arial" w:hAnsi="Arial" w:cs="Arial"/>
          <w:sz w:val="20"/>
          <w:szCs w:val="20"/>
          <w:lang w:val="en-GB"/>
        </w:rPr>
        <w:t xml:space="preserve"> Oncol. </w:t>
      </w:r>
      <w:r w:rsidRPr="000923F0">
        <w:rPr>
          <w:rFonts w:ascii="Arial" w:hAnsi="Arial" w:cs="Arial"/>
          <w:sz w:val="20"/>
          <w:szCs w:val="20"/>
        </w:rPr>
        <w:t>2019;10(2):120–131.</w:t>
      </w:r>
    </w:p>
    <w:p w14:paraId="6BBD74D9" w14:textId="77777777" w:rsidR="00D426EB" w:rsidRPr="004D2D21" w:rsidRDefault="00D426EB" w:rsidP="00D426EB">
      <w:pPr>
        <w:pStyle w:val="Rubrik2"/>
        <w:ind w:left="0"/>
      </w:pPr>
      <w:r w:rsidRPr="004D2D21">
        <w:t>Granskare/arbetsgrupp</w:t>
      </w:r>
    </w:p>
    <w:p w14:paraId="5E38A0B7" w14:textId="77777777" w:rsidR="00D426EB" w:rsidRPr="000923F0" w:rsidRDefault="00D426EB" w:rsidP="00D426EB">
      <w:pPr>
        <w:spacing w:after="0" w:line="240" w:lineRule="auto"/>
        <w:ind w:left="0" w:right="0"/>
        <w:rPr>
          <w:rFonts w:ascii="Arial" w:hAnsi="Arial" w:cs="Arial"/>
          <w:sz w:val="20"/>
          <w:szCs w:val="20"/>
        </w:rPr>
      </w:pPr>
      <w:r w:rsidRPr="000923F0">
        <w:rPr>
          <w:rFonts w:ascii="Arial" w:hAnsi="Arial" w:cs="Arial"/>
          <w:sz w:val="20"/>
          <w:szCs w:val="20"/>
        </w:rPr>
        <w:t>Elin Öfverberg, barnsjuksköterska, Barncancercentrum.</w:t>
      </w:r>
    </w:p>
    <w:p w14:paraId="3D7A7E4C" w14:textId="77777777" w:rsidR="00D426EB" w:rsidRPr="000923F0" w:rsidRDefault="00D426EB" w:rsidP="000923F0">
      <w:pPr>
        <w:spacing w:after="0" w:line="240" w:lineRule="auto"/>
        <w:ind w:left="0" w:right="0"/>
        <w:rPr>
          <w:rFonts w:ascii="Arial" w:hAnsi="Arial" w:cs="Arial"/>
          <w:sz w:val="20"/>
          <w:szCs w:val="20"/>
        </w:rPr>
      </w:pPr>
      <w:r w:rsidRPr="000923F0">
        <w:rPr>
          <w:rFonts w:ascii="Arial" w:hAnsi="Arial" w:cs="Arial"/>
          <w:sz w:val="20"/>
          <w:szCs w:val="20"/>
        </w:rPr>
        <w:t>Sofia Frändberg, ansvarig överläkare stamcellslaboratoriet, klinisk immunologi och transfusionsmedicin SU.</w:t>
      </w:r>
    </w:p>
    <w:p w14:paraId="76B9F95B" w14:textId="0EB9FB5F" w:rsidR="00536A5A" w:rsidRPr="00BA2E7A" w:rsidRDefault="00536A5A" w:rsidP="00D426EB">
      <w:pPr>
        <w:pStyle w:val="Rubrik2"/>
        <w:ind w:left="0"/>
        <w:rPr>
          <w:rFonts w:ascii="Arial" w:hAnsi="Arial" w:cs="Arial"/>
          <w:sz w:val="20"/>
          <w:szCs w:val="20"/>
        </w:rPr>
      </w:pPr>
    </w:p>
    <w:sectPr w:rsidR="00536A5A" w:rsidRPr="00BA2E7A" w:rsidSect="004D2D2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3502B3" w14:textId="77777777" w:rsidR="00B93C13" w:rsidRDefault="00B93C13">
      <w:r>
        <w:separator/>
      </w:r>
    </w:p>
  </w:endnote>
  <w:endnote w:type="continuationSeparator" w:id="0">
    <w:p w14:paraId="3F29C4F8" w14:textId="77777777" w:rsidR="00B93C13" w:rsidRDefault="00B93C13">
      <w:r>
        <w:continuationSeparator/>
      </w:r>
    </w:p>
  </w:endnote>
  <w:endnote w:type="continuationNotice" w:id="1">
    <w:p w14:paraId="0F94FCCC" w14:textId="77777777" w:rsidR="00B93C13" w:rsidRDefault="00B93C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9A91B5" w14:textId="77777777" w:rsidR="00B93C13" w:rsidRDefault="00B93C13"/>
  </w:footnote>
  <w:footnote w:type="continuationSeparator" w:id="0">
    <w:p w14:paraId="5A519E8B" w14:textId="77777777" w:rsidR="00B93C13" w:rsidRDefault="00B93C13">
      <w:r>
        <w:continuationSeparator/>
      </w:r>
    </w:p>
  </w:footnote>
  <w:footnote w:type="continuationNotice" w:id="1">
    <w:p w14:paraId="03F91803" w14:textId="77777777" w:rsidR="00B93C13" w:rsidRDefault="00B93C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037EFB"/>
    <w:multiLevelType w:val="hybridMultilevel"/>
    <w:tmpl w:val="52D87C4C"/>
    <w:lvl w:ilvl="0" w:tplc="FFFFFFFF">
      <w:numFmt w:val="bullet"/>
      <w:lvlText w:val="-"/>
      <w:lvlJc w:val="left"/>
      <w:pPr>
        <w:ind w:left="360" w:hanging="360"/>
      </w:pPr>
      <w:rPr>
        <w:rFonts w:ascii="Arial" w:eastAsia="Times New Roman" w:hAnsi="Arial" w:cs="Aria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6F81649"/>
    <w:multiLevelType w:val="hybridMultilevel"/>
    <w:tmpl w:val="735CFA04"/>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60A1FB2"/>
    <w:multiLevelType w:val="hybridMultilevel"/>
    <w:tmpl w:val="263AFAAC"/>
    <w:lvl w:ilvl="0" w:tplc="FFFFFFFF">
      <w:numFmt w:val="bullet"/>
      <w:lvlText w:val="-"/>
      <w:lvlJc w:val="left"/>
      <w:pPr>
        <w:ind w:left="360" w:hanging="360"/>
      </w:pPr>
      <w:rPr>
        <w:rFonts w:ascii="Arial" w:eastAsia="Times New Roman" w:hAnsi="Arial" w:cs="Aria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485A759F"/>
    <w:multiLevelType w:val="hybridMultilevel"/>
    <w:tmpl w:val="34D08A40"/>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24278E9"/>
    <w:multiLevelType w:val="hybridMultilevel"/>
    <w:tmpl w:val="A0845F00"/>
    <w:lvl w:ilvl="0" w:tplc="35D4636C">
      <w:start w:val="1"/>
      <w:numFmt w:val="decimal"/>
      <w:lvlText w:val="%1."/>
      <w:lvlJc w:val="left"/>
      <w:pPr>
        <w:ind w:left="720" w:hanging="360"/>
      </w:pPr>
      <w:rPr>
        <w:rFonts w:ascii="Times New Roman" w:hAnsi="Times New Roman" w:cs="Times New Roman" w:hint="default"/>
        <w:sz w:val="24"/>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8C06E82"/>
    <w:multiLevelType w:val="hybridMultilevel"/>
    <w:tmpl w:val="CE7E32B2"/>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01825794">
    <w:abstractNumId w:val="23"/>
  </w:num>
  <w:num w:numId="2" w16cid:durableId="1182628210">
    <w:abstractNumId w:val="19"/>
  </w:num>
  <w:num w:numId="3" w16cid:durableId="310447847">
    <w:abstractNumId w:val="0"/>
  </w:num>
  <w:num w:numId="4" w16cid:durableId="1542747028">
    <w:abstractNumId w:val="7"/>
  </w:num>
  <w:num w:numId="5" w16cid:durableId="1749226235">
    <w:abstractNumId w:val="21"/>
  </w:num>
  <w:num w:numId="6" w16cid:durableId="993678040">
    <w:abstractNumId w:val="2"/>
  </w:num>
  <w:num w:numId="7" w16cid:durableId="661349062">
    <w:abstractNumId w:val="13"/>
  </w:num>
  <w:num w:numId="8" w16cid:durableId="1138374838">
    <w:abstractNumId w:val="10"/>
  </w:num>
  <w:num w:numId="9" w16cid:durableId="1975065216">
    <w:abstractNumId w:val="1"/>
  </w:num>
  <w:num w:numId="10" w16cid:durableId="1784567529">
    <w:abstractNumId w:val="1"/>
  </w:num>
  <w:num w:numId="11" w16cid:durableId="152332792">
    <w:abstractNumId w:val="3"/>
  </w:num>
  <w:num w:numId="12" w16cid:durableId="14237447">
    <w:abstractNumId w:val="5"/>
  </w:num>
  <w:num w:numId="13" w16cid:durableId="774636559">
    <w:abstractNumId w:val="18"/>
  </w:num>
  <w:num w:numId="14" w16cid:durableId="98377685">
    <w:abstractNumId w:val="11"/>
  </w:num>
  <w:num w:numId="15" w16cid:durableId="928544083">
    <w:abstractNumId w:val="8"/>
  </w:num>
  <w:num w:numId="16" w16cid:durableId="329408029">
    <w:abstractNumId w:val="16"/>
  </w:num>
  <w:num w:numId="17" w16cid:durableId="407731464">
    <w:abstractNumId w:val="6"/>
  </w:num>
  <w:num w:numId="18" w16cid:durableId="977031256">
    <w:abstractNumId w:val="12"/>
  </w:num>
  <w:num w:numId="19" w16cid:durableId="567114524">
    <w:abstractNumId w:val="22"/>
  </w:num>
  <w:num w:numId="20" w16cid:durableId="1021780664">
    <w:abstractNumId w:val="9"/>
  </w:num>
  <w:num w:numId="21" w16cid:durableId="1681930137">
    <w:abstractNumId w:val="15"/>
  </w:num>
  <w:num w:numId="22" w16cid:durableId="39866933">
    <w:abstractNumId w:val="20"/>
  </w:num>
  <w:num w:numId="23" w16cid:durableId="1090614085">
    <w:abstractNumId w:val="17"/>
  </w:num>
  <w:num w:numId="24" w16cid:durableId="935134575">
    <w:abstractNumId w:val="14"/>
  </w:num>
  <w:num w:numId="25" w16cid:durableId="6754950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397"/>
    <w:rsid w:val="0002435C"/>
    <w:rsid w:val="00030DDD"/>
    <w:rsid w:val="000313BB"/>
    <w:rsid w:val="00033ED5"/>
    <w:rsid w:val="00050500"/>
    <w:rsid w:val="0005691C"/>
    <w:rsid w:val="00056ECB"/>
    <w:rsid w:val="00056ED5"/>
    <w:rsid w:val="000655CC"/>
    <w:rsid w:val="000700AE"/>
    <w:rsid w:val="00084024"/>
    <w:rsid w:val="0009062C"/>
    <w:rsid w:val="000923F0"/>
    <w:rsid w:val="00095368"/>
    <w:rsid w:val="000954C4"/>
    <w:rsid w:val="000A4C35"/>
    <w:rsid w:val="000A611A"/>
    <w:rsid w:val="000A63F2"/>
    <w:rsid w:val="000B12D9"/>
    <w:rsid w:val="000B4536"/>
    <w:rsid w:val="000B7715"/>
    <w:rsid w:val="000C017B"/>
    <w:rsid w:val="000E463B"/>
    <w:rsid w:val="000E5A7E"/>
    <w:rsid w:val="000F43A3"/>
    <w:rsid w:val="000F7681"/>
    <w:rsid w:val="00103031"/>
    <w:rsid w:val="001044FE"/>
    <w:rsid w:val="00111A13"/>
    <w:rsid w:val="001139D4"/>
    <w:rsid w:val="00120C5B"/>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96E86"/>
    <w:rsid w:val="001A4E7C"/>
    <w:rsid w:val="001B5438"/>
    <w:rsid w:val="001B762C"/>
    <w:rsid w:val="001C4D0A"/>
    <w:rsid w:val="001C5FEF"/>
    <w:rsid w:val="001F296C"/>
    <w:rsid w:val="00211487"/>
    <w:rsid w:val="00211D91"/>
    <w:rsid w:val="00217DEC"/>
    <w:rsid w:val="00221DFE"/>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684B"/>
    <w:rsid w:val="003203D7"/>
    <w:rsid w:val="00320F86"/>
    <w:rsid w:val="00324171"/>
    <w:rsid w:val="00326C24"/>
    <w:rsid w:val="00337F99"/>
    <w:rsid w:val="0034307B"/>
    <w:rsid w:val="00345EB1"/>
    <w:rsid w:val="00350CC4"/>
    <w:rsid w:val="003564DF"/>
    <w:rsid w:val="00360E0D"/>
    <w:rsid w:val="0036357D"/>
    <w:rsid w:val="00363B23"/>
    <w:rsid w:val="0036594C"/>
    <w:rsid w:val="00367D19"/>
    <w:rsid w:val="00371BED"/>
    <w:rsid w:val="00384019"/>
    <w:rsid w:val="003854F1"/>
    <w:rsid w:val="0039118E"/>
    <w:rsid w:val="00393EF7"/>
    <w:rsid w:val="00397F54"/>
    <w:rsid w:val="003A0D43"/>
    <w:rsid w:val="003B2A4B"/>
    <w:rsid w:val="003D099E"/>
    <w:rsid w:val="003D21A2"/>
    <w:rsid w:val="003D29D2"/>
    <w:rsid w:val="003E0705"/>
    <w:rsid w:val="003E2FF7"/>
    <w:rsid w:val="003F1013"/>
    <w:rsid w:val="003F1ACF"/>
    <w:rsid w:val="00402EBE"/>
    <w:rsid w:val="00404948"/>
    <w:rsid w:val="004056F0"/>
    <w:rsid w:val="00406BEA"/>
    <w:rsid w:val="004103FD"/>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2D21"/>
    <w:rsid w:val="004D7BA3"/>
    <w:rsid w:val="004F4518"/>
    <w:rsid w:val="004F4C62"/>
    <w:rsid w:val="004F73B1"/>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0334"/>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6A49"/>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6F54"/>
    <w:rsid w:val="007D4241"/>
    <w:rsid w:val="007D4317"/>
    <w:rsid w:val="007D4EA3"/>
    <w:rsid w:val="007F1CFF"/>
    <w:rsid w:val="007F5DD5"/>
    <w:rsid w:val="00815846"/>
    <w:rsid w:val="00820BEF"/>
    <w:rsid w:val="00821A1B"/>
    <w:rsid w:val="008262E9"/>
    <w:rsid w:val="00827E69"/>
    <w:rsid w:val="00835C4D"/>
    <w:rsid w:val="00843F48"/>
    <w:rsid w:val="00851423"/>
    <w:rsid w:val="0085146E"/>
    <w:rsid w:val="00857848"/>
    <w:rsid w:val="008654B6"/>
    <w:rsid w:val="0087139C"/>
    <w:rsid w:val="00880043"/>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47E39"/>
    <w:rsid w:val="00950E4E"/>
    <w:rsid w:val="009529BD"/>
    <w:rsid w:val="009533B4"/>
    <w:rsid w:val="00954496"/>
    <w:rsid w:val="00971D93"/>
    <w:rsid w:val="009751E5"/>
    <w:rsid w:val="0099649F"/>
    <w:rsid w:val="009B1F6B"/>
    <w:rsid w:val="009C0D12"/>
    <w:rsid w:val="009C192E"/>
    <w:rsid w:val="009C5730"/>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34C3"/>
    <w:rsid w:val="00A54A0B"/>
    <w:rsid w:val="00A639CA"/>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17CF4"/>
    <w:rsid w:val="00B20906"/>
    <w:rsid w:val="00B26B0C"/>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3C13"/>
    <w:rsid w:val="00B93E95"/>
    <w:rsid w:val="00BA0066"/>
    <w:rsid w:val="00BA2E7A"/>
    <w:rsid w:val="00BB69DB"/>
    <w:rsid w:val="00BC322E"/>
    <w:rsid w:val="00BC44CD"/>
    <w:rsid w:val="00BC48A6"/>
    <w:rsid w:val="00BE7978"/>
    <w:rsid w:val="00C07DDB"/>
    <w:rsid w:val="00C244DD"/>
    <w:rsid w:val="00C4115D"/>
    <w:rsid w:val="00C43BDD"/>
    <w:rsid w:val="00C47778"/>
    <w:rsid w:val="00C5011E"/>
    <w:rsid w:val="00C50EE5"/>
    <w:rsid w:val="00C5240A"/>
    <w:rsid w:val="00C5398F"/>
    <w:rsid w:val="00C556F5"/>
    <w:rsid w:val="00C70E19"/>
    <w:rsid w:val="00C72574"/>
    <w:rsid w:val="00C7430C"/>
    <w:rsid w:val="00C77931"/>
    <w:rsid w:val="00C85DA1"/>
    <w:rsid w:val="00C9071C"/>
    <w:rsid w:val="00C908FF"/>
    <w:rsid w:val="00C97BD3"/>
    <w:rsid w:val="00CA39EF"/>
    <w:rsid w:val="00CA521F"/>
    <w:rsid w:val="00CB0493"/>
    <w:rsid w:val="00CB17FF"/>
    <w:rsid w:val="00CB1ED7"/>
    <w:rsid w:val="00CC167C"/>
    <w:rsid w:val="00CC52D9"/>
    <w:rsid w:val="00CD6647"/>
    <w:rsid w:val="00CE4B73"/>
    <w:rsid w:val="00CF12C8"/>
    <w:rsid w:val="00CF70BB"/>
    <w:rsid w:val="00D05603"/>
    <w:rsid w:val="00D074DB"/>
    <w:rsid w:val="00D139CF"/>
    <w:rsid w:val="00D349AE"/>
    <w:rsid w:val="00D37E7F"/>
    <w:rsid w:val="00D426EB"/>
    <w:rsid w:val="00D47AD7"/>
    <w:rsid w:val="00D51529"/>
    <w:rsid w:val="00D85218"/>
    <w:rsid w:val="00D85AEF"/>
    <w:rsid w:val="00D915B1"/>
    <w:rsid w:val="00DA299D"/>
    <w:rsid w:val="00DA65C4"/>
    <w:rsid w:val="00DB01EB"/>
    <w:rsid w:val="00DD2BE0"/>
    <w:rsid w:val="00DE4447"/>
    <w:rsid w:val="00DE5DA2"/>
    <w:rsid w:val="00DF0033"/>
    <w:rsid w:val="00DF796C"/>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7A0E"/>
    <w:rsid w:val="00F22264"/>
    <w:rsid w:val="00F2564D"/>
    <w:rsid w:val="00F31A03"/>
    <w:rsid w:val="00F35329"/>
    <w:rsid w:val="00F35B05"/>
    <w:rsid w:val="00F413D9"/>
    <w:rsid w:val="00F5135F"/>
    <w:rsid w:val="00F51F78"/>
    <w:rsid w:val="00F66220"/>
    <w:rsid w:val="00F86F47"/>
    <w:rsid w:val="00F90B64"/>
    <w:rsid w:val="00FB01D4"/>
    <w:rsid w:val="00FB2F0F"/>
    <w:rsid w:val="00FB5086"/>
    <w:rsid w:val="00FB5411"/>
    <w:rsid w:val="00FB6392"/>
    <w:rsid w:val="00FD3C70"/>
    <w:rsid w:val="00FD6820"/>
    <w:rsid w:val="00FE12D8"/>
    <w:rsid w:val="00FF7C02"/>
    <w:rsid w:val="024801E3"/>
    <w:rsid w:val="08193706"/>
    <w:rsid w:val="1169FF65"/>
    <w:rsid w:val="28C9FF49"/>
    <w:rsid w:val="2C01A00B"/>
    <w:rsid w:val="31B55D8B"/>
    <w:rsid w:val="3E1E51FA"/>
    <w:rsid w:val="46BB6274"/>
    <w:rsid w:val="47493BA5"/>
    <w:rsid w:val="647B2B65"/>
    <w:rsid w:val="6B2CF8ED"/>
    <w:rsid w:val="6F25491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393EF7"/>
    <w:rPr>
      <w:color w:val="605E5C"/>
      <w:shd w:val="clear" w:color="auto" w:fill="E1DFDD"/>
    </w:rPr>
  </w:style>
  <w:style w:type="paragraph" w:styleId="Brdtext">
    <w:name w:val="Body Text"/>
    <w:basedOn w:val="Normal"/>
    <w:link w:val="BrdtextChar"/>
    <w:uiPriority w:val="1"/>
    <w:qFormat/>
    <w:rsid w:val="00DB01EB"/>
    <w:pPr>
      <w:widowControl w:val="0"/>
      <w:autoSpaceDE w:val="0"/>
      <w:autoSpaceDN w:val="0"/>
      <w:spacing w:after="0" w:line="240" w:lineRule="auto"/>
      <w:ind w:left="0" w:right="0"/>
    </w:pPr>
    <w:rPr>
      <w:rFonts w:ascii="Arial" w:eastAsia="Arial" w:hAnsi="Arial" w:cs="Arial"/>
      <w:sz w:val="20"/>
      <w:szCs w:val="20"/>
      <w:lang w:val="en-US" w:eastAsia="en-US"/>
    </w:rPr>
  </w:style>
  <w:style w:type="character" w:customStyle="1" w:styleId="BrdtextChar">
    <w:name w:val="Brödtext Char"/>
    <w:basedOn w:val="Standardstycketeckensnitt"/>
    <w:link w:val="Brdtext"/>
    <w:uiPriority w:val="1"/>
    <w:rsid w:val="00DB01EB"/>
    <w:rPr>
      <w:rFonts w:ascii="Arial" w:eastAsia="Arial" w:hAnsi="Arial" w:cs="Arial"/>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file://\\vgregion.se\Hem\SU-006\soffr1\PMBarnkliniken\Kaeuferle,%20T.,%20Krauss,%20R.,%20Blaeschke,%20F.&#160;et%20al.&#160;(2019).%20Strategies%20of%20adoptive%20T%20-cell%20transfer%20to%20treat%20refractory%20viral%20infections%20post%20allogeneic%20stem%20cell%20transplantation.&#160;Journal%20of%20Hematology%20&amp;l%20Oncology.%20s&#160;12-13%20https:\doi.org\10.1186\s13045-019-0701-1"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lakemedelsverket.se/sv/lagar-och-regler/vagledningar/vagledning-till-lakemedelsverkets-foreskrifter-lvfs-2011-3-om-lakemedel-som-omfattas-av-sjukhusundantag"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ebmt.org/education/ebmt-handbook"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56</TotalTime>
  <Pages>4</Pages>
  <Words>1478</Words>
  <Characters>10402</Characters>
  <Application>Microsoft Office Word</Application>
  <DocSecurity>0</DocSecurity>
  <Lines>86</Lines>
  <Paragraphs>23</Paragraphs>
  <ScaleCrop>false</ScaleCrop>
  <Manager/>
  <Company/>
  <LinksUpToDate>false</LinksUpToDate>
  <CharactersWithSpaces>11857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SCT - Virusspecifika T-celler</dc:title>
  <dc:subject/>
  <dc:creator>patrik.jens.johansson@vgregion.se</dc:creator>
  <keywords/>
  <lastModifiedBy>Elin Öfverberg</lastModifiedBy>
  <revision>45</revision>
  <lastPrinted>2016-03-31T10:56:00.0000000Z</lastPrinted>
  <dcterms:created xsi:type="dcterms:W3CDTF">2022-05-05T07:40:00.0000000Z</dcterms:created>
  <dcterms:modified xsi:type="dcterms:W3CDTF">2025-11-19T14:06:00.0000000Z</dcterms:modified>
</coreProperties>
</file>