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125A4B" w14:textId="77777777" w:rsidR="009C25E1" w:rsidRDefault="009C25E1" w:rsidP="009C25E1">
      <w:pPr>
        <w:pStyle w:val="Rubrik2"/>
        <w:ind w:left="0"/>
        <w:sectPr w:rsidR="009C25E1" w:rsidSect="009C25E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r>
        <w:t>SCT - Blodgruppsinkompabilitet</w:t>
      </w:r>
    </w:p>
    <w:p w14:paraId="351EA6EB" w14:textId="77777777" w:rsidR="009C25E1" w:rsidRPr="006B2B47" w:rsidRDefault="009C25E1" w:rsidP="009C25E1">
      <w:pPr>
        <w:pStyle w:val="Rubrik2"/>
        <w:ind w:left="0"/>
      </w:pPr>
      <w:r w:rsidRPr="006B2B47">
        <w:t>Revideringar i denna version</w:t>
      </w:r>
    </w:p>
    <w:p w14:paraId="4D730F01" w14:textId="5F9B5FBA" w:rsidR="009C25E1" w:rsidRPr="006B2B47" w:rsidRDefault="009C25E1" w:rsidP="009C25E1">
      <w:pPr>
        <w:spacing w:after="0" w:line="240" w:lineRule="auto"/>
        <w:ind w:left="0" w:right="0"/>
        <w:rPr>
          <w:rFonts w:ascii="Arial" w:hAnsi="Arial" w:cs="Arial"/>
          <w:sz w:val="20"/>
        </w:rPr>
      </w:pPr>
      <w:r w:rsidRPr="006B2B47">
        <w:rPr>
          <w:rFonts w:ascii="Arial" w:hAnsi="Arial" w:cs="Arial"/>
          <w:sz w:val="20"/>
        </w:rPr>
        <w:t xml:space="preserve">Ersätter version </w:t>
      </w:r>
      <w:r>
        <w:rPr>
          <w:rFonts w:ascii="Arial" w:hAnsi="Arial" w:cs="Arial"/>
          <w:sz w:val="20"/>
        </w:rPr>
        <w:t>5</w:t>
      </w:r>
      <w:r w:rsidRPr="006B2B47">
        <w:rPr>
          <w:rFonts w:ascii="Arial" w:hAnsi="Arial" w:cs="Arial"/>
          <w:sz w:val="20"/>
        </w:rPr>
        <w:t xml:space="preserve">, publicerat </w:t>
      </w:r>
      <w:r>
        <w:rPr>
          <w:rFonts w:ascii="Arial" w:hAnsi="Arial" w:cs="Arial"/>
          <w:sz w:val="20"/>
        </w:rPr>
        <w:t>2022-01-02</w:t>
      </w:r>
      <w:r w:rsidRPr="006B2B47">
        <w:rPr>
          <w:rFonts w:ascii="Arial" w:hAnsi="Arial" w:cs="Arial"/>
          <w:sz w:val="20"/>
        </w:rPr>
        <w:t xml:space="preserve">. </w:t>
      </w:r>
      <w:r>
        <w:rPr>
          <w:rFonts w:ascii="Arial" w:hAnsi="Arial" w:cs="Arial"/>
          <w:sz w:val="20"/>
        </w:rPr>
        <w:t>Ändring i var dokumentation sker avseende blodgrupp hos donator och patient samt utökad text under rubriken RhD-mismatch.</w:t>
      </w:r>
    </w:p>
    <w:p w14:paraId="52137CA4" w14:textId="77777777" w:rsidR="009C25E1" w:rsidRPr="006B2B47" w:rsidRDefault="009C25E1" w:rsidP="009C25E1">
      <w:pPr>
        <w:pStyle w:val="Rubrik2"/>
        <w:ind w:left="0"/>
      </w:pPr>
      <w:r w:rsidRPr="006B2B47">
        <w:t>Bakgrund/Syfte</w:t>
      </w:r>
    </w:p>
    <w:p w14:paraId="50A19344" w14:textId="77777777" w:rsidR="009C25E1" w:rsidRPr="006B2B47" w:rsidRDefault="009C25E1" w:rsidP="009C25E1">
      <w:pPr>
        <w:spacing w:after="0" w:line="240" w:lineRule="auto"/>
        <w:ind w:left="0" w:right="0"/>
        <w:rPr>
          <w:rFonts w:ascii="Arial" w:hAnsi="Arial" w:cs="Arial"/>
          <w:sz w:val="20"/>
        </w:rPr>
      </w:pPr>
      <w:r w:rsidRPr="006B2B47">
        <w:rPr>
          <w:rFonts w:ascii="Arial" w:hAnsi="Arial" w:cs="Arial"/>
          <w:sz w:val="20"/>
        </w:rPr>
        <w:t>Detta PM beskriver åtgärder för att förebygga akuta och sena reaktioner till följd av blodgruppsinkompatibilitet mellan patient och donator vid allogen stamcellstransplantation.</w:t>
      </w:r>
    </w:p>
    <w:p w14:paraId="619B82EC" w14:textId="77777777" w:rsidR="009C25E1" w:rsidRPr="006B2B47" w:rsidRDefault="009C25E1" w:rsidP="009C25E1">
      <w:pPr>
        <w:spacing w:after="0" w:line="240" w:lineRule="auto"/>
        <w:ind w:left="0" w:right="0"/>
        <w:rPr>
          <w:rFonts w:ascii="Arial" w:hAnsi="Arial" w:cs="Arial"/>
          <w:sz w:val="20"/>
        </w:rPr>
      </w:pPr>
    </w:p>
    <w:p w14:paraId="25FA952B" w14:textId="77777777" w:rsidR="009C25E1" w:rsidRPr="006B2B47" w:rsidRDefault="009C25E1" w:rsidP="009C25E1">
      <w:pPr>
        <w:spacing w:after="0" w:line="240" w:lineRule="auto"/>
        <w:ind w:left="0" w:right="0"/>
        <w:rPr>
          <w:rFonts w:ascii="Arial" w:hAnsi="Arial" w:cs="Arial"/>
          <w:sz w:val="20"/>
        </w:rPr>
      </w:pPr>
      <w:r w:rsidRPr="006B2B47">
        <w:rPr>
          <w:rFonts w:ascii="Arial" w:hAnsi="Arial" w:cs="Arial"/>
          <w:sz w:val="20"/>
        </w:rPr>
        <w:t>ABO-antigen ärvs oberoende av HLA-typ. I Skandinavien har ca 20% av HLA-identiska syskon olika blodgrupper. Blodgruppsinkompatibilitet mellan patient och donator innebär ingen kontraindikation för transplantation men kan leda till allvarliga biverkningar och måste därför beaktas. Det gäller främst AB0-systemet, men det finns också rapporter om komplikationer vid inkompatibilitet i andra blodgruppssystem.</w:t>
      </w:r>
    </w:p>
    <w:p w14:paraId="193948A6" w14:textId="77777777" w:rsidR="009C25E1" w:rsidRPr="006B2B47" w:rsidRDefault="009C25E1" w:rsidP="009C25E1">
      <w:pPr>
        <w:spacing w:after="0" w:line="240" w:lineRule="auto"/>
        <w:ind w:left="0" w:right="0"/>
        <w:rPr>
          <w:rFonts w:ascii="Arial" w:hAnsi="Arial" w:cs="Arial"/>
          <w:sz w:val="20"/>
        </w:rPr>
      </w:pPr>
    </w:p>
    <w:p w14:paraId="45A4BA5B" w14:textId="77777777" w:rsidR="009C25E1" w:rsidRPr="006B2B47" w:rsidRDefault="009C25E1" w:rsidP="009C25E1">
      <w:pPr>
        <w:spacing w:after="0" w:line="240" w:lineRule="auto"/>
        <w:ind w:left="0" w:right="0"/>
        <w:rPr>
          <w:rFonts w:ascii="Arial" w:hAnsi="Arial" w:cs="Arial"/>
          <w:sz w:val="20"/>
        </w:rPr>
      </w:pPr>
      <w:r w:rsidRPr="006B2B47">
        <w:rPr>
          <w:rFonts w:ascii="Arial" w:hAnsi="Arial" w:cs="Arial"/>
          <w:sz w:val="20"/>
        </w:rPr>
        <w:t xml:space="preserve">Studier har visat att blodgruppsinkompatibilitet inte påverkar faktorer som överlevnad, tid till take eller förekomst av GvHD (1) vid stamcellstransplantation av barn. Däremot finns rapporter på vuxna patienter som visar korrelation mellan ABO-inkompatibilitet och t ex incidensen av rejektion av transplantatet (2). </w:t>
      </w:r>
    </w:p>
    <w:p w14:paraId="5B8E1BC9" w14:textId="77777777" w:rsidR="009C25E1" w:rsidRPr="006B2B47" w:rsidRDefault="009C25E1" w:rsidP="009C25E1">
      <w:pPr>
        <w:spacing w:after="0" w:line="240" w:lineRule="auto"/>
        <w:ind w:left="0" w:right="0"/>
        <w:rPr>
          <w:rFonts w:ascii="Arial" w:hAnsi="Arial" w:cs="Arial"/>
          <w:sz w:val="20"/>
        </w:rPr>
      </w:pPr>
    </w:p>
    <w:p w14:paraId="75CCC8FB" w14:textId="77777777" w:rsidR="009C25E1" w:rsidRPr="006B2B47" w:rsidRDefault="009C25E1" w:rsidP="009C25E1">
      <w:pPr>
        <w:spacing w:after="0" w:line="240" w:lineRule="auto"/>
        <w:ind w:left="0" w:right="0"/>
        <w:rPr>
          <w:rFonts w:ascii="Arial" w:hAnsi="Arial" w:cs="Arial"/>
          <w:sz w:val="20"/>
        </w:rPr>
      </w:pPr>
      <w:r w:rsidRPr="006B2B47">
        <w:rPr>
          <w:rFonts w:ascii="Arial" w:hAnsi="Arial" w:cs="Arial"/>
          <w:sz w:val="20"/>
        </w:rPr>
        <w:t xml:space="preserve">Vid infusion av en icke blodgruppskompatibel cellprodukt kan </w:t>
      </w:r>
      <w:r w:rsidRPr="006B2B47">
        <w:rPr>
          <w:rFonts w:ascii="Arial" w:hAnsi="Arial" w:cs="Arial"/>
          <w:i/>
          <w:sz w:val="20"/>
        </w:rPr>
        <w:t>akuta</w:t>
      </w:r>
      <w:r w:rsidRPr="006B2B47">
        <w:rPr>
          <w:rFonts w:ascii="Arial" w:hAnsi="Arial" w:cs="Arial"/>
          <w:sz w:val="20"/>
        </w:rPr>
        <w:t xml:space="preserve"> symptom ses såsom feber, frossa, hemoglobinuri, ryggsmärtor och blodtrycksstegring. Även</w:t>
      </w:r>
      <w:r w:rsidRPr="006B2B47">
        <w:rPr>
          <w:rFonts w:ascii="Arial" w:hAnsi="Arial" w:cs="Arial"/>
          <w:i/>
          <w:sz w:val="20"/>
        </w:rPr>
        <w:t xml:space="preserve"> sena</w:t>
      </w:r>
      <w:r w:rsidRPr="006B2B47">
        <w:rPr>
          <w:rFonts w:ascii="Arial" w:hAnsi="Arial" w:cs="Arial"/>
          <w:sz w:val="20"/>
        </w:rPr>
        <w:t xml:space="preserve"> reaktioner kan uppstå såsom hemolytiska tillstånd och ibland dåligt fungerande erytropoes med i sällsynta fall utveckling till pure red cell anemi. </w:t>
      </w:r>
    </w:p>
    <w:p w14:paraId="4C4732A7" w14:textId="77777777" w:rsidR="009C25E1" w:rsidRPr="006B2B47" w:rsidRDefault="009C25E1" w:rsidP="009C25E1">
      <w:pPr>
        <w:pStyle w:val="Rubrik2"/>
        <w:ind w:left="0"/>
      </w:pPr>
      <w:r w:rsidRPr="006B2B47">
        <w:t>Arbetsbeskrivning</w:t>
      </w:r>
    </w:p>
    <w:p w14:paraId="626F190B" w14:textId="77777777" w:rsidR="009C25E1" w:rsidRPr="006B2B47" w:rsidRDefault="009C25E1" w:rsidP="009C25E1">
      <w:pPr>
        <w:pStyle w:val="Rubrik3"/>
        <w:ind w:left="0"/>
        <w:rPr>
          <w:lang w:eastAsia="ar-SA"/>
        </w:rPr>
      </w:pPr>
      <w:r w:rsidRPr="006B2B47">
        <w:rPr>
          <w:lang w:eastAsia="ar-SA"/>
        </w:rPr>
        <w:t>Definitioner:</w:t>
      </w:r>
    </w:p>
    <w:p w14:paraId="5B2095CF" w14:textId="77777777" w:rsidR="009C25E1" w:rsidRPr="006B2B47" w:rsidRDefault="009C25E1" w:rsidP="009C25E1">
      <w:pPr>
        <w:keepNext/>
        <w:tabs>
          <w:tab w:val="num" w:pos="432"/>
        </w:tabs>
        <w:suppressAutoHyphens/>
        <w:spacing w:after="0" w:line="240" w:lineRule="auto"/>
        <w:ind w:left="432" w:right="0" w:hanging="432"/>
        <w:outlineLvl w:val="0"/>
        <w:rPr>
          <w:rFonts w:ascii="Arial" w:hAnsi="Arial" w:cs="Arial"/>
          <w:b/>
          <w:bCs/>
          <w:sz w:val="20"/>
          <w:szCs w:val="20"/>
          <w:lang w:eastAsia="ar-SA"/>
        </w:rPr>
      </w:pPr>
    </w:p>
    <w:p w14:paraId="0C2005BC" w14:textId="77777777" w:rsidR="009C25E1" w:rsidRPr="006B2B47" w:rsidRDefault="009C25E1" w:rsidP="009C25E1">
      <w:pPr>
        <w:keepNext/>
        <w:numPr>
          <w:ilvl w:val="0"/>
          <w:numId w:val="23"/>
        </w:numPr>
        <w:suppressAutoHyphens/>
        <w:spacing w:after="0" w:line="240" w:lineRule="auto"/>
        <w:ind w:right="0"/>
        <w:outlineLvl w:val="0"/>
        <w:rPr>
          <w:rFonts w:ascii="Arial" w:hAnsi="Arial" w:cs="Arial"/>
          <w:bCs/>
          <w:sz w:val="20"/>
          <w:szCs w:val="20"/>
          <w:lang w:eastAsia="ar-SA"/>
        </w:rPr>
      </w:pPr>
      <w:r w:rsidRPr="006B2B47">
        <w:rPr>
          <w:rFonts w:ascii="Arial" w:hAnsi="Arial" w:cs="Arial"/>
          <w:b/>
          <w:bCs/>
          <w:i/>
          <w:sz w:val="20"/>
          <w:szCs w:val="20"/>
          <w:lang w:eastAsia="ar-SA"/>
        </w:rPr>
        <w:t>Erytrocytantigen,</w:t>
      </w:r>
      <w:r w:rsidRPr="006B2B47">
        <w:rPr>
          <w:rFonts w:ascii="Arial" w:hAnsi="Arial" w:cs="Arial"/>
          <w:bCs/>
          <w:sz w:val="20"/>
          <w:szCs w:val="20"/>
          <w:lang w:eastAsia="ar-SA"/>
        </w:rPr>
        <w:t xml:space="preserve"> polymorfa protein/kolhydrat strukturer som uttrycks på erytrocytmembran och ibland också andra vävnader (histo-blodgrupp). Vid kontakt med erytrocytantigen man själv saknar kan man immuniseras och bilda antikroppar. </w:t>
      </w:r>
    </w:p>
    <w:p w14:paraId="4388C77A" w14:textId="77777777" w:rsidR="009C25E1" w:rsidRPr="006B2B47" w:rsidRDefault="009C25E1" w:rsidP="009C25E1">
      <w:pPr>
        <w:keepNext/>
        <w:numPr>
          <w:ilvl w:val="0"/>
          <w:numId w:val="23"/>
        </w:numPr>
        <w:suppressAutoHyphens/>
        <w:spacing w:after="0" w:line="240" w:lineRule="auto"/>
        <w:ind w:right="0"/>
        <w:outlineLvl w:val="0"/>
        <w:rPr>
          <w:rFonts w:ascii="Arial" w:hAnsi="Arial" w:cs="Arial"/>
          <w:bCs/>
          <w:sz w:val="20"/>
          <w:szCs w:val="20"/>
          <w:lang w:eastAsia="ar-SA"/>
        </w:rPr>
      </w:pPr>
      <w:r w:rsidRPr="006B2B47">
        <w:rPr>
          <w:rFonts w:ascii="Arial" w:hAnsi="Arial" w:cs="Arial"/>
          <w:b/>
          <w:bCs/>
          <w:i/>
          <w:sz w:val="20"/>
          <w:szCs w:val="20"/>
          <w:lang w:eastAsia="ar-SA"/>
        </w:rPr>
        <w:t>Blodgruppssystem</w:t>
      </w:r>
      <w:r w:rsidRPr="006B2B47">
        <w:rPr>
          <w:rFonts w:ascii="Arial" w:hAnsi="Arial" w:cs="Arial"/>
          <w:bCs/>
          <w:sz w:val="20"/>
          <w:szCs w:val="20"/>
          <w:lang w:eastAsia="ar-SA"/>
        </w:rPr>
        <w:t xml:space="preserve">, erytrocytantigen vars uttryck styrs av samma gen-kluster, olika alleler leder till skillnader i uttryck av erytrocytantigen mellan individer. Det finns i nuläget </w:t>
      </w:r>
      <w:r>
        <w:rPr>
          <w:rFonts w:ascii="Arial" w:hAnsi="Arial" w:cs="Arial"/>
          <w:bCs/>
          <w:sz w:val="20"/>
          <w:szCs w:val="20"/>
          <w:lang w:eastAsia="ar-SA"/>
        </w:rPr>
        <w:t>47</w:t>
      </w:r>
      <w:r w:rsidRPr="006B2B47">
        <w:rPr>
          <w:rFonts w:ascii="Arial" w:hAnsi="Arial" w:cs="Arial"/>
          <w:bCs/>
          <w:sz w:val="20"/>
          <w:szCs w:val="20"/>
          <w:lang w:eastAsia="ar-SA"/>
        </w:rPr>
        <w:t xml:space="preserve"> definierade blodgruppssystem med totalt över 3</w:t>
      </w:r>
      <w:r>
        <w:rPr>
          <w:rFonts w:ascii="Arial" w:hAnsi="Arial" w:cs="Arial"/>
          <w:bCs/>
          <w:sz w:val="20"/>
          <w:szCs w:val="20"/>
          <w:lang w:eastAsia="ar-SA"/>
        </w:rPr>
        <w:t>66</w:t>
      </w:r>
      <w:r w:rsidRPr="006B2B47">
        <w:rPr>
          <w:rFonts w:ascii="Arial" w:hAnsi="Arial" w:cs="Arial"/>
          <w:bCs/>
          <w:sz w:val="20"/>
          <w:szCs w:val="20"/>
          <w:lang w:eastAsia="ar-SA"/>
        </w:rPr>
        <w:t xml:space="preserve"> erytrocytantigen</w:t>
      </w:r>
      <w:r>
        <w:rPr>
          <w:rFonts w:ascii="Arial" w:hAnsi="Arial" w:cs="Arial"/>
          <w:bCs/>
          <w:sz w:val="20"/>
          <w:szCs w:val="20"/>
          <w:lang w:eastAsia="ar-SA"/>
        </w:rPr>
        <w:t xml:space="preserve"> (oktober 2024)</w:t>
      </w:r>
      <w:r w:rsidRPr="006B2B47">
        <w:rPr>
          <w:rFonts w:ascii="Arial" w:hAnsi="Arial" w:cs="Arial"/>
          <w:bCs/>
          <w:sz w:val="20"/>
          <w:szCs w:val="20"/>
          <w:lang w:eastAsia="ar-SA"/>
        </w:rPr>
        <w:t>.</w:t>
      </w:r>
    </w:p>
    <w:p w14:paraId="7159666A" w14:textId="77777777" w:rsidR="009C25E1" w:rsidRPr="006B2B47" w:rsidRDefault="009C25E1" w:rsidP="009C25E1">
      <w:pPr>
        <w:keepNext/>
        <w:numPr>
          <w:ilvl w:val="0"/>
          <w:numId w:val="23"/>
        </w:numPr>
        <w:suppressAutoHyphens/>
        <w:spacing w:after="0" w:line="240" w:lineRule="auto"/>
        <w:ind w:right="0"/>
        <w:outlineLvl w:val="0"/>
        <w:rPr>
          <w:rFonts w:ascii="Arial" w:hAnsi="Arial" w:cs="Arial"/>
          <w:bCs/>
          <w:sz w:val="20"/>
          <w:szCs w:val="20"/>
          <w:lang w:eastAsia="ar-SA"/>
        </w:rPr>
      </w:pPr>
      <w:r w:rsidRPr="006B2B47">
        <w:rPr>
          <w:rFonts w:ascii="Arial" w:hAnsi="Arial" w:cs="Arial"/>
          <w:b/>
          <w:bCs/>
          <w:i/>
          <w:sz w:val="20"/>
          <w:szCs w:val="20"/>
          <w:lang w:eastAsia="ar-SA"/>
        </w:rPr>
        <w:t>ABO-systemet</w:t>
      </w:r>
      <w:r w:rsidRPr="006B2B47">
        <w:rPr>
          <w:rFonts w:ascii="Arial" w:hAnsi="Arial" w:cs="Arial"/>
          <w:bCs/>
          <w:sz w:val="20"/>
          <w:szCs w:val="20"/>
          <w:lang w:eastAsia="ar-SA"/>
        </w:rPr>
        <w:t xml:space="preserve"> är det histo-blodgruppssystem som har störst relevans för blodtransfusion eftersom alla individer från cirka ett års ålder utan föregående exponering bildar antikroppar mot de ABO-antigen som individen saknar s.k. isoagglutininer. Antikropparna kan vara av både IgM- och IgG-typ. Är man blodgrupp 0 har man således både anti-A och anti-B. Är man blodgrupp A har man anti-B, blodgrupp B har anti-A och blodgrupp AB saknar isoagglutininer.</w:t>
      </w:r>
    </w:p>
    <w:p w14:paraId="0DBADB36" w14:textId="77777777" w:rsidR="009C25E1" w:rsidRPr="006B2B47" w:rsidRDefault="009C25E1" w:rsidP="009C25E1">
      <w:pPr>
        <w:keepNext/>
        <w:numPr>
          <w:ilvl w:val="0"/>
          <w:numId w:val="23"/>
        </w:numPr>
        <w:suppressAutoHyphens/>
        <w:spacing w:after="0" w:line="240" w:lineRule="auto"/>
        <w:ind w:right="0"/>
        <w:outlineLvl w:val="0"/>
        <w:rPr>
          <w:rFonts w:ascii="Arial" w:hAnsi="Arial" w:cs="Arial"/>
          <w:bCs/>
          <w:sz w:val="20"/>
          <w:szCs w:val="20"/>
          <w:lang w:eastAsia="ar-SA"/>
        </w:rPr>
      </w:pPr>
      <w:r w:rsidRPr="006B2B47">
        <w:rPr>
          <w:rFonts w:ascii="Arial" w:hAnsi="Arial" w:cs="Arial"/>
          <w:b/>
          <w:bCs/>
          <w:i/>
          <w:sz w:val="20"/>
          <w:szCs w:val="20"/>
          <w:lang w:eastAsia="ar-SA"/>
        </w:rPr>
        <w:t>Irreguljära erytrocytantikroppar</w:t>
      </w:r>
      <w:r w:rsidRPr="006B2B47">
        <w:rPr>
          <w:rFonts w:ascii="Arial" w:hAnsi="Arial" w:cs="Arial"/>
          <w:b/>
          <w:bCs/>
          <w:sz w:val="20"/>
          <w:szCs w:val="20"/>
          <w:lang w:eastAsia="ar-SA"/>
        </w:rPr>
        <w:t xml:space="preserve"> </w:t>
      </w:r>
      <w:r w:rsidRPr="006B2B47">
        <w:rPr>
          <w:rFonts w:ascii="Arial" w:hAnsi="Arial" w:cs="Arial"/>
          <w:bCs/>
          <w:sz w:val="20"/>
          <w:szCs w:val="20"/>
          <w:lang w:eastAsia="ar-SA"/>
        </w:rPr>
        <w:t xml:space="preserve">är antikroppar mot antigen ingående i andra blodgruppsystem än ABO. Generellt kan sägas att de bildas efter att man exponerats för antigen genom graviditet, transfusion eller transplantation. Vanligast är antikroppar mot </w:t>
      </w:r>
      <w:r w:rsidRPr="006B2B47">
        <w:rPr>
          <w:rFonts w:ascii="Arial" w:hAnsi="Arial" w:cs="Arial"/>
          <w:bCs/>
          <w:sz w:val="20"/>
          <w:szCs w:val="20"/>
          <w:lang w:eastAsia="ar-SA"/>
        </w:rPr>
        <w:lastRenderedPageBreak/>
        <w:t>antigen i det s.k. Kell-systemet (ex. anti-K) eller Rh-systemet (ex. anti-D). Förenlighetstest före blodtransfusion (BAS-test eller MG-test) utförs för att undersöka förekomst av dessa.</w:t>
      </w:r>
    </w:p>
    <w:p w14:paraId="54784CE8" w14:textId="77777777" w:rsidR="009C25E1" w:rsidRPr="006B2B47" w:rsidRDefault="009C25E1" w:rsidP="009C25E1">
      <w:pPr>
        <w:keepNext/>
        <w:numPr>
          <w:ilvl w:val="0"/>
          <w:numId w:val="23"/>
        </w:numPr>
        <w:suppressAutoHyphens/>
        <w:spacing w:after="0" w:line="240" w:lineRule="auto"/>
        <w:ind w:right="0"/>
        <w:outlineLvl w:val="0"/>
        <w:rPr>
          <w:rFonts w:ascii="Arial" w:hAnsi="Arial" w:cs="Arial"/>
          <w:bCs/>
          <w:sz w:val="20"/>
          <w:szCs w:val="20"/>
          <w:lang w:eastAsia="ar-SA"/>
        </w:rPr>
      </w:pPr>
      <w:r w:rsidRPr="006B2B47">
        <w:rPr>
          <w:rFonts w:ascii="Arial" w:hAnsi="Arial" w:cs="Arial"/>
          <w:b/>
          <w:bCs/>
          <w:i/>
          <w:sz w:val="20"/>
          <w:szCs w:val="20"/>
          <w:lang w:eastAsia="ar-SA"/>
        </w:rPr>
        <w:t>Blodgruppering</w:t>
      </w:r>
      <w:r w:rsidRPr="006B2B47">
        <w:rPr>
          <w:rFonts w:ascii="Arial" w:hAnsi="Arial" w:cs="Arial"/>
          <w:bCs/>
          <w:sz w:val="20"/>
          <w:szCs w:val="20"/>
          <w:lang w:eastAsia="ar-SA"/>
        </w:rPr>
        <w:t xml:space="preserve"> innebär att man bestämmer vilken ABO-blodgrupp man tillhör samt om man uttrycker Rh-systemets D-antigen, man kan exempelvis vara A RhD negativ eller AB RhD positiv osv. Vid utvidgad (vanligen genomisk) blodgruppering bestämmer man uttryck av antigen ingående i ytterligare blodgruppssystem. I blodgruppering ingår även screeningtest för irreguljära erytrocytantikroppar. </w:t>
      </w:r>
    </w:p>
    <w:p w14:paraId="262B3327" w14:textId="77777777" w:rsidR="009C25E1" w:rsidRPr="006B2B47" w:rsidRDefault="009C25E1" w:rsidP="009C25E1">
      <w:pPr>
        <w:keepNext/>
        <w:numPr>
          <w:ilvl w:val="0"/>
          <w:numId w:val="23"/>
        </w:numPr>
        <w:suppressAutoHyphens/>
        <w:spacing w:after="0" w:line="240" w:lineRule="auto"/>
        <w:ind w:right="0"/>
        <w:outlineLvl w:val="0"/>
        <w:rPr>
          <w:rFonts w:ascii="Arial" w:hAnsi="Arial" w:cs="Arial"/>
          <w:bCs/>
          <w:sz w:val="20"/>
          <w:szCs w:val="20"/>
          <w:lang w:eastAsia="ar-SA"/>
        </w:rPr>
      </w:pPr>
      <w:r w:rsidRPr="006B2B47">
        <w:rPr>
          <w:rFonts w:ascii="Arial" w:hAnsi="Arial" w:cs="Arial"/>
          <w:b/>
          <w:bCs/>
          <w:i/>
          <w:sz w:val="20"/>
          <w:szCs w:val="20"/>
          <w:lang w:eastAsia="ar-SA"/>
        </w:rPr>
        <w:t>HLA-antikroppar</w:t>
      </w:r>
      <w:r w:rsidRPr="006B2B47">
        <w:rPr>
          <w:rFonts w:ascii="Arial" w:hAnsi="Arial" w:cs="Arial"/>
          <w:bCs/>
          <w:sz w:val="20"/>
          <w:szCs w:val="20"/>
          <w:lang w:eastAsia="ar-SA"/>
        </w:rPr>
        <w:t xml:space="preserve"> är antikroppar riktade mot vävnadsantigen, s.k. human leukocyte antigens, HLA, som individen inte själv uttrycker. Sådana antikroppar kan finnas normalt men är mer vanligt förekommande om man genomgått transplantation, fått upprepade transfusioner samt hos kvinnor som immuniserats i samband med graviditet. </w:t>
      </w:r>
    </w:p>
    <w:p w14:paraId="625634F6" w14:textId="77777777" w:rsidR="009C25E1" w:rsidRPr="006B2B47" w:rsidRDefault="009C25E1" w:rsidP="009C25E1">
      <w:pPr>
        <w:keepNext/>
        <w:numPr>
          <w:ilvl w:val="0"/>
          <w:numId w:val="23"/>
        </w:numPr>
        <w:suppressAutoHyphens/>
        <w:spacing w:after="0" w:line="240" w:lineRule="auto"/>
        <w:ind w:right="0"/>
        <w:outlineLvl w:val="0"/>
        <w:rPr>
          <w:rFonts w:ascii="Arial" w:hAnsi="Arial" w:cs="Arial"/>
          <w:bCs/>
          <w:sz w:val="20"/>
          <w:szCs w:val="20"/>
          <w:lang w:eastAsia="ar-SA"/>
        </w:rPr>
      </w:pPr>
      <w:r w:rsidRPr="006B2B47">
        <w:rPr>
          <w:rFonts w:ascii="Arial" w:hAnsi="Arial" w:cs="Arial"/>
          <w:b/>
          <w:i/>
          <w:sz w:val="20"/>
          <w:szCs w:val="20"/>
          <w:lang w:eastAsia="ar-SA"/>
        </w:rPr>
        <w:t>HLA-immunisering</w:t>
      </w:r>
      <w:r w:rsidRPr="006B2B47">
        <w:rPr>
          <w:rFonts w:ascii="Arial" w:hAnsi="Arial" w:cs="Arial"/>
          <w:sz w:val="20"/>
          <w:szCs w:val="20"/>
          <w:lang w:eastAsia="ar-SA"/>
        </w:rPr>
        <w:t xml:space="preserve">. En donator som fått upprepade blodtransfusioner kan ha blivit HLA-immuniserad liksom en kvinnlig donator kan ha blivit immuniserad i samband med graviditet. Patienter som fått blodprodukter (särskilt trombocyter som bär på HLA) kan utveckla anti-HLA antikroppar efter märganslag vilket kan medföra att patienten blir refraktär mot trombocyter. </w:t>
      </w:r>
    </w:p>
    <w:p w14:paraId="203A9A62" w14:textId="77777777" w:rsidR="009C25E1" w:rsidRPr="006B2B47" w:rsidRDefault="009C25E1" w:rsidP="009C25E1">
      <w:pPr>
        <w:keepNext/>
        <w:tabs>
          <w:tab w:val="num" w:pos="432"/>
        </w:tabs>
        <w:suppressAutoHyphens/>
        <w:spacing w:after="0" w:line="240" w:lineRule="auto"/>
        <w:ind w:left="432" w:right="0" w:hanging="432"/>
        <w:outlineLvl w:val="0"/>
        <w:rPr>
          <w:rFonts w:ascii="Arial" w:hAnsi="Arial" w:cs="Arial"/>
          <w:bCs/>
          <w:sz w:val="20"/>
          <w:szCs w:val="20"/>
          <w:lang w:eastAsia="ar-SA"/>
        </w:rPr>
      </w:pPr>
    </w:p>
    <w:p w14:paraId="0341735A" w14:textId="77777777" w:rsidR="009C25E1" w:rsidRPr="006B2B47" w:rsidRDefault="009C25E1" w:rsidP="009C25E1">
      <w:pPr>
        <w:numPr>
          <w:ilvl w:val="0"/>
          <w:numId w:val="22"/>
        </w:numPr>
        <w:suppressAutoHyphens/>
        <w:spacing w:after="0" w:line="240" w:lineRule="auto"/>
        <w:ind w:right="0"/>
        <w:jc w:val="both"/>
        <w:rPr>
          <w:rFonts w:ascii="Arial" w:hAnsi="Arial" w:cs="Arial"/>
          <w:sz w:val="20"/>
          <w:szCs w:val="20"/>
          <w:lang w:eastAsia="ar-SA"/>
        </w:rPr>
      </w:pPr>
      <w:r w:rsidRPr="006B2B47">
        <w:rPr>
          <w:rFonts w:ascii="Arial" w:hAnsi="Arial" w:cs="Arial"/>
          <w:b/>
          <w:i/>
          <w:sz w:val="20"/>
          <w:szCs w:val="20"/>
          <w:lang w:eastAsia="ar-SA"/>
        </w:rPr>
        <w:t>Major ABO-inkompatibilitet</w:t>
      </w:r>
      <w:r w:rsidRPr="006B2B47">
        <w:rPr>
          <w:rFonts w:ascii="Arial" w:hAnsi="Arial" w:cs="Arial"/>
          <w:i/>
          <w:sz w:val="20"/>
          <w:szCs w:val="20"/>
          <w:lang w:eastAsia="ar-SA"/>
        </w:rPr>
        <w:t xml:space="preserve"> </w:t>
      </w:r>
      <w:r w:rsidRPr="006B2B47">
        <w:rPr>
          <w:rFonts w:ascii="Arial" w:hAnsi="Arial" w:cs="Arial"/>
          <w:sz w:val="20"/>
          <w:szCs w:val="20"/>
          <w:lang w:eastAsia="ar-SA"/>
        </w:rPr>
        <w:t>förekommer om patientens plasma innehåller antikroppar riktade mot donatorns erytrocyter, t ex recipienten 0 och donatorn A, B eller AB eller recipienten antingen A eller B och donatorn AB.</w:t>
      </w:r>
    </w:p>
    <w:p w14:paraId="00F2FDB2" w14:textId="77777777" w:rsidR="009C25E1" w:rsidRPr="006B2B47" w:rsidRDefault="009C25E1" w:rsidP="009C25E1">
      <w:pPr>
        <w:numPr>
          <w:ilvl w:val="0"/>
          <w:numId w:val="22"/>
        </w:numPr>
        <w:suppressAutoHyphens/>
        <w:spacing w:after="0" w:line="240" w:lineRule="auto"/>
        <w:ind w:right="0"/>
        <w:jc w:val="both"/>
        <w:rPr>
          <w:rFonts w:ascii="Arial" w:hAnsi="Arial" w:cs="Arial"/>
          <w:sz w:val="20"/>
          <w:szCs w:val="20"/>
          <w:lang w:eastAsia="ar-SA"/>
        </w:rPr>
      </w:pPr>
      <w:r w:rsidRPr="006B2B47">
        <w:rPr>
          <w:rFonts w:ascii="Arial" w:hAnsi="Arial" w:cs="Arial"/>
          <w:b/>
          <w:i/>
          <w:sz w:val="20"/>
          <w:szCs w:val="20"/>
          <w:lang w:eastAsia="ar-SA"/>
        </w:rPr>
        <w:t>Minor ABO-inkompatibilitet</w:t>
      </w:r>
      <w:r w:rsidRPr="006B2B47">
        <w:rPr>
          <w:rFonts w:ascii="Arial" w:hAnsi="Arial" w:cs="Arial"/>
          <w:b/>
          <w:sz w:val="20"/>
          <w:szCs w:val="20"/>
          <w:lang w:eastAsia="ar-SA"/>
        </w:rPr>
        <w:t xml:space="preserve"> </w:t>
      </w:r>
      <w:r w:rsidRPr="006B2B47">
        <w:rPr>
          <w:rFonts w:ascii="Arial" w:hAnsi="Arial" w:cs="Arial"/>
          <w:sz w:val="20"/>
          <w:szCs w:val="20"/>
          <w:lang w:eastAsia="ar-SA"/>
        </w:rPr>
        <w:t xml:space="preserve">förekommer när donators plasma innehåller antikroppar riktade mot patientens erytrocyter, t ex om donatorn är 0 och recipienten A, B eller AB eller att donatorn är antingen A eller B och recipienten AB </w:t>
      </w:r>
    </w:p>
    <w:p w14:paraId="04FB3969" w14:textId="77777777" w:rsidR="009C25E1" w:rsidRPr="006B2B47" w:rsidRDefault="009C25E1" w:rsidP="009C25E1">
      <w:pPr>
        <w:numPr>
          <w:ilvl w:val="0"/>
          <w:numId w:val="20"/>
        </w:numPr>
        <w:suppressAutoHyphens/>
        <w:spacing w:after="0" w:line="240" w:lineRule="auto"/>
        <w:ind w:right="0"/>
        <w:jc w:val="both"/>
        <w:rPr>
          <w:rFonts w:ascii="Arial" w:hAnsi="Arial" w:cs="Arial"/>
          <w:sz w:val="20"/>
          <w:szCs w:val="20"/>
          <w:lang w:eastAsia="ar-SA"/>
        </w:rPr>
      </w:pPr>
      <w:r w:rsidRPr="006B2B47">
        <w:rPr>
          <w:rFonts w:ascii="Arial" w:hAnsi="Arial" w:cs="Arial"/>
          <w:b/>
          <w:i/>
          <w:sz w:val="20"/>
          <w:szCs w:val="20"/>
          <w:lang w:eastAsia="ar-SA"/>
        </w:rPr>
        <w:t>Bidirectional ABO-inkompatibilitet</w:t>
      </w:r>
      <w:r w:rsidRPr="006B2B47">
        <w:rPr>
          <w:rFonts w:ascii="Arial" w:hAnsi="Arial" w:cs="Arial"/>
          <w:i/>
          <w:sz w:val="20"/>
          <w:szCs w:val="20"/>
          <w:lang w:eastAsia="ar-SA"/>
        </w:rPr>
        <w:t xml:space="preserve"> </w:t>
      </w:r>
      <w:r w:rsidRPr="006B2B47">
        <w:rPr>
          <w:rFonts w:ascii="Arial" w:hAnsi="Arial" w:cs="Arial"/>
          <w:sz w:val="20"/>
          <w:szCs w:val="20"/>
          <w:lang w:eastAsia="ar-SA"/>
        </w:rPr>
        <w:t>förekommer när en kombination av major och minor föreligger, t ex A-donator till B-recipient eller B-donator till A-patient</w:t>
      </w:r>
    </w:p>
    <w:p w14:paraId="17ABEFE9" w14:textId="4A6ACFCA" w:rsidR="009C25E1" w:rsidRPr="00A62A62" w:rsidRDefault="009C25E1" w:rsidP="00A62A62">
      <w:pPr>
        <w:numPr>
          <w:ilvl w:val="0"/>
          <w:numId w:val="20"/>
        </w:numPr>
        <w:suppressAutoHyphens/>
        <w:spacing w:after="0" w:line="240" w:lineRule="auto"/>
        <w:ind w:right="0"/>
        <w:jc w:val="both"/>
        <w:rPr>
          <w:rFonts w:ascii="Arial" w:hAnsi="Arial" w:cs="Arial"/>
          <w:sz w:val="20"/>
          <w:szCs w:val="20"/>
          <w:lang w:eastAsia="ar-SA"/>
        </w:rPr>
      </w:pPr>
      <w:r w:rsidRPr="006B2B47">
        <w:rPr>
          <w:rFonts w:ascii="Arial" w:hAnsi="Arial" w:cs="Arial"/>
          <w:b/>
          <w:i/>
          <w:sz w:val="20"/>
          <w:szCs w:val="20"/>
          <w:lang w:eastAsia="ar-SA"/>
        </w:rPr>
        <w:t>RhD mismatch</w:t>
      </w:r>
      <w:r w:rsidRPr="006B2B47">
        <w:rPr>
          <w:rFonts w:ascii="Arial" w:hAnsi="Arial" w:cs="Arial"/>
          <w:sz w:val="20"/>
          <w:szCs w:val="20"/>
          <w:lang w:eastAsia="ar-SA"/>
        </w:rPr>
        <w:t xml:space="preserve"> finns också som </w:t>
      </w:r>
      <w:r w:rsidRPr="006B2B47">
        <w:rPr>
          <w:rFonts w:ascii="Arial" w:hAnsi="Arial" w:cs="Arial"/>
          <w:i/>
          <w:sz w:val="20"/>
          <w:szCs w:val="20"/>
          <w:lang w:eastAsia="ar-SA"/>
        </w:rPr>
        <w:t>major</w:t>
      </w:r>
      <w:r w:rsidRPr="006B2B47">
        <w:rPr>
          <w:rFonts w:ascii="Arial" w:hAnsi="Arial" w:cs="Arial"/>
          <w:sz w:val="20"/>
          <w:szCs w:val="20"/>
          <w:lang w:eastAsia="ar-SA"/>
        </w:rPr>
        <w:t xml:space="preserve"> och </w:t>
      </w:r>
      <w:r w:rsidRPr="006B2B47">
        <w:rPr>
          <w:rFonts w:ascii="Arial" w:hAnsi="Arial" w:cs="Arial"/>
          <w:i/>
          <w:sz w:val="20"/>
          <w:szCs w:val="20"/>
          <w:lang w:eastAsia="ar-SA"/>
        </w:rPr>
        <w:t>minor</w:t>
      </w:r>
      <w:r w:rsidRPr="006B2B47">
        <w:rPr>
          <w:rFonts w:ascii="Arial" w:hAnsi="Arial" w:cs="Arial"/>
          <w:sz w:val="20"/>
          <w:szCs w:val="20"/>
          <w:lang w:eastAsia="ar-SA"/>
        </w:rPr>
        <w:t xml:space="preserve"> variant, beroende på om antigen respektive antikroppar överförs</w:t>
      </w:r>
    </w:p>
    <w:p w14:paraId="3A1F8667" w14:textId="77777777" w:rsidR="009C25E1" w:rsidRPr="006B2B47" w:rsidRDefault="009C25E1" w:rsidP="009C25E1">
      <w:pPr>
        <w:pStyle w:val="MellanrubrikVGR"/>
        <w:ind w:left="0"/>
        <w:rPr>
          <w:lang w:eastAsia="ar-SA"/>
        </w:rPr>
      </w:pPr>
      <w:r w:rsidRPr="006B2B47">
        <w:rPr>
          <w:lang w:eastAsia="ar-SA"/>
        </w:rPr>
        <w:t>Plasmareduktion:</w:t>
      </w:r>
    </w:p>
    <w:p w14:paraId="6673DF34" w14:textId="77777777" w:rsidR="009C25E1" w:rsidRPr="006B2B47" w:rsidRDefault="009C25E1" w:rsidP="009C25E1">
      <w:pPr>
        <w:tabs>
          <w:tab w:val="left" w:pos="284"/>
        </w:tabs>
        <w:suppressAutoHyphens/>
        <w:spacing w:after="0" w:line="240" w:lineRule="auto"/>
        <w:ind w:left="0" w:right="0"/>
        <w:jc w:val="both"/>
        <w:rPr>
          <w:rFonts w:ascii="Arial" w:hAnsi="Arial" w:cs="Arial"/>
          <w:sz w:val="20"/>
          <w:szCs w:val="20"/>
          <w:lang w:eastAsia="ar-SA"/>
        </w:rPr>
      </w:pPr>
      <w:r w:rsidRPr="006B2B47">
        <w:rPr>
          <w:rFonts w:ascii="Arial" w:hAnsi="Arial" w:cs="Arial"/>
          <w:sz w:val="20"/>
          <w:szCs w:val="20"/>
          <w:lang w:eastAsia="ar-SA"/>
        </w:rPr>
        <w:t>Reducering av inkompatibel plasma i benmärg från donator före infusion till patient, alt. volymreduktion av benmärg från donator pga. stor volym till liten recipient. Cellprodukten centrifugeras och plasma skiljs av, cellprodukten späds sedan till EVF 45 % med albuminlösning innehållande antikoagulantia.</w:t>
      </w:r>
    </w:p>
    <w:p w14:paraId="0646BA2A" w14:textId="77777777" w:rsidR="009C25E1" w:rsidRPr="006B2B47" w:rsidRDefault="009C25E1" w:rsidP="009C25E1">
      <w:pPr>
        <w:pStyle w:val="MellanrubrikVGR"/>
        <w:ind w:left="0"/>
        <w:rPr>
          <w:lang w:eastAsia="ar-SA"/>
        </w:rPr>
      </w:pPr>
      <w:r w:rsidRPr="006B2B47">
        <w:rPr>
          <w:lang w:eastAsia="ar-SA"/>
        </w:rPr>
        <w:t>Erytrocytreduktion:</w:t>
      </w:r>
    </w:p>
    <w:p w14:paraId="6260A2CA" w14:textId="77777777" w:rsidR="009C25E1" w:rsidRPr="006B2B47" w:rsidRDefault="009C25E1" w:rsidP="009C25E1">
      <w:pPr>
        <w:tabs>
          <w:tab w:val="left" w:pos="284"/>
        </w:tabs>
        <w:suppressAutoHyphens/>
        <w:spacing w:after="0" w:line="240" w:lineRule="auto"/>
        <w:ind w:left="0" w:right="0"/>
        <w:jc w:val="both"/>
        <w:rPr>
          <w:rFonts w:ascii="Arial" w:hAnsi="Arial" w:cs="Arial"/>
          <w:sz w:val="20"/>
          <w:szCs w:val="20"/>
          <w:lang w:eastAsia="ar-SA"/>
        </w:rPr>
      </w:pPr>
      <w:r w:rsidRPr="006B2B47">
        <w:rPr>
          <w:rFonts w:ascii="Arial" w:hAnsi="Arial" w:cs="Arial"/>
          <w:sz w:val="20"/>
          <w:szCs w:val="20"/>
          <w:lang w:eastAsia="ar-SA"/>
        </w:rPr>
        <w:t>Inkompatibla erytrocyter reduceras i två steg (dubbel buffy-coat-metod). I första steget centrifugeras benmärgen till en buffy-coat (leukocyt-skikt) och avskiljs. I andra steget blandas buffy-coaten med ett erytrocytkoncentrat av blodgrupp O. Blandningen centrifugeras igen och de inkompatibla erytrocyterna reduceras därmed ytterligare. Kontrollräkning av mängden kvarvarande inkompatibla erytrocyter görs efter varje centrifugering. Benmärgen kan därefter utan problem</w:t>
      </w:r>
      <w:r>
        <w:rPr>
          <w:rFonts w:ascii="Arial" w:hAnsi="Arial" w:cs="Arial"/>
          <w:sz w:val="20"/>
          <w:szCs w:val="20"/>
          <w:lang w:eastAsia="ar-SA"/>
        </w:rPr>
        <w:t xml:space="preserve"> </w:t>
      </w:r>
      <w:r w:rsidRPr="009C25E1">
        <w:rPr>
          <w:rFonts w:ascii="Arial" w:hAnsi="Arial" w:cs="Arial"/>
          <w:sz w:val="20"/>
          <w:szCs w:val="20"/>
          <w:lang w:eastAsia="ar-SA"/>
        </w:rPr>
        <w:t>med akut inkompatibilitet ges</w:t>
      </w:r>
      <w:r w:rsidRPr="006B2B47">
        <w:rPr>
          <w:rFonts w:ascii="Arial" w:hAnsi="Arial" w:cs="Arial"/>
          <w:sz w:val="20"/>
          <w:szCs w:val="20"/>
          <w:lang w:eastAsia="ar-SA"/>
        </w:rPr>
        <w:t xml:space="preserve"> till patienten. Eftersom det blir så liten volym kvar, är det extra viktigt att man sköljer igenom aggregatet och även påsen, med NaCl så att patienten får så många celler som möjligt. </w:t>
      </w:r>
    </w:p>
    <w:p w14:paraId="30520ECD" w14:textId="77777777" w:rsidR="009C25E1" w:rsidRPr="006B2B47" w:rsidRDefault="009C25E1" w:rsidP="009C25E1">
      <w:pPr>
        <w:tabs>
          <w:tab w:val="left" w:pos="284"/>
        </w:tabs>
        <w:suppressAutoHyphens/>
        <w:spacing w:after="0" w:line="240" w:lineRule="auto"/>
        <w:ind w:left="0" w:right="0"/>
        <w:jc w:val="both"/>
        <w:rPr>
          <w:rFonts w:ascii="Arial" w:hAnsi="Arial" w:cs="Arial"/>
          <w:sz w:val="20"/>
          <w:szCs w:val="20"/>
          <w:lang w:eastAsia="ar-SA"/>
        </w:rPr>
      </w:pPr>
    </w:p>
    <w:p w14:paraId="570EAC22" w14:textId="77777777" w:rsidR="009C25E1" w:rsidRPr="00555B51" w:rsidRDefault="009C25E1" w:rsidP="009C25E1">
      <w:pPr>
        <w:tabs>
          <w:tab w:val="left" w:pos="284"/>
        </w:tabs>
        <w:suppressAutoHyphens/>
        <w:spacing w:after="0" w:line="240" w:lineRule="auto"/>
        <w:ind w:left="0" w:right="0"/>
        <w:jc w:val="both"/>
        <w:rPr>
          <w:rFonts w:ascii="Arial" w:hAnsi="Arial" w:cs="Arial"/>
          <w:sz w:val="20"/>
          <w:szCs w:val="20"/>
          <w:lang w:eastAsia="ar-SA"/>
        </w:rPr>
      </w:pPr>
      <w:r w:rsidRPr="006B2B47">
        <w:rPr>
          <w:rFonts w:ascii="Arial" w:hAnsi="Arial" w:cs="Arial"/>
          <w:sz w:val="20"/>
          <w:szCs w:val="20"/>
          <w:lang w:eastAsia="ar-SA"/>
        </w:rPr>
        <w:t>Dubbelbuffycoat-metoden kan medföra relativt stora förluster av mononukleära celler och därmed risk för dåligt märganslag. Om celldosen i stamcellsprodukten är låg kan man välja att avstå från erytrocytreduktion eller utföra en mer begränsad erytrocytreduktion där man avslutar processen efter första steget. Detta beslut fattas av ansvarig läkare och meddelas SCL. Förlust av celler kan uppgå till 40 % vid en dubbel buffy-coat-procedur.</w:t>
      </w:r>
    </w:p>
    <w:p w14:paraId="68EE7023" w14:textId="77777777" w:rsidR="009C25E1" w:rsidRPr="006B2B47" w:rsidRDefault="009C25E1" w:rsidP="009C25E1">
      <w:pPr>
        <w:pStyle w:val="Rubrik3"/>
        <w:ind w:left="0"/>
        <w:rPr>
          <w:lang w:eastAsia="ar-SA"/>
        </w:rPr>
      </w:pPr>
      <w:r w:rsidRPr="006B2B47">
        <w:rPr>
          <w:lang w:eastAsia="ar-SA"/>
        </w:rPr>
        <w:t>Inför transplantationen</w:t>
      </w:r>
    </w:p>
    <w:p w14:paraId="1F18FF82" w14:textId="61B5F0A2" w:rsidR="009C25E1" w:rsidRPr="00A62A62" w:rsidRDefault="009C25E1" w:rsidP="009C25E1">
      <w:pPr>
        <w:suppressAutoHyphens/>
        <w:spacing w:after="0" w:line="240" w:lineRule="auto"/>
        <w:ind w:left="0" w:right="0"/>
        <w:jc w:val="both"/>
        <w:rPr>
          <w:rFonts w:ascii="Arial" w:hAnsi="Arial" w:cs="Arial"/>
          <w:sz w:val="20"/>
          <w:szCs w:val="20"/>
          <w:lang w:eastAsia="ar-SA"/>
        </w:rPr>
      </w:pPr>
      <w:r w:rsidRPr="006B2B47">
        <w:rPr>
          <w:rFonts w:ascii="Arial" w:hAnsi="Arial" w:cs="Arial"/>
          <w:sz w:val="20"/>
          <w:szCs w:val="20"/>
          <w:lang w:eastAsia="ar-SA"/>
        </w:rPr>
        <w:t xml:space="preserve">Information om donatorns och patientens blodgrupp (ABO och Rh) ska införskaffas i god tid. De flesta frivilliga registergivare är blodgrupperade och donatorns blodgrupp skall anges i Melior under </w:t>
      </w:r>
      <w:r>
        <w:rPr>
          <w:rFonts w:ascii="Arial" w:hAnsi="Arial" w:cs="Arial"/>
          <w:sz w:val="20"/>
          <w:szCs w:val="20"/>
          <w:lang w:eastAsia="ar-SA"/>
        </w:rPr>
        <w:t>Transplantationsinformation</w:t>
      </w:r>
      <w:r w:rsidRPr="006B2B47">
        <w:rPr>
          <w:rFonts w:ascii="Arial" w:hAnsi="Arial" w:cs="Arial"/>
          <w:sz w:val="20"/>
          <w:szCs w:val="20"/>
          <w:lang w:eastAsia="ar-SA"/>
        </w:rPr>
        <w:t xml:space="preserve"> inför transplantation samt i inskrivningsanteckning. Isoagglutininer testas på alla patienter och givare. Även om ingen blodgruppsinkompatibilitet föreligger görs en utvidgad </w:t>
      </w:r>
      <w:r>
        <w:rPr>
          <w:rFonts w:ascii="Arial" w:hAnsi="Arial" w:cs="Arial"/>
          <w:sz w:val="20"/>
          <w:szCs w:val="20"/>
          <w:lang w:eastAsia="ar-SA"/>
        </w:rPr>
        <w:t xml:space="preserve">genomisk </w:t>
      </w:r>
      <w:r w:rsidRPr="006B2B47">
        <w:rPr>
          <w:rFonts w:ascii="Arial" w:hAnsi="Arial" w:cs="Arial"/>
          <w:sz w:val="20"/>
          <w:szCs w:val="20"/>
          <w:lang w:eastAsia="ar-SA"/>
        </w:rPr>
        <w:t>blodgruppering på alla</w:t>
      </w:r>
      <w:r>
        <w:rPr>
          <w:rFonts w:ascii="Arial" w:hAnsi="Arial" w:cs="Arial"/>
          <w:sz w:val="20"/>
          <w:szCs w:val="20"/>
          <w:lang w:eastAsia="ar-SA"/>
        </w:rPr>
        <w:t xml:space="preserve"> patienter</w:t>
      </w:r>
      <w:r w:rsidRPr="006B2B47">
        <w:rPr>
          <w:rFonts w:ascii="Arial" w:hAnsi="Arial" w:cs="Arial"/>
          <w:sz w:val="20"/>
          <w:szCs w:val="20"/>
          <w:lang w:eastAsia="ar-SA"/>
        </w:rPr>
        <w:t xml:space="preserve"> som genomgår allogen SCT</w:t>
      </w:r>
      <w:r>
        <w:rPr>
          <w:rFonts w:ascii="Arial" w:hAnsi="Arial" w:cs="Arial"/>
          <w:sz w:val="20"/>
          <w:szCs w:val="20"/>
          <w:lang w:eastAsia="ar-SA"/>
        </w:rPr>
        <w:t xml:space="preserve"> (och alla donatorer)</w:t>
      </w:r>
      <w:r w:rsidRPr="006B2B47">
        <w:rPr>
          <w:rFonts w:ascii="Arial" w:hAnsi="Arial" w:cs="Arial"/>
          <w:sz w:val="20"/>
          <w:szCs w:val="20"/>
          <w:lang w:eastAsia="ar-SA"/>
        </w:rPr>
        <w:t>. Screening avseende förekomst av HLA-antikroppar görs på patienten inför SCT. Vid positiv screening analyseras HLA-antikropparna för att om möjligt kunna tillhandahålla trombocyter utan dessa HLA-uttryck. Vid beställning av blod skrivs på remissen: Förenlighetsprövning allogen SCT.</w:t>
      </w:r>
    </w:p>
    <w:p w14:paraId="1D0ECFD5" w14:textId="77777777" w:rsidR="009C25E1" w:rsidRPr="006B2B47" w:rsidRDefault="009C25E1" w:rsidP="009C25E1">
      <w:pPr>
        <w:pStyle w:val="MellanrubrikVGR"/>
        <w:ind w:left="0"/>
        <w:rPr>
          <w:lang w:val="de-DE" w:eastAsia="ar-SA"/>
        </w:rPr>
      </w:pPr>
      <w:r w:rsidRPr="006B2B47">
        <w:rPr>
          <w:lang w:val="de-DE" w:eastAsia="ar-SA"/>
        </w:rPr>
        <w:lastRenderedPageBreak/>
        <w:t xml:space="preserve">Major AB0- inkompatibilitet.  </w:t>
      </w:r>
    </w:p>
    <w:p w14:paraId="5C47DB4B" w14:textId="77777777" w:rsidR="009C25E1" w:rsidRPr="006B2B47" w:rsidRDefault="009C25E1" w:rsidP="00A27C50">
      <w:pPr>
        <w:suppressAutoHyphens/>
        <w:spacing w:after="0" w:line="240" w:lineRule="auto"/>
        <w:ind w:left="0" w:right="0"/>
        <w:jc w:val="both"/>
        <w:rPr>
          <w:rFonts w:ascii="Arial" w:hAnsi="Arial" w:cs="Arial"/>
          <w:sz w:val="20"/>
          <w:szCs w:val="20"/>
          <w:lang w:eastAsia="ar-SA"/>
        </w:rPr>
      </w:pPr>
      <w:r w:rsidRPr="006B2B47">
        <w:rPr>
          <w:rFonts w:ascii="Arial" w:hAnsi="Arial" w:cs="Arial"/>
          <w:sz w:val="20"/>
          <w:szCs w:val="20"/>
          <w:lang w:eastAsia="ar-SA"/>
        </w:rPr>
        <w:t>För att förhindra akut hemolys vid major AB0-inkompatibilitet får stamcellsprodukten innehålla högst 20 mL erytrocyter. Detta ombesörjs av stamcellslabortoriet (SCL) och proceduren ”erytrocytreduktion” sker enligt rutin på SCL. Isoagglutininer, dvs. nivåer av anti-A och anti-B antikroppar ska analyseras på alla patienter (recipient) inför stamcellstransplantation där major ABO-inkompatibilitet föreligger. Riklig hydrering i samband med stamcellsinfusionen rekommenderas. Behandling av akut hemolys är symtomatisk med intensiv hydrering, diuretika och vb kortison.</w:t>
      </w:r>
    </w:p>
    <w:p w14:paraId="4BB4BFEF" w14:textId="77777777" w:rsidR="009C25E1" w:rsidRPr="006B2B47" w:rsidRDefault="009C25E1" w:rsidP="009C25E1">
      <w:pPr>
        <w:suppressAutoHyphens/>
        <w:spacing w:after="0" w:line="240" w:lineRule="auto"/>
        <w:ind w:left="360" w:right="0"/>
        <w:jc w:val="both"/>
        <w:rPr>
          <w:rFonts w:ascii="Arial" w:hAnsi="Arial" w:cs="Arial"/>
          <w:i/>
          <w:sz w:val="20"/>
          <w:szCs w:val="20"/>
          <w:lang w:eastAsia="ar-SA"/>
        </w:rPr>
      </w:pPr>
    </w:p>
    <w:p w14:paraId="70341F0B" w14:textId="77777777" w:rsidR="009C25E1" w:rsidRPr="006B2B47" w:rsidRDefault="009C25E1" w:rsidP="009C25E1">
      <w:pPr>
        <w:numPr>
          <w:ilvl w:val="0"/>
          <w:numId w:val="24"/>
        </w:numPr>
        <w:tabs>
          <w:tab w:val="left" w:pos="284"/>
        </w:tabs>
        <w:suppressAutoHyphens/>
        <w:spacing w:after="0" w:line="240" w:lineRule="auto"/>
        <w:ind w:right="0"/>
        <w:jc w:val="both"/>
        <w:rPr>
          <w:rFonts w:ascii="Arial" w:hAnsi="Arial" w:cs="Arial"/>
          <w:sz w:val="20"/>
          <w:szCs w:val="20"/>
          <w:lang w:eastAsia="ar-SA"/>
        </w:rPr>
      </w:pPr>
      <w:r w:rsidRPr="006B2B47">
        <w:rPr>
          <w:rFonts w:ascii="Arial" w:hAnsi="Arial" w:cs="Arial"/>
          <w:i/>
          <w:sz w:val="20"/>
          <w:szCs w:val="20"/>
          <w:lang w:eastAsia="ar-SA"/>
        </w:rPr>
        <w:t xml:space="preserve">Transplantation av benmärg: </w:t>
      </w:r>
      <w:r w:rsidRPr="006B2B47">
        <w:rPr>
          <w:rFonts w:ascii="Arial" w:hAnsi="Arial" w:cs="Arial"/>
          <w:sz w:val="20"/>
          <w:szCs w:val="20"/>
          <w:lang w:eastAsia="ar-SA"/>
        </w:rPr>
        <w:t xml:space="preserve">Major ABO inkompatibilitet kan ge akut hemolytisk reaktion i samband med en benmärgstransplantation beroende på den stora mängden erytrocyter i en benmärgsskörd (Volym 500-1500 ml, EVF cirka 30 %). Titrar </w:t>
      </w:r>
      <w:r w:rsidRPr="006B2B47">
        <w:rPr>
          <w:rFonts w:ascii="Arial" w:hAnsi="Arial" w:cs="Arial"/>
          <w:sz w:val="20"/>
          <w:szCs w:val="20"/>
          <w:u w:val="single"/>
          <w:lang w:eastAsia="ar-SA"/>
        </w:rPr>
        <w:t>&gt;</w:t>
      </w:r>
      <w:r w:rsidRPr="006B2B47">
        <w:rPr>
          <w:rFonts w:ascii="Arial" w:hAnsi="Arial" w:cs="Arial"/>
          <w:sz w:val="20"/>
          <w:szCs w:val="20"/>
          <w:lang w:eastAsia="ar-SA"/>
        </w:rPr>
        <w:t xml:space="preserve"> 1/8 (NaCl och/eller IAT) hos recipienten räknas som höga och ska föranleda att antalet röda blodkroppar i den skördade benmärgen reduceras innan infusion av produkten. Om celldosen i stamcellsprodukten är låg kan man välja att avstå från erytrocytreduktion eller utföra en mer begränsad erytrocytreduktion. Detta beslut fattas i samråd med SCL. Förlust av celler kan uppgå till 40% vid en rutinprocedur.</w:t>
      </w:r>
    </w:p>
    <w:p w14:paraId="1A97E66E" w14:textId="77777777" w:rsidR="009C25E1" w:rsidRPr="006B2B47" w:rsidRDefault="009C25E1" w:rsidP="009C25E1">
      <w:pPr>
        <w:suppressAutoHyphens/>
        <w:spacing w:after="0" w:line="240" w:lineRule="auto"/>
        <w:ind w:left="360" w:right="0"/>
        <w:jc w:val="both"/>
        <w:rPr>
          <w:rFonts w:ascii="Arial" w:hAnsi="Arial" w:cs="Arial"/>
          <w:i/>
          <w:sz w:val="20"/>
          <w:szCs w:val="20"/>
          <w:lang w:eastAsia="ar-SA"/>
        </w:rPr>
      </w:pPr>
    </w:p>
    <w:p w14:paraId="506FC022" w14:textId="77777777" w:rsidR="009C25E1" w:rsidRPr="006B2B47" w:rsidRDefault="009C25E1" w:rsidP="009C25E1">
      <w:pPr>
        <w:numPr>
          <w:ilvl w:val="0"/>
          <w:numId w:val="21"/>
        </w:numPr>
        <w:suppressAutoHyphens/>
        <w:spacing w:after="0" w:line="240" w:lineRule="auto"/>
        <w:ind w:right="0"/>
        <w:jc w:val="both"/>
        <w:rPr>
          <w:rFonts w:ascii="Arial" w:hAnsi="Arial" w:cs="Arial"/>
          <w:sz w:val="20"/>
          <w:szCs w:val="20"/>
          <w:lang w:eastAsia="ar-SA"/>
        </w:rPr>
      </w:pPr>
      <w:r w:rsidRPr="006B2B47">
        <w:rPr>
          <w:rFonts w:ascii="Arial" w:hAnsi="Arial" w:cs="Arial"/>
          <w:i/>
          <w:sz w:val="20"/>
          <w:szCs w:val="20"/>
          <w:lang w:eastAsia="ar-SA"/>
        </w:rPr>
        <w:t xml:space="preserve">Transplantation av PBSC: </w:t>
      </w:r>
      <w:r w:rsidRPr="006B2B47">
        <w:rPr>
          <w:rFonts w:ascii="Arial" w:hAnsi="Arial" w:cs="Arial"/>
          <w:sz w:val="20"/>
          <w:szCs w:val="20"/>
          <w:lang w:eastAsia="ar-SA"/>
        </w:rPr>
        <w:t>Eftersom en PBSC-skörd vanligen innehåller obetydlig mängd erytrocyter (volym 200 till 250 mL, EVF 1-5 %) behöver ingen åtgärd vidtas innan infusion av cellprodukten.</w:t>
      </w:r>
    </w:p>
    <w:p w14:paraId="6A2ABEB4" w14:textId="77777777" w:rsidR="009C25E1" w:rsidRPr="006B2B47" w:rsidRDefault="009C25E1" w:rsidP="009C25E1">
      <w:pPr>
        <w:suppressAutoHyphens/>
        <w:spacing w:after="0" w:line="240" w:lineRule="auto"/>
        <w:ind w:left="360" w:right="0"/>
        <w:jc w:val="both"/>
        <w:rPr>
          <w:rFonts w:ascii="Arial" w:hAnsi="Arial" w:cs="Arial"/>
          <w:sz w:val="20"/>
          <w:szCs w:val="20"/>
          <w:lang w:eastAsia="ar-SA"/>
        </w:rPr>
      </w:pPr>
    </w:p>
    <w:p w14:paraId="0E66B617" w14:textId="5D338192" w:rsidR="009C25E1" w:rsidRPr="00A62A62" w:rsidRDefault="009C25E1" w:rsidP="00A62A62">
      <w:pPr>
        <w:pStyle w:val="Liststycke"/>
        <w:keepNext/>
        <w:numPr>
          <w:ilvl w:val="0"/>
          <w:numId w:val="25"/>
        </w:numPr>
        <w:tabs>
          <w:tab w:val="left" w:pos="357"/>
        </w:tabs>
        <w:suppressAutoHyphens/>
        <w:spacing w:after="0" w:line="240" w:lineRule="auto"/>
        <w:ind w:right="0"/>
        <w:jc w:val="both"/>
        <w:outlineLvl w:val="0"/>
        <w:rPr>
          <w:rFonts w:ascii="Arial" w:hAnsi="Arial" w:cs="Arial"/>
          <w:bCs/>
          <w:sz w:val="20"/>
          <w:szCs w:val="20"/>
          <w:lang w:eastAsia="ar-SA"/>
        </w:rPr>
      </w:pPr>
      <w:r w:rsidRPr="00B8133B">
        <w:rPr>
          <w:rFonts w:ascii="Arial" w:hAnsi="Arial" w:cs="Arial"/>
          <w:bCs/>
          <w:i/>
          <w:sz w:val="20"/>
          <w:szCs w:val="20"/>
          <w:lang w:eastAsia="ar-SA"/>
        </w:rPr>
        <w:t>Sena hemolytiska tillstånd</w:t>
      </w:r>
      <w:r w:rsidRPr="00B8133B">
        <w:rPr>
          <w:rFonts w:ascii="Arial" w:eastAsia="Times" w:hAnsi="Arial" w:cs="Arial"/>
          <w:bCs/>
          <w:i/>
          <w:sz w:val="20"/>
          <w:szCs w:val="20"/>
          <w:lang w:eastAsia="ar-SA"/>
        </w:rPr>
        <w:t>.</w:t>
      </w:r>
      <w:r w:rsidRPr="00B8133B">
        <w:rPr>
          <w:rFonts w:ascii="Arial" w:eastAsia="Times" w:hAnsi="Arial" w:cs="Arial"/>
          <w:bCs/>
          <w:sz w:val="20"/>
          <w:szCs w:val="20"/>
          <w:lang w:eastAsia="ar-SA"/>
        </w:rPr>
        <w:t xml:space="preserve"> Transplantation av både PBSC och BM vid </w:t>
      </w:r>
      <w:r w:rsidRPr="00B8133B">
        <w:rPr>
          <w:rFonts w:ascii="Arial" w:hAnsi="Arial" w:cs="Arial"/>
          <w:bCs/>
          <w:sz w:val="20"/>
          <w:szCs w:val="20"/>
          <w:lang w:eastAsia="ar-SA"/>
        </w:rPr>
        <w:t>major ABO- inkompatibilitet</w:t>
      </w:r>
      <w:r w:rsidRPr="00B8133B">
        <w:rPr>
          <w:rFonts w:ascii="Arial" w:eastAsia="Times" w:hAnsi="Arial" w:cs="Arial"/>
          <w:bCs/>
          <w:sz w:val="20"/>
          <w:szCs w:val="20"/>
          <w:lang w:eastAsia="ar-SA"/>
        </w:rPr>
        <w:t xml:space="preserve"> kan medföra ett </w:t>
      </w:r>
      <w:r w:rsidRPr="00B8133B">
        <w:rPr>
          <w:rFonts w:ascii="Arial" w:eastAsia="Times" w:hAnsi="Arial" w:cs="Arial"/>
          <w:bCs/>
          <w:i/>
          <w:sz w:val="20"/>
          <w:szCs w:val="20"/>
          <w:lang w:eastAsia="ar-SA"/>
        </w:rPr>
        <w:t>sent</w:t>
      </w:r>
      <w:r w:rsidRPr="00B8133B">
        <w:rPr>
          <w:rFonts w:ascii="Arial" w:eastAsia="Times" w:hAnsi="Arial" w:cs="Arial"/>
          <w:bCs/>
          <w:sz w:val="20"/>
          <w:szCs w:val="20"/>
          <w:lang w:eastAsia="ar-SA"/>
        </w:rPr>
        <w:t xml:space="preserve"> hemolytiskt tillstånd. Detta ses</w:t>
      </w:r>
      <w:r w:rsidRPr="00B8133B">
        <w:rPr>
          <w:rFonts w:ascii="Arial" w:hAnsi="Arial" w:cs="Arial"/>
          <w:bCs/>
          <w:sz w:val="20"/>
          <w:szCs w:val="20"/>
          <w:lang w:eastAsia="ar-SA"/>
        </w:rPr>
        <w:t xml:space="preserve"> oftast som</w:t>
      </w:r>
      <w:r w:rsidRPr="00B8133B">
        <w:rPr>
          <w:rFonts w:ascii="Arial" w:eastAsia="Times" w:hAnsi="Arial" w:cs="Arial"/>
          <w:bCs/>
          <w:sz w:val="20"/>
          <w:szCs w:val="20"/>
          <w:lang w:eastAsia="ar-SA"/>
        </w:rPr>
        <w:t xml:space="preserve"> försenad take av donatorerytropoes eller i sällsynta fall som pure red cell anemia. Ett sådant tillstånd beror </w:t>
      </w:r>
      <w:r w:rsidRPr="00B8133B">
        <w:rPr>
          <w:rFonts w:ascii="Arial" w:hAnsi="Arial" w:cs="Arial"/>
          <w:bCs/>
          <w:sz w:val="20"/>
          <w:szCs w:val="20"/>
          <w:lang w:eastAsia="ar-SA"/>
        </w:rPr>
        <w:t xml:space="preserve">på att patientens kvarvarande B-lymfocyter fortsätter att bilda isoagglutininer mot nybildade erytrocyter av donatortyp. </w:t>
      </w:r>
      <w:r w:rsidRPr="00B8133B">
        <w:rPr>
          <w:rFonts w:ascii="Arial" w:hAnsi="Arial" w:cs="Arial"/>
          <w:sz w:val="20"/>
          <w:szCs w:val="20"/>
        </w:rPr>
        <w:t>Patienten har</w:t>
      </w:r>
      <w:r w:rsidR="00B8133B" w:rsidRPr="00B8133B">
        <w:rPr>
          <w:rFonts w:ascii="Arial" w:hAnsi="Arial" w:cs="Arial"/>
          <w:sz w:val="20"/>
          <w:szCs w:val="20"/>
        </w:rPr>
        <w:t xml:space="preserve"> </w:t>
      </w:r>
      <w:r w:rsidRPr="00B8133B">
        <w:rPr>
          <w:rFonts w:ascii="Arial" w:hAnsi="Arial" w:cs="Arial"/>
          <w:sz w:val="20"/>
          <w:szCs w:val="20"/>
        </w:rPr>
        <w:t>då anemi med låga retikulocyter</w:t>
      </w:r>
      <w:r w:rsidRPr="006B2B47">
        <w:t xml:space="preserve">. </w:t>
      </w:r>
      <w:r w:rsidRPr="00B8133B">
        <w:rPr>
          <w:rFonts w:ascii="Arial" w:hAnsi="Arial" w:cs="Arial"/>
          <w:bCs/>
          <w:sz w:val="20"/>
          <w:szCs w:val="20"/>
          <w:lang w:eastAsia="ar-SA"/>
        </w:rPr>
        <w:t>För att förebygga detta ska enbart erytrocyter med blodgrupp 0 användas fram till dess att patienten helt har övertagit donatorns blodgrupp. Vid långvariga och svåra hemolytiska tillstånd kan rituximab behöva ges för att slå ut patientens kvarvarande B-celler (3).</w:t>
      </w:r>
    </w:p>
    <w:p w14:paraId="1564506C" w14:textId="77777777" w:rsidR="009C25E1" w:rsidRPr="006B2B47" w:rsidRDefault="009C25E1" w:rsidP="009C25E1">
      <w:pPr>
        <w:pStyle w:val="MellanrubrikVGR"/>
        <w:ind w:left="0"/>
        <w:rPr>
          <w:lang w:eastAsia="ar-SA"/>
        </w:rPr>
      </w:pPr>
      <w:r w:rsidRPr="006B2B47">
        <w:rPr>
          <w:lang w:eastAsia="ar-SA"/>
        </w:rPr>
        <w:t xml:space="preserve">Minor AB0- inkompatibilitet. </w:t>
      </w:r>
    </w:p>
    <w:p w14:paraId="446DFE53" w14:textId="77777777" w:rsidR="009C25E1" w:rsidRPr="006B2B47" w:rsidRDefault="009C25E1" w:rsidP="009C25E1">
      <w:pPr>
        <w:tabs>
          <w:tab w:val="left" w:pos="0"/>
        </w:tabs>
        <w:suppressAutoHyphens/>
        <w:spacing w:after="0" w:line="240" w:lineRule="auto"/>
        <w:ind w:left="0" w:right="0"/>
        <w:jc w:val="both"/>
        <w:rPr>
          <w:rFonts w:ascii="Arial" w:hAnsi="Arial" w:cs="Arial"/>
          <w:sz w:val="20"/>
          <w:szCs w:val="20"/>
          <w:lang w:eastAsia="ar-SA"/>
        </w:rPr>
      </w:pPr>
      <w:r w:rsidRPr="006B2B47">
        <w:rPr>
          <w:rFonts w:ascii="Arial" w:hAnsi="Arial" w:cs="Arial"/>
          <w:sz w:val="20"/>
          <w:szCs w:val="20"/>
          <w:lang w:eastAsia="ar-SA"/>
        </w:rPr>
        <w:t xml:space="preserve">Då det föreligger minor ABO inkompatibilitet ska isoagglutininer, dvs halt av anti-A och anti-B kontrolleras på alla donatorer. För att förhindra akut hemolys vid minor AB0-inkompatibilitet bör stamcellsprodukten innehåller högst 2 mL/kg </w:t>
      </w:r>
      <w:r w:rsidRPr="009C25E1">
        <w:rPr>
          <w:rFonts w:ascii="Arial" w:hAnsi="Arial" w:cs="Arial"/>
          <w:sz w:val="20"/>
          <w:szCs w:val="20"/>
          <w:lang w:eastAsia="ar-SA"/>
        </w:rPr>
        <w:t>kvarvarande inkompatibel plasma</w:t>
      </w:r>
      <w:r w:rsidRPr="006B2B47">
        <w:rPr>
          <w:rFonts w:ascii="Arial" w:hAnsi="Arial" w:cs="Arial"/>
          <w:sz w:val="20"/>
          <w:szCs w:val="20"/>
          <w:lang w:eastAsia="ar-SA"/>
        </w:rPr>
        <w:t xml:space="preserve">. Risken för tidig (dag +5 till dag +20) hemolys är sannolikt större vid transplantation av PBSC jämfört med benmärg beroende på att donatorns B-lymfocyter i vissa fall producerar antikroppar mot A- eller B-antigen på patientens kvarvarande erytrocyter. En sådan hemolys kommer i det typiska fallet i samband med märganslag men kan i vissa fall förekomma redan så tidigt som dag 5 efter transplantationen. Följ därför hemolysprover (särskilt bilirubin, ev DAT) två-tre ggr per vecka i minst tre veckor och därefter varje vecka under de första månaderna efter transplantationen.  </w:t>
      </w:r>
    </w:p>
    <w:p w14:paraId="4AC28DBE" w14:textId="77777777" w:rsidR="009C25E1" w:rsidRPr="006B2B47" w:rsidRDefault="009C25E1" w:rsidP="009C25E1">
      <w:pPr>
        <w:tabs>
          <w:tab w:val="left" w:pos="284"/>
        </w:tabs>
        <w:suppressAutoHyphens/>
        <w:spacing w:after="0" w:line="240" w:lineRule="auto"/>
        <w:ind w:left="284" w:right="0"/>
        <w:jc w:val="both"/>
        <w:rPr>
          <w:rFonts w:ascii="Arial" w:hAnsi="Arial" w:cs="Arial"/>
          <w:sz w:val="20"/>
          <w:szCs w:val="20"/>
          <w:lang w:eastAsia="ar-SA"/>
        </w:rPr>
      </w:pPr>
    </w:p>
    <w:p w14:paraId="24C498D4" w14:textId="72E44FDE" w:rsidR="009C25E1" w:rsidRPr="00B8133B" w:rsidRDefault="009C25E1" w:rsidP="00B8133B">
      <w:pPr>
        <w:pStyle w:val="Liststycke"/>
        <w:numPr>
          <w:ilvl w:val="0"/>
          <w:numId w:val="24"/>
        </w:numPr>
        <w:tabs>
          <w:tab w:val="left" w:pos="284"/>
        </w:tabs>
        <w:suppressAutoHyphens/>
        <w:spacing w:after="0" w:line="240" w:lineRule="auto"/>
        <w:ind w:right="0"/>
        <w:jc w:val="both"/>
        <w:rPr>
          <w:rFonts w:ascii="Arial" w:hAnsi="Arial" w:cs="Arial"/>
          <w:sz w:val="20"/>
          <w:szCs w:val="20"/>
          <w:lang w:eastAsia="ar-SA"/>
        </w:rPr>
      </w:pPr>
      <w:r w:rsidRPr="00B8133B">
        <w:rPr>
          <w:rFonts w:ascii="Arial" w:hAnsi="Arial" w:cs="Arial"/>
          <w:i/>
          <w:sz w:val="20"/>
          <w:szCs w:val="20"/>
          <w:lang w:eastAsia="ar-SA"/>
        </w:rPr>
        <w:t>Transplantation av BM:</w:t>
      </w:r>
      <w:r w:rsidRPr="00B8133B">
        <w:rPr>
          <w:rFonts w:ascii="Arial" w:hAnsi="Arial" w:cs="Arial"/>
          <w:sz w:val="20"/>
          <w:szCs w:val="20"/>
          <w:lang w:eastAsia="ar-SA"/>
        </w:rPr>
        <w:t xml:space="preserve"> Vid en benmärgstransplantation kan stora mängder plasma föras över eftersom skörden har en stor volym (500-1500 ml, EVF ca.30%) Det finns därför en uppenbar risk för </w:t>
      </w:r>
      <w:r w:rsidRPr="00B8133B">
        <w:rPr>
          <w:rFonts w:ascii="Arial" w:hAnsi="Arial" w:cs="Arial"/>
          <w:i/>
          <w:sz w:val="20"/>
          <w:szCs w:val="20"/>
          <w:lang w:eastAsia="ar-SA"/>
        </w:rPr>
        <w:t>akut</w:t>
      </w:r>
      <w:r w:rsidRPr="00B8133B">
        <w:rPr>
          <w:rFonts w:ascii="Arial" w:hAnsi="Arial" w:cs="Arial"/>
          <w:sz w:val="20"/>
          <w:szCs w:val="20"/>
          <w:lang w:eastAsia="ar-SA"/>
        </w:rPr>
        <w:t xml:space="preserve"> hemolys av patientens erytrocyter. Plasmareduktion bör därför göras. Om celldosen i stamcellsprodukten är låg görs plasmareduktion endast om NaCl titer ≥64 och/eller IAT titer ≥128. Detta beslut fattas av ansvarig läkare och meddelas SCL. Riktlinjen är max 2 ml/kg kvarvarande inkompatibel plasma.</w:t>
      </w:r>
    </w:p>
    <w:p w14:paraId="2527B896" w14:textId="77777777" w:rsidR="009C25E1" w:rsidRPr="006B2B47" w:rsidRDefault="009C25E1" w:rsidP="009C25E1">
      <w:pPr>
        <w:tabs>
          <w:tab w:val="left" w:pos="284"/>
        </w:tabs>
        <w:suppressAutoHyphens/>
        <w:spacing w:after="0" w:line="240" w:lineRule="auto"/>
        <w:ind w:left="284" w:right="0"/>
        <w:jc w:val="both"/>
        <w:rPr>
          <w:rFonts w:ascii="Arial" w:hAnsi="Arial" w:cs="Arial"/>
          <w:sz w:val="20"/>
          <w:szCs w:val="20"/>
          <w:lang w:eastAsia="ar-SA"/>
        </w:rPr>
      </w:pPr>
    </w:p>
    <w:p w14:paraId="7FE11579" w14:textId="7BE3BECB" w:rsidR="009C25E1" w:rsidRPr="00B8133B" w:rsidRDefault="009C25E1" w:rsidP="00B8133B">
      <w:pPr>
        <w:pStyle w:val="Liststycke"/>
        <w:numPr>
          <w:ilvl w:val="0"/>
          <w:numId w:val="24"/>
        </w:numPr>
        <w:tabs>
          <w:tab w:val="left" w:pos="284"/>
        </w:tabs>
        <w:suppressAutoHyphens/>
        <w:spacing w:after="0" w:line="240" w:lineRule="auto"/>
        <w:ind w:right="0"/>
        <w:jc w:val="both"/>
        <w:rPr>
          <w:rFonts w:ascii="Arial" w:hAnsi="Arial" w:cs="Arial"/>
          <w:sz w:val="20"/>
          <w:szCs w:val="20"/>
          <w:lang w:eastAsia="ar-SA"/>
        </w:rPr>
      </w:pPr>
      <w:r w:rsidRPr="00B8133B">
        <w:rPr>
          <w:rFonts w:ascii="Arial" w:hAnsi="Arial" w:cs="Arial"/>
          <w:i/>
          <w:sz w:val="20"/>
          <w:szCs w:val="20"/>
          <w:lang w:eastAsia="ar-SA"/>
        </w:rPr>
        <w:t>Transplantation av PBSC:</w:t>
      </w:r>
      <w:r w:rsidRPr="00B8133B">
        <w:rPr>
          <w:rFonts w:ascii="Arial" w:hAnsi="Arial" w:cs="Arial"/>
          <w:sz w:val="20"/>
          <w:szCs w:val="20"/>
          <w:lang w:eastAsia="ar-SA"/>
        </w:rPr>
        <w:t xml:space="preserve"> Plasmareduktion utförs inte rutinmässigt då en PBSC-skörd innehåller en begränsad mängd plasma (volym 200-250 mLEVF 1-5 %)</w:t>
      </w:r>
    </w:p>
    <w:p w14:paraId="7901D1FE" w14:textId="77777777" w:rsidR="009C25E1" w:rsidRPr="006B2B47" w:rsidRDefault="009C25E1" w:rsidP="009C25E1">
      <w:pPr>
        <w:tabs>
          <w:tab w:val="left" w:pos="284"/>
        </w:tabs>
        <w:suppressAutoHyphens/>
        <w:spacing w:after="0" w:line="240" w:lineRule="auto"/>
        <w:ind w:left="284" w:right="0"/>
        <w:jc w:val="both"/>
        <w:rPr>
          <w:rFonts w:ascii="Arial" w:hAnsi="Arial" w:cs="Arial"/>
          <w:sz w:val="20"/>
          <w:szCs w:val="20"/>
          <w:u w:val="single"/>
          <w:lang w:eastAsia="ar-SA"/>
        </w:rPr>
      </w:pPr>
    </w:p>
    <w:p w14:paraId="55E1F409" w14:textId="77777777" w:rsidR="009C25E1" w:rsidRPr="00B8133B" w:rsidRDefault="009C25E1" w:rsidP="00B8133B">
      <w:pPr>
        <w:pStyle w:val="Liststycke"/>
        <w:numPr>
          <w:ilvl w:val="0"/>
          <w:numId w:val="24"/>
        </w:numPr>
        <w:suppressAutoHyphens/>
        <w:spacing w:after="0" w:line="240" w:lineRule="auto"/>
        <w:ind w:right="0"/>
        <w:jc w:val="both"/>
        <w:rPr>
          <w:rFonts w:ascii="Arial" w:hAnsi="Arial" w:cs="Arial"/>
          <w:sz w:val="20"/>
          <w:szCs w:val="20"/>
          <w:lang w:eastAsia="ar-SA"/>
        </w:rPr>
      </w:pPr>
      <w:r w:rsidRPr="00B8133B">
        <w:rPr>
          <w:rFonts w:ascii="Arial" w:hAnsi="Arial" w:cs="Arial"/>
          <w:i/>
          <w:sz w:val="20"/>
          <w:szCs w:val="20"/>
          <w:lang w:eastAsia="ar-SA"/>
        </w:rPr>
        <w:t xml:space="preserve">Sena hemolytiska tillstånd </w:t>
      </w:r>
      <w:r w:rsidRPr="00B8133B">
        <w:rPr>
          <w:rFonts w:ascii="Arial" w:hAnsi="Arial" w:cs="Arial"/>
          <w:sz w:val="20"/>
          <w:szCs w:val="20"/>
          <w:lang w:eastAsia="ar-SA"/>
        </w:rPr>
        <w:t>är ovanliga vid minor AB0 inkompatibilitet</w:t>
      </w:r>
    </w:p>
    <w:p w14:paraId="585BD35C" w14:textId="77777777" w:rsidR="009C25E1" w:rsidRPr="006B2B47" w:rsidRDefault="009C25E1" w:rsidP="009C25E1">
      <w:pPr>
        <w:tabs>
          <w:tab w:val="left" w:pos="284"/>
        </w:tabs>
        <w:suppressAutoHyphens/>
        <w:spacing w:after="0" w:line="240" w:lineRule="auto"/>
        <w:ind w:left="284" w:right="0"/>
        <w:rPr>
          <w:rFonts w:ascii="Arial" w:hAnsi="Arial" w:cs="Arial"/>
          <w:sz w:val="20"/>
          <w:szCs w:val="20"/>
          <w:lang w:eastAsia="ar-SA"/>
        </w:rPr>
      </w:pPr>
    </w:p>
    <w:p w14:paraId="55C8654F" w14:textId="77777777" w:rsidR="009C25E1" w:rsidRPr="006B2B47" w:rsidRDefault="009C25E1" w:rsidP="009C25E1">
      <w:pPr>
        <w:pStyle w:val="MellanrubrikVGR"/>
        <w:ind w:left="0"/>
        <w:rPr>
          <w:lang w:eastAsia="ar-SA"/>
        </w:rPr>
      </w:pPr>
      <w:r w:rsidRPr="006B2B47">
        <w:rPr>
          <w:lang w:eastAsia="ar-SA"/>
        </w:rPr>
        <w:lastRenderedPageBreak/>
        <w:t xml:space="preserve">Bidirectional ABO inkompatibilitet. </w:t>
      </w:r>
    </w:p>
    <w:p w14:paraId="03E36F54" w14:textId="77777777" w:rsidR="009C25E1" w:rsidRPr="006B2B47" w:rsidRDefault="009C25E1" w:rsidP="009C25E1">
      <w:pPr>
        <w:keepNext/>
        <w:tabs>
          <w:tab w:val="num" w:pos="432"/>
        </w:tabs>
        <w:suppressAutoHyphens/>
        <w:spacing w:after="0" w:line="240" w:lineRule="auto"/>
        <w:ind w:left="432" w:right="0" w:hanging="432"/>
        <w:jc w:val="both"/>
        <w:outlineLvl w:val="0"/>
        <w:rPr>
          <w:rFonts w:ascii="Arial" w:hAnsi="Arial" w:cs="Arial"/>
          <w:bCs/>
          <w:sz w:val="20"/>
          <w:szCs w:val="20"/>
          <w:lang w:eastAsia="ar-SA"/>
        </w:rPr>
      </w:pPr>
      <w:r w:rsidRPr="006B2B47">
        <w:rPr>
          <w:rFonts w:ascii="Arial" w:hAnsi="Arial" w:cs="Arial"/>
          <w:bCs/>
          <w:sz w:val="20"/>
          <w:szCs w:val="20"/>
          <w:lang w:eastAsia="ar-SA"/>
        </w:rPr>
        <w:t>Denna situation ger risk för komplikationer av de typer som ses vid både major och minor</w:t>
      </w:r>
    </w:p>
    <w:p w14:paraId="4732A502" w14:textId="77777777" w:rsidR="009C25E1" w:rsidRPr="006B2B47" w:rsidRDefault="009C25E1" w:rsidP="009C25E1">
      <w:pPr>
        <w:keepNext/>
        <w:tabs>
          <w:tab w:val="num" w:pos="432"/>
        </w:tabs>
        <w:suppressAutoHyphens/>
        <w:spacing w:after="0" w:line="240" w:lineRule="auto"/>
        <w:ind w:left="432" w:right="0" w:hanging="432"/>
        <w:jc w:val="both"/>
        <w:outlineLvl w:val="0"/>
        <w:rPr>
          <w:rFonts w:ascii="Arial" w:hAnsi="Arial" w:cs="Arial"/>
          <w:bCs/>
          <w:sz w:val="20"/>
          <w:szCs w:val="20"/>
          <w:lang w:eastAsia="ar-SA"/>
        </w:rPr>
      </w:pPr>
      <w:r w:rsidRPr="006B2B47">
        <w:rPr>
          <w:rFonts w:ascii="Arial" w:hAnsi="Arial" w:cs="Arial"/>
          <w:bCs/>
          <w:sz w:val="20"/>
          <w:szCs w:val="20"/>
          <w:lang w:eastAsia="ar-SA"/>
        </w:rPr>
        <w:t>ABO inkompatibilitet. Isoagglutininer ska mätas på både donator och patient innan start av</w:t>
      </w:r>
    </w:p>
    <w:p w14:paraId="7CF1201B" w14:textId="77777777" w:rsidR="009C25E1" w:rsidRPr="006B2B47" w:rsidRDefault="009C25E1" w:rsidP="009C25E1">
      <w:pPr>
        <w:keepNext/>
        <w:tabs>
          <w:tab w:val="num" w:pos="432"/>
        </w:tabs>
        <w:suppressAutoHyphens/>
        <w:spacing w:after="0" w:line="240" w:lineRule="auto"/>
        <w:ind w:left="432" w:right="0" w:hanging="432"/>
        <w:jc w:val="both"/>
        <w:outlineLvl w:val="0"/>
        <w:rPr>
          <w:rFonts w:ascii="Arial" w:hAnsi="Arial" w:cs="Arial"/>
          <w:bCs/>
          <w:sz w:val="20"/>
          <w:szCs w:val="20"/>
          <w:lang w:eastAsia="ar-SA"/>
        </w:rPr>
      </w:pPr>
      <w:r w:rsidRPr="006B2B47">
        <w:rPr>
          <w:rFonts w:ascii="Arial" w:hAnsi="Arial" w:cs="Arial"/>
          <w:bCs/>
          <w:sz w:val="20"/>
          <w:szCs w:val="20"/>
          <w:lang w:eastAsia="ar-SA"/>
        </w:rPr>
        <w:t>konditionering och åtgärder som beskrivs ovan under major- respektive minor-</w:t>
      </w:r>
    </w:p>
    <w:p w14:paraId="4969989B" w14:textId="77777777" w:rsidR="009C25E1" w:rsidRPr="00FC138D" w:rsidRDefault="009C25E1" w:rsidP="009C25E1">
      <w:pPr>
        <w:keepNext/>
        <w:tabs>
          <w:tab w:val="num" w:pos="432"/>
        </w:tabs>
        <w:suppressAutoHyphens/>
        <w:spacing w:after="0" w:line="240" w:lineRule="auto"/>
        <w:ind w:left="432" w:right="0" w:hanging="432"/>
        <w:jc w:val="both"/>
        <w:outlineLvl w:val="0"/>
        <w:rPr>
          <w:rFonts w:ascii="Arial" w:hAnsi="Arial" w:cs="Arial"/>
          <w:bCs/>
          <w:sz w:val="20"/>
          <w:szCs w:val="20"/>
          <w:lang w:eastAsia="ar-SA"/>
        </w:rPr>
      </w:pPr>
      <w:r w:rsidRPr="006B2B47">
        <w:rPr>
          <w:rFonts w:ascii="Arial" w:hAnsi="Arial" w:cs="Arial"/>
          <w:bCs/>
          <w:sz w:val="20"/>
          <w:szCs w:val="20"/>
          <w:lang w:eastAsia="ar-SA"/>
        </w:rPr>
        <w:t>ABOinkompatibilitet måste övervägas.</w:t>
      </w:r>
    </w:p>
    <w:p w14:paraId="73104241" w14:textId="71E3D2D9" w:rsidR="009C25E1" w:rsidRPr="006B2B47" w:rsidRDefault="009C25E1" w:rsidP="009C25E1">
      <w:pPr>
        <w:pStyle w:val="MellanrubrikVGR"/>
        <w:ind w:left="0"/>
        <w:rPr>
          <w:lang w:eastAsia="ar-SA"/>
        </w:rPr>
      </w:pPr>
      <w:r w:rsidRPr="006B2B47">
        <w:rPr>
          <w:lang w:eastAsia="ar-SA"/>
        </w:rPr>
        <w:t>RhD-mismatch</w:t>
      </w:r>
      <w:r>
        <w:rPr>
          <w:lang w:eastAsia="ar-SA"/>
        </w:rPr>
        <w:t xml:space="preserve"> samt mismatch övriga blodgruppsystem</w:t>
      </w:r>
      <w:r w:rsidRPr="006B2B47">
        <w:rPr>
          <w:lang w:eastAsia="ar-SA"/>
        </w:rPr>
        <w:t>:</w:t>
      </w:r>
    </w:p>
    <w:p w14:paraId="51CAB08C" w14:textId="4C1CD388" w:rsidR="009C25E1" w:rsidRPr="00FC138D" w:rsidRDefault="009C25E1" w:rsidP="009C25E1">
      <w:pPr>
        <w:suppressAutoHyphens/>
        <w:spacing w:after="0" w:line="240" w:lineRule="auto"/>
        <w:ind w:left="0" w:right="0"/>
        <w:jc w:val="both"/>
        <w:rPr>
          <w:rFonts w:ascii="Arial" w:hAnsi="Arial" w:cs="Arial"/>
          <w:sz w:val="20"/>
          <w:szCs w:val="20"/>
          <w:lang w:eastAsia="ar-SA"/>
        </w:rPr>
      </w:pPr>
      <w:r w:rsidRPr="006B2B47">
        <w:rPr>
          <w:rFonts w:ascii="Arial" w:hAnsi="Arial" w:cs="Arial"/>
          <w:sz w:val="20"/>
          <w:szCs w:val="20"/>
          <w:lang w:eastAsia="ar-SA"/>
        </w:rPr>
        <w:t xml:space="preserve">En mismatch i Rh-systemet tycks inte medföra risk för dåligt märganslag eller försämrad överlevnad. Enstaka rapporter om allvarliga hemolytiska reaktioner förekommer dock. </w:t>
      </w:r>
      <w:r w:rsidRPr="006B2B47">
        <w:rPr>
          <w:rFonts w:ascii="Arial" w:hAnsi="Arial" w:cs="Arial"/>
          <w:i/>
          <w:sz w:val="20"/>
          <w:szCs w:val="20"/>
          <w:lang w:eastAsia="ar-SA"/>
        </w:rPr>
        <w:t>Observera</w:t>
      </w:r>
      <w:r w:rsidRPr="006B2B47">
        <w:rPr>
          <w:rFonts w:ascii="Arial" w:hAnsi="Arial" w:cs="Arial"/>
          <w:sz w:val="20"/>
          <w:szCs w:val="20"/>
          <w:lang w:eastAsia="ar-SA"/>
        </w:rPr>
        <w:t xml:space="preserve"> att en kvinnlig RhD negativ donator kan ha blivit immuniserad mot RhD faktorn i samband med graviditet. Hon har då anti-D i plasma vilket kan ge upphov till en akut hemolytisk reaktion vid </w:t>
      </w:r>
      <w:r w:rsidRPr="009C25E1">
        <w:rPr>
          <w:rFonts w:ascii="Arial" w:hAnsi="Arial" w:cs="Arial"/>
          <w:sz w:val="20"/>
          <w:szCs w:val="20"/>
          <w:lang w:eastAsia="ar-SA"/>
        </w:rPr>
        <w:t>benmärgstransplantation som innehåller större mängder plasma jämfört med PBSC. En RhD negativ recipient kan ha utvecklat RhD antikroppar i samband med tidigare transfusioner och dessa kan ge upphov till hemolys vid benmärgstransplantation som innehåller en större mängd erytrocyter jämfört med PBSC. Om RhD antikroppar hos donator eller recipient identifieras skall titer av dessa bestämmas på samma sätt som inför major eller minor-inkompatibel benmärgstransplantation. Begär titer irreguljära antikroppar inför SCT på remissen. Diskutera svaret med SCT inför beslut om eventuell plasma eller erytrocytreduktion av benmärg. Ovanstående resonemang kan i sällsynta fall gälla inkompatibilitet för övriga blodgruppsantigen där irreguljära antikroppar finns hos donator eller recipient. Konsultera SCT vid osäkerhet om klinisk betydelse.</w:t>
      </w:r>
    </w:p>
    <w:p w14:paraId="67E3CB4A" w14:textId="77777777" w:rsidR="009C25E1" w:rsidRPr="006B2B47" w:rsidRDefault="009C25E1" w:rsidP="009C25E1">
      <w:pPr>
        <w:tabs>
          <w:tab w:val="left" w:pos="357"/>
        </w:tabs>
        <w:suppressAutoHyphens/>
        <w:spacing w:after="0" w:line="240" w:lineRule="auto"/>
        <w:ind w:left="0" w:right="0"/>
        <w:rPr>
          <w:rFonts w:ascii="Arial" w:hAnsi="Arial" w:cs="Arial"/>
          <w:b/>
          <w:sz w:val="20"/>
          <w:szCs w:val="20"/>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3"/>
        <w:gridCol w:w="1663"/>
        <w:gridCol w:w="2078"/>
        <w:gridCol w:w="1556"/>
        <w:gridCol w:w="1556"/>
      </w:tblGrid>
      <w:tr w:rsidR="009C25E1" w:rsidRPr="006B2B47" w14:paraId="577D828F" w14:textId="77777777" w:rsidTr="00777115">
        <w:trPr>
          <w:trHeight w:val="187"/>
        </w:trPr>
        <w:tc>
          <w:tcPr>
            <w:tcW w:w="1663" w:type="dxa"/>
            <w:vMerge w:val="restart"/>
            <w:shd w:val="clear" w:color="auto" w:fill="auto"/>
          </w:tcPr>
          <w:p w14:paraId="28FACD52" w14:textId="77777777" w:rsidR="009C25E1" w:rsidRPr="006B2B47" w:rsidRDefault="009C25E1" w:rsidP="00777115">
            <w:pPr>
              <w:spacing w:after="0" w:line="240" w:lineRule="auto"/>
              <w:ind w:left="0" w:right="0"/>
              <w:jc w:val="center"/>
              <w:rPr>
                <w:sz w:val="18"/>
                <w:szCs w:val="18"/>
              </w:rPr>
            </w:pPr>
            <w:r w:rsidRPr="006B2B47">
              <w:rPr>
                <w:sz w:val="18"/>
                <w:szCs w:val="18"/>
              </w:rPr>
              <w:t>Patientens AB0</w:t>
            </w:r>
          </w:p>
        </w:tc>
        <w:tc>
          <w:tcPr>
            <w:tcW w:w="1663" w:type="dxa"/>
            <w:vMerge w:val="restart"/>
            <w:shd w:val="clear" w:color="auto" w:fill="auto"/>
          </w:tcPr>
          <w:p w14:paraId="38A38ACC" w14:textId="77777777" w:rsidR="009C25E1" w:rsidRPr="006B2B47" w:rsidRDefault="009C25E1" w:rsidP="00777115">
            <w:pPr>
              <w:spacing w:after="0" w:line="240" w:lineRule="auto"/>
              <w:ind w:left="0" w:right="0"/>
              <w:jc w:val="center"/>
              <w:rPr>
                <w:sz w:val="18"/>
                <w:szCs w:val="18"/>
              </w:rPr>
            </w:pPr>
            <w:r w:rsidRPr="006B2B47">
              <w:rPr>
                <w:sz w:val="18"/>
                <w:szCs w:val="18"/>
              </w:rPr>
              <w:t>Donatorns AB0</w:t>
            </w:r>
          </w:p>
        </w:tc>
        <w:tc>
          <w:tcPr>
            <w:tcW w:w="2078" w:type="dxa"/>
            <w:vMerge w:val="restart"/>
            <w:shd w:val="clear" w:color="auto" w:fill="auto"/>
          </w:tcPr>
          <w:p w14:paraId="75107CF0" w14:textId="77777777" w:rsidR="009C25E1" w:rsidRPr="006B2B47" w:rsidRDefault="009C25E1" w:rsidP="00777115">
            <w:pPr>
              <w:spacing w:after="0" w:line="240" w:lineRule="auto"/>
              <w:ind w:left="0" w:right="0"/>
              <w:jc w:val="center"/>
              <w:rPr>
                <w:sz w:val="18"/>
                <w:szCs w:val="18"/>
              </w:rPr>
            </w:pPr>
            <w:r w:rsidRPr="006B2B47">
              <w:rPr>
                <w:sz w:val="18"/>
                <w:szCs w:val="18"/>
              </w:rPr>
              <w:t>PBSC Plasmareducering</w:t>
            </w:r>
          </w:p>
        </w:tc>
        <w:tc>
          <w:tcPr>
            <w:tcW w:w="3112" w:type="dxa"/>
            <w:gridSpan w:val="2"/>
            <w:shd w:val="clear" w:color="auto" w:fill="auto"/>
          </w:tcPr>
          <w:p w14:paraId="1495F24F" w14:textId="77777777" w:rsidR="009C25E1" w:rsidRPr="006B2B47" w:rsidRDefault="009C25E1" w:rsidP="00777115">
            <w:pPr>
              <w:spacing w:after="0" w:line="240" w:lineRule="auto"/>
              <w:ind w:left="0" w:right="0"/>
              <w:jc w:val="center"/>
              <w:rPr>
                <w:sz w:val="18"/>
                <w:szCs w:val="18"/>
              </w:rPr>
            </w:pPr>
            <w:r w:rsidRPr="006B2B47">
              <w:rPr>
                <w:sz w:val="18"/>
                <w:szCs w:val="18"/>
              </w:rPr>
              <w:t>Benmärg</w:t>
            </w:r>
          </w:p>
        </w:tc>
      </w:tr>
      <w:tr w:rsidR="009C25E1" w:rsidRPr="006B2B47" w14:paraId="2C690E4C" w14:textId="77777777" w:rsidTr="00777115">
        <w:trPr>
          <w:trHeight w:val="186"/>
        </w:trPr>
        <w:tc>
          <w:tcPr>
            <w:tcW w:w="1663" w:type="dxa"/>
            <w:vMerge/>
            <w:shd w:val="clear" w:color="auto" w:fill="auto"/>
          </w:tcPr>
          <w:p w14:paraId="05069B31" w14:textId="77777777" w:rsidR="009C25E1" w:rsidRPr="006B2B47" w:rsidRDefault="009C25E1" w:rsidP="00777115">
            <w:pPr>
              <w:spacing w:after="0" w:line="240" w:lineRule="auto"/>
              <w:ind w:left="0" w:right="0"/>
              <w:rPr>
                <w:sz w:val="18"/>
                <w:szCs w:val="18"/>
              </w:rPr>
            </w:pPr>
          </w:p>
        </w:tc>
        <w:tc>
          <w:tcPr>
            <w:tcW w:w="1663" w:type="dxa"/>
            <w:vMerge/>
            <w:shd w:val="clear" w:color="auto" w:fill="auto"/>
          </w:tcPr>
          <w:p w14:paraId="697C6836" w14:textId="77777777" w:rsidR="009C25E1" w:rsidRPr="006B2B47" w:rsidRDefault="009C25E1" w:rsidP="00777115">
            <w:pPr>
              <w:spacing w:after="0" w:line="240" w:lineRule="auto"/>
              <w:ind w:left="0" w:right="0"/>
              <w:jc w:val="center"/>
              <w:rPr>
                <w:sz w:val="18"/>
                <w:szCs w:val="18"/>
              </w:rPr>
            </w:pPr>
          </w:p>
        </w:tc>
        <w:tc>
          <w:tcPr>
            <w:tcW w:w="2078" w:type="dxa"/>
            <w:vMerge/>
            <w:shd w:val="clear" w:color="auto" w:fill="auto"/>
          </w:tcPr>
          <w:p w14:paraId="64B6CF69" w14:textId="77777777" w:rsidR="009C25E1" w:rsidRPr="006B2B47" w:rsidRDefault="009C25E1" w:rsidP="00777115">
            <w:pPr>
              <w:spacing w:after="0" w:line="240" w:lineRule="auto"/>
              <w:ind w:left="0" w:right="0"/>
              <w:jc w:val="center"/>
              <w:rPr>
                <w:sz w:val="18"/>
                <w:szCs w:val="18"/>
              </w:rPr>
            </w:pPr>
          </w:p>
        </w:tc>
        <w:tc>
          <w:tcPr>
            <w:tcW w:w="1556" w:type="dxa"/>
            <w:shd w:val="clear" w:color="auto" w:fill="auto"/>
          </w:tcPr>
          <w:p w14:paraId="543FC948" w14:textId="77777777" w:rsidR="009C25E1" w:rsidRPr="006B2B47" w:rsidRDefault="009C25E1" w:rsidP="00777115">
            <w:pPr>
              <w:spacing w:after="0" w:line="240" w:lineRule="auto"/>
              <w:ind w:left="0" w:right="0"/>
              <w:jc w:val="center"/>
              <w:rPr>
                <w:sz w:val="18"/>
                <w:szCs w:val="18"/>
              </w:rPr>
            </w:pPr>
            <w:r w:rsidRPr="006B2B47">
              <w:rPr>
                <w:sz w:val="18"/>
                <w:szCs w:val="18"/>
              </w:rPr>
              <w:t>Plasmareducering</w:t>
            </w:r>
          </w:p>
        </w:tc>
        <w:tc>
          <w:tcPr>
            <w:tcW w:w="1556" w:type="dxa"/>
            <w:shd w:val="clear" w:color="auto" w:fill="auto"/>
          </w:tcPr>
          <w:p w14:paraId="2E19BCB4" w14:textId="77777777" w:rsidR="009C25E1" w:rsidRPr="006B2B47" w:rsidRDefault="009C25E1" w:rsidP="00777115">
            <w:pPr>
              <w:spacing w:after="0" w:line="240" w:lineRule="auto"/>
              <w:ind w:left="0" w:right="0"/>
              <w:jc w:val="center"/>
              <w:rPr>
                <w:sz w:val="18"/>
                <w:szCs w:val="18"/>
              </w:rPr>
            </w:pPr>
            <w:r w:rsidRPr="006B2B47">
              <w:rPr>
                <w:sz w:val="18"/>
                <w:szCs w:val="18"/>
              </w:rPr>
              <w:t>Dubbelbuffycoat*</w:t>
            </w:r>
          </w:p>
        </w:tc>
      </w:tr>
      <w:tr w:rsidR="009C25E1" w:rsidRPr="006B2B47" w14:paraId="00CF41FA" w14:textId="77777777" w:rsidTr="00777115">
        <w:tc>
          <w:tcPr>
            <w:tcW w:w="1663" w:type="dxa"/>
            <w:shd w:val="clear" w:color="auto" w:fill="auto"/>
          </w:tcPr>
          <w:p w14:paraId="55564955" w14:textId="77777777" w:rsidR="009C25E1" w:rsidRPr="006B2B47" w:rsidRDefault="009C25E1" w:rsidP="00777115">
            <w:pPr>
              <w:spacing w:after="0" w:line="240" w:lineRule="auto"/>
              <w:ind w:left="0" w:right="0"/>
              <w:jc w:val="center"/>
              <w:rPr>
                <w:sz w:val="18"/>
                <w:szCs w:val="18"/>
              </w:rPr>
            </w:pPr>
            <w:r w:rsidRPr="006B2B47">
              <w:rPr>
                <w:sz w:val="18"/>
                <w:szCs w:val="18"/>
              </w:rPr>
              <w:t>0</w:t>
            </w:r>
          </w:p>
        </w:tc>
        <w:tc>
          <w:tcPr>
            <w:tcW w:w="1663" w:type="dxa"/>
            <w:shd w:val="clear" w:color="auto" w:fill="auto"/>
          </w:tcPr>
          <w:p w14:paraId="6A4825E8" w14:textId="77777777" w:rsidR="009C25E1" w:rsidRPr="006B2B47" w:rsidRDefault="009C25E1" w:rsidP="00777115">
            <w:pPr>
              <w:spacing w:after="0" w:line="240" w:lineRule="auto"/>
              <w:ind w:left="0" w:right="0"/>
              <w:jc w:val="center"/>
              <w:rPr>
                <w:sz w:val="18"/>
                <w:szCs w:val="18"/>
              </w:rPr>
            </w:pPr>
            <w:r w:rsidRPr="006B2B47">
              <w:rPr>
                <w:sz w:val="18"/>
                <w:szCs w:val="18"/>
              </w:rPr>
              <w:t>A</w:t>
            </w:r>
          </w:p>
        </w:tc>
        <w:tc>
          <w:tcPr>
            <w:tcW w:w="2078" w:type="dxa"/>
            <w:shd w:val="clear" w:color="auto" w:fill="auto"/>
          </w:tcPr>
          <w:p w14:paraId="6CE321ED"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60996979"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787021D8"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r>
      <w:tr w:rsidR="009C25E1" w:rsidRPr="006B2B47" w14:paraId="3C5F5E3A" w14:textId="77777777" w:rsidTr="00777115">
        <w:tc>
          <w:tcPr>
            <w:tcW w:w="1663" w:type="dxa"/>
            <w:shd w:val="clear" w:color="auto" w:fill="auto"/>
          </w:tcPr>
          <w:p w14:paraId="2A22B384" w14:textId="77777777" w:rsidR="009C25E1" w:rsidRPr="006B2B47" w:rsidRDefault="009C25E1" w:rsidP="00777115">
            <w:pPr>
              <w:spacing w:after="0" w:line="240" w:lineRule="auto"/>
              <w:ind w:left="0" w:right="0"/>
              <w:jc w:val="center"/>
              <w:rPr>
                <w:sz w:val="18"/>
                <w:szCs w:val="18"/>
              </w:rPr>
            </w:pPr>
            <w:r w:rsidRPr="006B2B47">
              <w:rPr>
                <w:sz w:val="18"/>
                <w:szCs w:val="18"/>
              </w:rPr>
              <w:t>0</w:t>
            </w:r>
          </w:p>
        </w:tc>
        <w:tc>
          <w:tcPr>
            <w:tcW w:w="1663" w:type="dxa"/>
            <w:shd w:val="clear" w:color="auto" w:fill="auto"/>
          </w:tcPr>
          <w:p w14:paraId="104DA26D" w14:textId="77777777" w:rsidR="009C25E1" w:rsidRPr="006B2B47" w:rsidRDefault="009C25E1" w:rsidP="00777115">
            <w:pPr>
              <w:spacing w:after="0" w:line="240" w:lineRule="auto"/>
              <w:ind w:left="0" w:right="0"/>
              <w:jc w:val="center"/>
              <w:rPr>
                <w:sz w:val="18"/>
                <w:szCs w:val="18"/>
              </w:rPr>
            </w:pPr>
            <w:r w:rsidRPr="006B2B47">
              <w:rPr>
                <w:sz w:val="18"/>
                <w:szCs w:val="18"/>
              </w:rPr>
              <w:t>B</w:t>
            </w:r>
          </w:p>
        </w:tc>
        <w:tc>
          <w:tcPr>
            <w:tcW w:w="2078" w:type="dxa"/>
            <w:shd w:val="clear" w:color="auto" w:fill="auto"/>
          </w:tcPr>
          <w:p w14:paraId="0D5CFBEA"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433906B4"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7DC2FC8B"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r>
      <w:tr w:rsidR="009C25E1" w:rsidRPr="006B2B47" w14:paraId="23D3AA72" w14:textId="77777777" w:rsidTr="00777115">
        <w:tc>
          <w:tcPr>
            <w:tcW w:w="1663" w:type="dxa"/>
            <w:shd w:val="clear" w:color="auto" w:fill="auto"/>
          </w:tcPr>
          <w:p w14:paraId="31AEA91E" w14:textId="77777777" w:rsidR="009C25E1" w:rsidRPr="006B2B47" w:rsidRDefault="009C25E1" w:rsidP="00777115">
            <w:pPr>
              <w:spacing w:after="0" w:line="240" w:lineRule="auto"/>
              <w:ind w:left="0" w:right="0"/>
              <w:jc w:val="center"/>
              <w:rPr>
                <w:sz w:val="18"/>
                <w:szCs w:val="18"/>
              </w:rPr>
            </w:pPr>
            <w:r w:rsidRPr="006B2B47">
              <w:rPr>
                <w:sz w:val="18"/>
                <w:szCs w:val="18"/>
              </w:rPr>
              <w:t>0</w:t>
            </w:r>
          </w:p>
        </w:tc>
        <w:tc>
          <w:tcPr>
            <w:tcW w:w="1663" w:type="dxa"/>
            <w:shd w:val="clear" w:color="auto" w:fill="auto"/>
          </w:tcPr>
          <w:p w14:paraId="149AB9C5" w14:textId="77777777" w:rsidR="009C25E1" w:rsidRPr="006B2B47" w:rsidRDefault="009C25E1" w:rsidP="00777115">
            <w:pPr>
              <w:spacing w:after="0" w:line="240" w:lineRule="auto"/>
              <w:ind w:left="0" w:right="0"/>
              <w:jc w:val="center"/>
              <w:rPr>
                <w:sz w:val="18"/>
                <w:szCs w:val="18"/>
              </w:rPr>
            </w:pPr>
            <w:r w:rsidRPr="006B2B47">
              <w:rPr>
                <w:sz w:val="18"/>
                <w:szCs w:val="18"/>
              </w:rPr>
              <w:t>AB</w:t>
            </w:r>
          </w:p>
        </w:tc>
        <w:tc>
          <w:tcPr>
            <w:tcW w:w="2078" w:type="dxa"/>
            <w:shd w:val="clear" w:color="auto" w:fill="auto"/>
          </w:tcPr>
          <w:p w14:paraId="0ED57431"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2DD72311"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3168FD8C"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r>
      <w:tr w:rsidR="009C25E1" w:rsidRPr="006B2B47" w14:paraId="57CC1708" w14:textId="77777777" w:rsidTr="00777115">
        <w:tc>
          <w:tcPr>
            <w:tcW w:w="1663" w:type="dxa"/>
            <w:shd w:val="clear" w:color="auto" w:fill="auto"/>
          </w:tcPr>
          <w:p w14:paraId="0A3E8EF1" w14:textId="77777777" w:rsidR="009C25E1" w:rsidRPr="006B2B47" w:rsidRDefault="009C25E1" w:rsidP="00777115">
            <w:pPr>
              <w:spacing w:after="0" w:line="240" w:lineRule="auto"/>
              <w:ind w:left="0" w:right="0"/>
              <w:jc w:val="center"/>
              <w:rPr>
                <w:sz w:val="18"/>
                <w:szCs w:val="18"/>
              </w:rPr>
            </w:pPr>
          </w:p>
        </w:tc>
        <w:tc>
          <w:tcPr>
            <w:tcW w:w="1663" w:type="dxa"/>
            <w:shd w:val="clear" w:color="auto" w:fill="auto"/>
          </w:tcPr>
          <w:p w14:paraId="1CFE5785" w14:textId="77777777" w:rsidR="009C25E1" w:rsidRPr="006B2B47" w:rsidRDefault="009C25E1" w:rsidP="00777115">
            <w:pPr>
              <w:spacing w:after="0" w:line="240" w:lineRule="auto"/>
              <w:ind w:left="0" w:right="0"/>
              <w:jc w:val="center"/>
              <w:rPr>
                <w:sz w:val="18"/>
                <w:szCs w:val="18"/>
              </w:rPr>
            </w:pPr>
          </w:p>
        </w:tc>
        <w:tc>
          <w:tcPr>
            <w:tcW w:w="2078" w:type="dxa"/>
            <w:shd w:val="clear" w:color="auto" w:fill="auto"/>
          </w:tcPr>
          <w:p w14:paraId="647043FC" w14:textId="77777777" w:rsidR="009C25E1" w:rsidRPr="006B2B47" w:rsidRDefault="009C25E1" w:rsidP="00777115">
            <w:pPr>
              <w:spacing w:after="0" w:line="240" w:lineRule="auto"/>
              <w:ind w:left="0" w:right="0"/>
              <w:jc w:val="center"/>
              <w:rPr>
                <w:sz w:val="18"/>
                <w:szCs w:val="18"/>
              </w:rPr>
            </w:pPr>
          </w:p>
        </w:tc>
        <w:tc>
          <w:tcPr>
            <w:tcW w:w="1556" w:type="dxa"/>
            <w:shd w:val="clear" w:color="auto" w:fill="auto"/>
          </w:tcPr>
          <w:p w14:paraId="41ECFD01" w14:textId="77777777" w:rsidR="009C25E1" w:rsidRPr="006B2B47" w:rsidRDefault="009C25E1" w:rsidP="00777115">
            <w:pPr>
              <w:spacing w:after="0" w:line="240" w:lineRule="auto"/>
              <w:ind w:left="0" w:right="0"/>
              <w:jc w:val="center"/>
              <w:rPr>
                <w:sz w:val="18"/>
                <w:szCs w:val="18"/>
              </w:rPr>
            </w:pPr>
          </w:p>
        </w:tc>
        <w:tc>
          <w:tcPr>
            <w:tcW w:w="1556" w:type="dxa"/>
            <w:shd w:val="clear" w:color="auto" w:fill="auto"/>
          </w:tcPr>
          <w:p w14:paraId="3BB2DCC4" w14:textId="77777777" w:rsidR="009C25E1" w:rsidRPr="006B2B47" w:rsidRDefault="009C25E1" w:rsidP="00777115">
            <w:pPr>
              <w:spacing w:after="0" w:line="240" w:lineRule="auto"/>
              <w:ind w:left="0" w:right="0"/>
              <w:jc w:val="center"/>
              <w:rPr>
                <w:sz w:val="18"/>
                <w:szCs w:val="18"/>
              </w:rPr>
            </w:pPr>
          </w:p>
        </w:tc>
      </w:tr>
      <w:tr w:rsidR="009C25E1" w:rsidRPr="006B2B47" w14:paraId="376A3970" w14:textId="77777777" w:rsidTr="00777115">
        <w:tc>
          <w:tcPr>
            <w:tcW w:w="1663" w:type="dxa"/>
            <w:shd w:val="clear" w:color="auto" w:fill="auto"/>
          </w:tcPr>
          <w:p w14:paraId="4B9C60DA" w14:textId="77777777" w:rsidR="009C25E1" w:rsidRPr="006B2B47" w:rsidRDefault="009C25E1" w:rsidP="00777115">
            <w:pPr>
              <w:spacing w:after="0" w:line="240" w:lineRule="auto"/>
              <w:ind w:left="0" w:right="0"/>
              <w:jc w:val="center"/>
              <w:rPr>
                <w:sz w:val="18"/>
                <w:szCs w:val="18"/>
              </w:rPr>
            </w:pPr>
            <w:r w:rsidRPr="006B2B47">
              <w:rPr>
                <w:sz w:val="18"/>
                <w:szCs w:val="18"/>
              </w:rPr>
              <w:t>A</w:t>
            </w:r>
          </w:p>
        </w:tc>
        <w:tc>
          <w:tcPr>
            <w:tcW w:w="1663" w:type="dxa"/>
            <w:shd w:val="clear" w:color="auto" w:fill="auto"/>
          </w:tcPr>
          <w:p w14:paraId="493C67F5" w14:textId="77777777" w:rsidR="009C25E1" w:rsidRPr="006B2B47" w:rsidRDefault="009C25E1" w:rsidP="00777115">
            <w:pPr>
              <w:spacing w:after="0" w:line="240" w:lineRule="auto"/>
              <w:ind w:left="0" w:right="0"/>
              <w:jc w:val="center"/>
              <w:rPr>
                <w:sz w:val="18"/>
                <w:szCs w:val="18"/>
              </w:rPr>
            </w:pPr>
            <w:r w:rsidRPr="006B2B47">
              <w:rPr>
                <w:sz w:val="18"/>
                <w:szCs w:val="18"/>
              </w:rPr>
              <w:t>0</w:t>
            </w:r>
          </w:p>
        </w:tc>
        <w:tc>
          <w:tcPr>
            <w:tcW w:w="2078" w:type="dxa"/>
            <w:shd w:val="clear" w:color="auto" w:fill="auto"/>
          </w:tcPr>
          <w:p w14:paraId="2D6CF6E6"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4848A7AD"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c>
          <w:tcPr>
            <w:tcW w:w="1556" w:type="dxa"/>
            <w:shd w:val="clear" w:color="auto" w:fill="auto"/>
          </w:tcPr>
          <w:p w14:paraId="265574B0"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r>
      <w:tr w:rsidR="009C25E1" w:rsidRPr="006B2B47" w14:paraId="07901F0B" w14:textId="77777777" w:rsidTr="00777115">
        <w:tc>
          <w:tcPr>
            <w:tcW w:w="1663" w:type="dxa"/>
            <w:shd w:val="clear" w:color="auto" w:fill="auto"/>
          </w:tcPr>
          <w:p w14:paraId="012A4BB1" w14:textId="77777777" w:rsidR="009C25E1" w:rsidRPr="006B2B47" w:rsidRDefault="009C25E1" w:rsidP="00777115">
            <w:pPr>
              <w:spacing w:after="0" w:line="240" w:lineRule="auto"/>
              <w:ind w:left="0" w:right="0"/>
              <w:jc w:val="center"/>
              <w:rPr>
                <w:sz w:val="18"/>
                <w:szCs w:val="18"/>
              </w:rPr>
            </w:pPr>
            <w:r w:rsidRPr="006B2B47">
              <w:rPr>
                <w:sz w:val="18"/>
                <w:szCs w:val="18"/>
              </w:rPr>
              <w:t>A</w:t>
            </w:r>
          </w:p>
        </w:tc>
        <w:tc>
          <w:tcPr>
            <w:tcW w:w="1663" w:type="dxa"/>
            <w:shd w:val="clear" w:color="auto" w:fill="auto"/>
          </w:tcPr>
          <w:p w14:paraId="4EA67C26" w14:textId="77777777" w:rsidR="009C25E1" w:rsidRPr="006B2B47" w:rsidRDefault="009C25E1" w:rsidP="00777115">
            <w:pPr>
              <w:spacing w:after="0" w:line="240" w:lineRule="auto"/>
              <w:ind w:left="0" w:right="0"/>
              <w:jc w:val="center"/>
              <w:rPr>
                <w:sz w:val="18"/>
                <w:szCs w:val="18"/>
              </w:rPr>
            </w:pPr>
            <w:r w:rsidRPr="006B2B47">
              <w:rPr>
                <w:sz w:val="18"/>
                <w:szCs w:val="18"/>
              </w:rPr>
              <w:t>B</w:t>
            </w:r>
          </w:p>
        </w:tc>
        <w:tc>
          <w:tcPr>
            <w:tcW w:w="2078" w:type="dxa"/>
            <w:shd w:val="clear" w:color="auto" w:fill="auto"/>
          </w:tcPr>
          <w:p w14:paraId="63F59625" w14:textId="77777777" w:rsidR="009C25E1" w:rsidRPr="006B2B47" w:rsidRDefault="009C25E1" w:rsidP="00777115">
            <w:pPr>
              <w:spacing w:after="0" w:line="240" w:lineRule="auto"/>
              <w:ind w:left="0" w:right="0"/>
              <w:jc w:val="center"/>
              <w:rPr>
                <w:b/>
                <w:sz w:val="18"/>
                <w:szCs w:val="18"/>
              </w:rPr>
            </w:pPr>
            <w:r w:rsidRPr="006B2B47">
              <w:rPr>
                <w:b/>
                <w:sz w:val="18"/>
                <w:szCs w:val="18"/>
              </w:rPr>
              <w:t>Nej</w:t>
            </w:r>
          </w:p>
        </w:tc>
        <w:tc>
          <w:tcPr>
            <w:tcW w:w="1556" w:type="dxa"/>
            <w:shd w:val="clear" w:color="auto" w:fill="auto"/>
          </w:tcPr>
          <w:p w14:paraId="5F8DF4AA" w14:textId="77777777" w:rsidR="009C25E1" w:rsidRPr="006B2B47" w:rsidRDefault="009C25E1" w:rsidP="00777115">
            <w:pPr>
              <w:spacing w:after="0" w:line="240" w:lineRule="auto"/>
              <w:ind w:left="0" w:right="0"/>
              <w:jc w:val="center"/>
              <w:rPr>
                <w:sz w:val="18"/>
                <w:szCs w:val="18"/>
              </w:rPr>
            </w:pPr>
            <w:r w:rsidRPr="006B2B47">
              <w:rPr>
                <w:sz w:val="18"/>
                <w:szCs w:val="18"/>
              </w:rPr>
              <w:t>Ja</w:t>
            </w:r>
          </w:p>
        </w:tc>
        <w:tc>
          <w:tcPr>
            <w:tcW w:w="1556" w:type="dxa"/>
            <w:shd w:val="clear" w:color="auto" w:fill="auto"/>
          </w:tcPr>
          <w:p w14:paraId="63EFF4D3"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r>
      <w:tr w:rsidR="009C25E1" w:rsidRPr="006B2B47" w14:paraId="0E43B5CE" w14:textId="77777777" w:rsidTr="00777115">
        <w:tc>
          <w:tcPr>
            <w:tcW w:w="1663" w:type="dxa"/>
            <w:shd w:val="clear" w:color="auto" w:fill="auto"/>
          </w:tcPr>
          <w:p w14:paraId="3F039B0C" w14:textId="77777777" w:rsidR="009C25E1" w:rsidRPr="006B2B47" w:rsidRDefault="009C25E1" w:rsidP="00777115">
            <w:pPr>
              <w:spacing w:after="0" w:line="240" w:lineRule="auto"/>
              <w:ind w:left="0" w:right="0"/>
              <w:jc w:val="center"/>
              <w:rPr>
                <w:sz w:val="18"/>
                <w:szCs w:val="18"/>
              </w:rPr>
            </w:pPr>
            <w:r w:rsidRPr="006B2B47">
              <w:rPr>
                <w:sz w:val="18"/>
                <w:szCs w:val="18"/>
              </w:rPr>
              <w:t>A</w:t>
            </w:r>
          </w:p>
        </w:tc>
        <w:tc>
          <w:tcPr>
            <w:tcW w:w="1663" w:type="dxa"/>
            <w:shd w:val="clear" w:color="auto" w:fill="auto"/>
          </w:tcPr>
          <w:p w14:paraId="08600217" w14:textId="77777777" w:rsidR="009C25E1" w:rsidRPr="006B2B47" w:rsidRDefault="009C25E1" w:rsidP="00777115">
            <w:pPr>
              <w:spacing w:after="0" w:line="240" w:lineRule="auto"/>
              <w:ind w:left="0" w:right="0"/>
              <w:jc w:val="center"/>
              <w:rPr>
                <w:sz w:val="18"/>
                <w:szCs w:val="18"/>
              </w:rPr>
            </w:pPr>
            <w:r w:rsidRPr="006B2B47">
              <w:rPr>
                <w:sz w:val="18"/>
                <w:szCs w:val="18"/>
              </w:rPr>
              <w:t>AB</w:t>
            </w:r>
          </w:p>
        </w:tc>
        <w:tc>
          <w:tcPr>
            <w:tcW w:w="2078" w:type="dxa"/>
            <w:shd w:val="clear" w:color="auto" w:fill="auto"/>
          </w:tcPr>
          <w:p w14:paraId="663CE0F4"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488EDE1C"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2BEBC079"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r>
      <w:tr w:rsidR="009C25E1" w:rsidRPr="006B2B47" w14:paraId="438612F6" w14:textId="77777777" w:rsidTr="00777115">
        <w:tc>
          <w:tcPr>
            <w:tcW w:w="1663" w:type="dxa"/>
            <w:shd w:val="clear" w:color="auto" w:fill="auto"/>
          </w:tcPr>
          <w:p w14:paraId="56A25D20" w14:textId="77777777" w:rsidR="009C25E1" w:rsidRPr="006B2B47" w:rsidRDefault="009C25E1" w:rsidP="00777115">
            <w:pPr>
              <w:spacing w:after="0" w:line="240" w:lineRule="auto"/>
              <w:ind w:left="0" w:right="0"/>
              <w:jc w:val="center"/>
              <w:rPr>
                <w:sz w:val="18"/>
                <w:szCs w:val="18"/>
              </w:rPr>
            </w:pPr>
          </w:p>
        </w:tc>
        <w:tc>
          <w:tcPr>
            <w:tcW w:w="1663" w:type="dxa"/>
            <w:shd w:val="clear" w:color="auto" w:fill="auto"/>
          </w:tcPr>
          <w:p w14:paraId="2DDB84CB" w14:textId="77777777" w:rsidR="009C25E1" w:rsidRPr="006B2B47" w:rsidRDefault="009C25E1" w:rsidP="00777115">
            <w:pPr>
              <w:spacing w:after="0" w:line="240" w:lineRule="auto"/>
              <w:ind w:left="0" w:right="0"/>
              <w:jc w:val="center"/>
              <w:rPr>
                <w:sz w:val="18"/>
                <w:szCs w:val="18"/>
              </w:rPr>
            </w:pPr>
          </w:p>
        </w:tc>
        <w:tc>
          <w:tcPr>
            <w:tcW w:w="2078" w:type="dxa"/>
            <w:shd w:val="clear" w:color="auto" w:fill="auto"/>
          </w:tcPr>
          <w:p w14:paraId="5982365D" w14:textId="77777777" w:rsidR="009C25E1" w:rsidRPr="006B2B47" w:rsidRDefault="009C25E1" w:rsidP="00777115">
            <w:pPr>
              <w:spacing w:after="0" w:line="240" w:lineRule="auto"/>
              <w:ind w:left="0" w:right="0"/>
              <w:jc w:val="center"/>
              <w:rPr>
                <w:sz w:val="18"/>
                <w:szCs w:val="18"/>
              </w:rPr>
            </w:pPr>
          </w:p>
        </w:tc>
        <w:tc>
          <w:tcPr>
            <w:tcW w:w="1556" w:type="dxa"/>
            <w:shd w:val="clear" w:color="auto" w:fill="auto"/>
          </w:tcPr>
          <w:p w14:paraId="736C66B9" w14:textId="77777777" w:rsidR="009C25E1" w:rsidRPr="006B2B47" w:rsidRDefault="009C25E1" w:rsidP="00777115">
            <w:pPr>
              <w:spacing w:after="0" w:line="240" w:lineRule="auto"/>
              <w:ind w:left="0" w:right="0"/>
              <w:jc w:val="center"/>
              <w:rPr>
                <w:sz w:val="18"/>
                <w:szCs w:val="18"/>
              </w:rPr>
            </w:pPr>
          </w:p>
        </w:tc>
        <w:tc>
          <w:tcPr>
            <w:tcW w:w="1556" w:type="dxa"/>
            <w:shd w:val="clear" w:color="auto" w:fill="auto"/>
          </w:tcPr>
          <w:p w14:paraId="20ADB85A" w14:textId="77777777" w:rsidR="009C25E1" w:rsidRPr="006B2B47" w:rsidRDefault="009C25E1" w:rsidP="00777115">
            <w:pPr>
              <w:spacing w:after="0" w:line="240" w:lineRule="auto"/>
              <w:ind w:left="0" w:right="0"/>
              <w:jc w:val="center"/>
              <w:rPr>
                <w:sz w:val="18"/>
                <w:szCs w:val="18"/>
              </w:rPr>
            </w:pPr>
          </w:p>
        </w:tc>
      </w:tr>
      <w:tr w:rsidR="009C25E1" w:rsidRPr="006B2B47" w14:paraId="3515AAC9" w14:textId="77777777" w:rsidTr="00777115">
        <w:tc>
          <w:tcPr>
            <w:tcW w:w="1663" w:type="dxa"/>
            <w:shd w:val="clear" w:color="auto" w:fill="auto"/>
          </w:tcPr>
          <w:p w14:paraId="09923F09" w14:textId="77777777" w:rsidR="009C25E1" w:rsidRPr="006B2B47" w:rsidRDefault="009C25E1" w:rsidP="00777115">
            <w:pPr>
              <w:spacing w:after="0" w:line="240" w:lineRule="auto"/>
              <w:ind w:left="0" w:right="0"/>
              <w:jc w:val="center"/>
              <w:rPr>
                <w:sz w:val="18"/>
                <w:szCs w:val="18"/>
              </w:rPr>
            </w:pPr>
            <w:r w:rsidRPr="006B2B47">
              <w:rPr>
                <w:sz w:val="18"/>
                <w:szCs w:val="18"/>
              </w:rPr>
              <w:t>B</w:t>
            </w:r>
          </w:p>
        </w:tc>
        <w:tc>
          <w:tcPr>
            <w:tcW w:w="1663" w:type="dxa"/>
            <w:shd w:val="clear" w:color="auto" w:fill="auto"/>
          </w:tcPr>
          <w:p w14:paraId="4A8903AD" w14:textId="77777777" w:rsidR="009C25E1" w:rsidRPr="006B2B47" w:rsidRDefault="009C25E1" w:rsidP="00777115">
            <w:pPr>
              <w:spacing w:after="0" w:line="240" w:lineRule="auto"/>
              <w:ind w:left="0" w:right="0"/>
              <w:jc w:val="center"/>
              <w:rPr>
                <w:sz w:val="18"/>
                <w:szCs w:val="18"/>
              </w:rPr>
            </w:pPr>
            <w:r w:rsidRPr="006B2B47">
              <w:rPr>
                <w:sz w:val="18"/>
                <w:szCs w:val="18"/>
              </w:rPr>
              <w:t>0</w:t>
            </w:r>
          </w:p>
        </w:tc>
        <w:tc>
          <w:tcPr>
            <w:tcW w:w="2078" w:type="dxa"/>
            <w:shd w:val="clear" w:color="auto" w:fill="auto"/>
          </w:tcPr>
          <w:p w14:paraId="055EE1A9"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2403D3C2"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c>
          <w:tcPr>
            <w:tcW w:w="1556" w:type="dxa"/>
            <w:shd w:val="clear" w:color="auto" w:fill="auto"/>
          </w:tcPr>
          <w:p w14:paraId="41DF7844"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r>
      <w:tr w:rsidR="009C25E1" w:rsidRPr="006B2B47" w14:paraId="082268D0" w14:textId="77777777" w:rsidTr="00777115">
        <w:tc>
          <w:tcPr>
            <w:tcW w:w="1663" w:type="dxa"/>
            <w:shd w:val="clear" w:color="auto" w:fill="auto"/>
          </w:tcPr>
          <w:p w14:paraId="1B45B1F2" w14:textId="77777777" w:rsidR="009C25E1" w:rsidRPr="006B2B47" w:rsidRDefault="009C25E1" w:rsidP="00777115">
            <w:pPr>
              <w:spacing w:after="0" w:line="240" w:lineRule="auto"/>
              <w:ind w:left="0" w:right="0"/>
              <w:jc w:val="center"/>
              <w:rPr>
                <w:sz w:val="18"/>
                <w:szCs w:val="18"/>
              </w:rPr>
            </w:pPr>
            <w:r w:rsidRPr="006B2B47">
              <w:rPr>
                <w:sz w:val="18"/>
                <w:szCs w:val="18"/>
              </w:rPr>
              <w:t>B</w:t>
            </w:r>
          </w:p>
        </w:tc>
        <w:tc>
          <w:tcPr>
            <w:tcW w:w="1663" w:type="dxa"/>
            <w:shd w:val="clear" w:color="auto" w:fill="auto"/>
          </w:tcPr>
          <w:p w14:paraId="5BC84AFB" w14:textId="77777777" w:rsidR="009C25E1" w:rsidRPr="006B2B47" w:rsidRDefault="009C25E1" w:rsidP="00777115">
            <w:pPr>
              <w:spacing w:after="0" w:line="240" w:lineRule="auto"/>
              <w:ind w:left="0" w:right="0"/>
              <w:jc w:val="center"/>
              <w:rPr>
                <w:sz w:val="18"/>
                <w:szCs w:val="18"/>
              </w:rPr>
            </w:pPr>
            <w:r w:rsidRPr="006B2B47">
              <w:rPr>
                <w:sz w:val="18"/>
                <w:szCs w:val="18"/>
              </w:rPr>
              <w:t>A</w:t>
            </w:r>
          </w:p>
        </w:tc>
        <w:tc>
          <w:tcPr>
            <w:tcW w:w="2078" w:type="dxa"/>
            <w:shd w:val="clear" w:color="auto" w:fill="auto"/>
          </w:tcPr>
          <w:p w14:paraId="2DF1769F" w14:textId="77777777" w:rsidR="009C25E1" w:rsidRPr="006B2B47" w:rsidRDefault="009C25E1" w:rsidP="00777115">
            <w:pPr>
              <w:spacing w:after="0" w:line="240" w:lineRule="auto"/>
              <w:ind w:left="0" w:right="0"/>
              <w:jc w:val="center"/>
              <w:rPr>
                <w:b/>
                <w:sz w:val="18"/>
                <w:szCs w:val="18"/>
              </w:rPr>
            </w:pPr>
            <w:r w:rsidRPr="006B2B47">
              <w:rPr>
                <w:b/>
                <w:sz w:val="18"/>
                <w:szCs w:val="18"/>
              </w:rPr>
              <w:t>Nej</w:t>
            </w:r>
          </w:p>
        </w:tc>
        <w:tc>
          <w:tcPr>
            <w:tcW w:w="1556" w:type="dxa"/>
            <w:shd w:val="clear" w:color="auto" w:fill="auto"/>
          </w:tcPr>
          <w:p w14:paraId="236079C5" w14:textId="77777777" w:rsidR="009C25E1" w:rsidRPr="006B2B47" w:rsidRDefault="009C25E1" w:rsidP="00777115">
            <w:pPr>
              <w:spacing w:after="0" w:line="240" w:lineRule="auto"/>
              <w:ind w:left="0" w:right="0"/>
              <w:jc w:val="center"/>
              <w:rPr>
                <w:sz w:val="18"/>
                <w:szCs w:val="18"/>
              </w:rPr>
            </w:pPr>
            <w:r w:rsidRPr="006B2B47">
              <w:rPr>
                <w:sz w:val="18"/>
                <w:szCs w:val="18"/>
              </w:rPr>
              <w:t>Ja</w:t>
            </w:r>
          </w:p>
        </w:tc>
        <w:tc>
          <w:tcPr>
            <w:tcW w:w="1556" w:type="dxa"/>
            <w:shd w:val="clear" w:color="auto" w:fill="auto"/>
          </w:tcPr>
          <w:p w14:paraId="472C4366"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r>
      <w:tr w:rsidR="009C25E1" w:rsidRPr="006B2B47" w14:paraId="2BB8DC65" w14:textId="77777777" w:rsidTr="00777115">
        <w:tc>
          <w:tcPr>
            <w:tcW w:w="1663" w:type="dxa"/>
            <w:shd w:val="clear" w:color="auto" w:fill="auto"/>
          </w:tcPr>
          <w:p w14:paraId="2B1BB55A" w14:textId="77777777" w:rsidR="009C25E1" w:rsidRPr="006B2B47" w:rsidRDefault="009C25E1" w:rsidP="00777115">
            <w:pPr>
              <w:spacing w:after="0" w:line="240" w:lineRule="auto"/>
              <w:ind w:left="0" w:right="0"/>
              <w:jc w:val="center"/>
              <w:rPr>
                <w:sz w:val="18"/>
                <w:szCs w:val="18"/>
              </w:rPr>
            </w:pPr>
            <w:r w:rsidRPr="006B2B47">
              <w:rPr>
                <w:sz w:val="18"/>
                <w:szCs w:val="18"/>
              </w:rPr>
              <w:t>B</w:t>
            </w:r>
          </w:p>
        </w:tc>
        <w:tc>
          <w:tcPr>
            <w:tcW w:w="1663" w:type="dxa"/>
            <w:shd w:val="clear" w:color="auto" w:fill="auto"/>
          </w:tcPr>
          <w:p w14:paraId="6109039A" w14:textId="77777777" w:rsidR="009C25E1" w:rsidRPr="006B2B47" w:rsidRDefault="009C25E1" w:rsidP="00777115">
            <w:pPr>
              <w:spacing w:after="0" w:line="240" w:lineRule="auto"/>
              <w:ind w:left="0" w:right="0"/>
              <w:jc w:val="center"/>
              <w:rPr>
                <w:sz w:val="18"/>
                <w:szCs w:val="18"/>
              </w:rPr>
            </w:pPr>
            <w:r w:rsidRPr="006B2B47">
              <w:rPr>
                <w:sz w:val="18"/>
                <w:szCs w:val="18"/>
              </w:rPr>
              <w:t>AB</w:t>
            </w:r>
          </w:p>
        </w:tc>
        <w:tc>
          <w:tcPr>
            <w:tcW w:w="2078" w:type="dxa"/>
            <w:shd w:val="clear" w:color="auto" w:fill="auto"/>
          </w:tcPr>
          <w:p w14:paraId="31DC16D8"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63652586"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3A5D6357"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r>
      <w:tr w:rsidR="009C25E1" w:rsidRPr="006B2B47" w14:paraId="7AFED198" w14:textId="77777777" w:rsidTr="00777115">
        <w:tc>
          <w:tcPr>
            <w:tcW w:w="1663" w:type="dxa"/>
            <w:shd w:val="clear" w:color="auto" w:fill="auto"/>
          </w:tcPr>
          <w:p w14:paraId="6DEBD5B9" w14:textId="77777777" w:rsidR="009C25E1" w:rsidRPr="006B2B47" w:rsidRDefault="009C25E1" w:rsidP="00777115">
            <w:pPr>
              <w:spacing w:after="0" w:line="240" w:lineRule="auto"/>
              <w:ind w:left="0" w:right="0"/>
              <w:jc w:val="center"/>
              <w:rPr>
                <w:sz w:val="18"/>
                <w:szCs w:val="18"/>
              </w:rPr>
            </w:pPr>
          </w:p>
        </w:tc>
        <w:tc>
          <w:tcPr>
            <w:tcW w:w="1663" w:type="dxa"/>
            <w:shd w:val="clear" w:color="auto" w:fill="auto"/>
          </w:tcPr>
          <w:p w14:paraId="0B72FB8B" w14:textId="77777777" w:rsidR="009C25E1" w:rsidRPr="006B2B47" w:rsidRDefault="009C25E1" w:rsidP="00777115">
            <w:pPr>
              <w:spacing w:after="0" w:line="240" w:lineRule="auto"/>
              <w:ind w:left="0" w:right="0"/>
              <w:jc w:val="center"/>
              <w:rPr>
                <w:sz w:val="18"/>
                <w:szCs w:val="18"/>
              </w:rPr>
            </w:pPr>
          </w:p>
        </w:tc>
        <w:tc>
          <w:tcPr>
            <w:tcW w:w="2078" w:type="dxa"/>
            <w:shd w:val="clear" w:color="auto" w:fill="auto"/>
          </w:tcPr>
          <w:p w14:paraId="5528B52C" w14:textId="77777777" w:rsidR="009C25E1" w:rsidRPr="006B2B47" w:rsidRDefault="009C25E1" w:rsidP="00777115">
            <w:pPr>
              <w:spacing w:after="0" w:line="240" w:lineRule="auto"/>
              <w:ind w:left="0" w:right="0"/>
              <w:jc w:val="center"/>
              <w:rPr>
                <w:sz w:val="18"/>
                <w:szCs w:val="18"/>
              </w:rPr>
            </w:pPr>
          </w:p>
        </w:tc>
        <w:tc>
          <w:tcPr>
            <w:tcW w:w="1556" w:type="dxa"/>
            <w:shd w:val="clear" w:color="auto" w:fill="auto"/>
          </w:tcPr>
          <w:p w14:paraId="15BB433C" w14:textId="77777777" w:rsidR="009C25E1" w:rsidRPr="006B2B47" w:rsidRDefault="009C25E1" w:rsidP="00777115">
            <w:pPr>
              <w:spacing w:after="0" w:line="240" w:lineRule="auto"/>
              <w:ind w:left="0" w:right="0"/>
              <w:jc w:val="center"/>
              <w:rPr>
                <w:sz w:val="18"/>
                <w:szCs w:val="18"/>
              </w:rPr>
            </w:pPr>
          </w:p>
        </w:tc>
        <w:tc>
          <w:tcPr>
            <w:tcW w:w="1556" w:type="dxa"/>
            <w:shd w:val="clear" w:color="auto" w:fill="auto"/>
          </w:tcPr>
          <w:p w14:paraId="4C0F1E00" w14:textId="77777777" w:rsidR="009C25E1" w:rsidRPr="006B2B47" w:rsidRDefault="009C25E1" w:rsidP="00777115">
            <w:pPr>
              <w:spacing w:after="0" w:line="240" w:lineRule="auto"/>
              <w:ind w:left="0" w:right="0"/>
              <w:jc w:val="center"/>
              <w:rPr>
                <w:sz w:val="18"/>
                <w:szCs w:val="18"/>
              </w:rPr>
            </w:pPr>
          </w:p>
        </w:tc>
      </w:tr>
      <w:tr w:rsidR="009C25E1" w:rsidRPr="006B2B47" w14:paraId="221C4739" w14:textId="77777777" w:rsidTr="00777115">
        <w:tc>
          <w:tcPr>
            <w:tcW w:w="1663" w:type="dxa"/>
            <w:shd w:val="clear" w:color="auto" w:fill="auto"/>
          </w:tcPr>
          <w:p w14:paraId="1CBBAE21" w14:textId="77777777" w:rsidR="009C25E1" w:rsidRPr="006B2B47" w:rsidRDefault="009C25E1" w:rsidP="00777115">
            <w:pPr>
              <w:spacing w:after="0" w:line="240" w:lineRule="auto"/>
              <w:ind w:left="0" w:right="0"/>
              <w:jc w:val="center"/>
              <w:rPr>
                <w:sz w:val="18"/>
                <w:szCs w:val="18"/>
              </w:rPr>
            </w:pPr>
            <w:r w:rsidRPr="006B2B47">
              <w:rPr>
                <w:sz w:val="18"/>
                <w:szCs w:val="18"/>
              </w:rPr>
              <w:t>AB</w:t>
            </w:r>
          </w:p>
        </w:tc>
        <w:tc>
          <w:tcPr>
            <w:tcW w:w="1663" w:type="dxa"/>
            <w:shd w:val="clear" w:color="auto" w:fill="auto"/>
          </w:tcPr>
          <w:p w14:paraId="6713EFD8" w14:textId="77777777" w:rsidR="009C25E1" w:rsidRPr="006B2B47" w:rsidRDefault="009C25E1" w:rsidP="00777115">
            <w:pPr>
              <w:spacing w:after="0" w:line="240" w:lineRule="auto"/>
              <w:ind w:left="0" w:right="0"/>
              <w:jc w:val="center"/>
              <w:rPr>
                <w:sz w:val="18"/>
                <w:szCs w:val="18"/>
              </w:rPr>
            </w:pPr>
            <w:r w:rsidRPr="006B2B47">
              <w:rPr>
                <w:sz w:val="18"/>
                <w:szCs w:val="18"/>
              </w:rPr>
              <w:t>0</w:t>
            </w:r>
          </w:p>
        </w:tc>
        <w:tc>
          <w:tcPr>
            <w:tcW w:w="2078" w:type="dxa"/>
            <w:shd w:val="clear" w:color="auto" w:fill="auto"/>
          </w:tcPr>
          <w:p w14:paraId="02E512BB"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c>
          <w:tcPr>
            <w:tcW w:w="1556" w:type="dxa"/>
            <w:shd w:val="clear" w:color="auto" w:fill="auto"/>
          </w:tcPr>
          <w:p w14:paraId="290C3A92"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c>
          <w:tcPr>
            <w:tcW w:w="1556" w:type="dxa"/>
            <w:shd w:val="clear" w:color="auto" w:fill="auto"/>
          </w:tcPr>
          <w:p w14:paraId="552FB414"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r>
      <w:tr w:rsidR="009C25E1" w:rsidRPr="006B2B47" w14:paraId="1D39047A" w14:textId="77777777" w:rsidTr="00777115">
        <w:tc>
          <w:tcPr>
            <w:tcW w:w="1663" w:type="dxa"/>
            <w:shd w:val="clear" w:color="auto" w:fill="auto"/>
          </w:tcPr>
          <w:p w14:paraId="31E51506" w14:textId="77777777" w:rsidR="009C25E1" w:rsidRPr="006B2B47" w:rsidRDefault="009C25E1" w:rsidP="00777115">
            <w:pPr>
              <w:spacing w:after="0" w:line="240" w:lineRule="auto"/>
              <w:ind w:left="0" w:right="0"/>
              <w:jc w:val="center"/>
              <w:rPr>
                <w:sz w:val="18"/>
                <w:szCs w:val="18"/>
              </w:rPr>
            </w:pPr>
            <w:r w:rsidRPr="006B2B47">
              <w:rPr>
                <w:sz w:val="18"/>
                <w:szCs w:val="18"/>
              </w:rPr>
              <w:t>AB</w:t>
            </w:r>
          </w:p>
        </w:tc>
        <w:tc>
          <w:tcPr>
            <w:tcW w:w="1663" w:type="dxa"/>
            <w:shd w:val="clear" w:color="auto" w:fill="auto"/>
          </w:tcPr>
          <w:p w14:paraId="3C644D50" w14:textId="77777777" w:rsidR="009C25E1" w:rsidRPr="006B2B47" w:rsidRDefault="009C25E1" w:rsidP="00777115">
            <w:pPr>
              <w:spacing w:after="0" w:line="240" w:lineRule="auto"/>
              <w:ind w:left="0" w:right="0"/>
              <w:jc w:val="center"/>
              <w:rPr>
                <w:sz w:val="18"/>
                <w:szCs w:val="18"/>
              </w:rPr>
            </w:pPr>
            <w:r w:rsidRPr="006B2B47">
              <w:rPr>
                <w:sz w:val="18"/>
                <w:szCs w:val="18"/>
              </w:rPr>
              <w:t>A</w:t>
            </w:r>
          </w:p>
        </w:tc>
        <w:tc>
          <w:tcPr>
            <w:tcW w:w="2078" w:type="dxa"/>
            <w:shd w:val="clear" w:color="auto" w:fill="auto"/>
          </w:tcPr>
          <w:p w14:paraId="6EF6D080" w14:textId="77777777" w:rsidR="009C25E1" w:rsidRPr="006B2B47" w:rsidRDefault="009C25E1" w:rsidP="00777115">
            <w:pPr>
              <w:spacing w:after="0" w:line="240" w:lineRule="auto"/>
              <w:ind w:left="0" w:right="0"/>
              <w:jc w:val="center"/>
              <w:rPr>
                <w:b/>
                <w:sz w:val="18"/>
                <w:szCs w:val="18"/>
              </w:rPr>
            </w:pPr>
            <w:r w:rsidRPr="006B2B47">
              <w:rPr>
                <w:b/>
                <w:sz w:val="18"/>
                <w:szCs w:val="18"/>
              </w:rPr>
              <w:t>Nej</w:t>
            </w:r>
          </w:p>
        </w:tc>
        <w:tc>
          <w:tcPr>
            <w:tcW w:w="1556" w:type="dxa"/>
            <w:shd w:val="clear" w:color="auto" w:fill="auto"/>
          </w:tcPr>
          <w:p w14:paraId="0DA9A18F"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c>
          <w:tcPr>
            <w:tcW w:w="1556" w:type="dxa"/>
            <w:shd w:val="clear" w:color="auto" w:fill="auto"/>
          </w:tcPr>
          <w:p w14:paraId="3FA7A385"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r>
      <w:tr w:rsidR="009C25E1" w:rsidRPr="006B2B47" w14:paraId="683DBE31" w14:textId="77777777" w:rsidTr="00777115">
        <w:tc>
          <w:tcPr>
            <w:tcW w:w="1663" w:type="dxa"/>
            <w:shd w:val="clear" w:color="auto" w:fill="auto"/>
          </w:tcPr>
          <w:p w14:paraId="2F6D8A06" w14:textId="77777777" w:rsidR="009C25E1" w:rsidRPr="006B2B47" w:rsidRDefault="009C25E1" w:rsidP="00777115">
            <w:pPr>
              <w:spacing w:after="0" w:line="240" w:lineRule="auto"/>
              <w:ind w:left="0" w:right="0"/>
              <w:jc w:val="center"/>
              <w:rPr>
                <w:sz w:val="18"/>
                <w:szCs w:val="18"/>
              </w:rPr>
            </w:pPr>
            <w:r w:rsidRPr="006B2B47">
              <w:rPr>
                <w:sz w:val="18"/>
                <w:szCs w:val="18"/>
              </w:rPr>
              <w:t>AB</w:t>
            </w:r>
          </w:p>
        </w:tc>
        <w:tc>
          <w:tcPr>
            <w:tcW w:w="1663" w:type="dxa"/>
            <w:shd w:val="clear" w:color="auto" w:fill="auto"/>
          </w:tcPr>
          <w:p w14:paraId="1854C985" w14:textId="77777777" w:rsidR="009C25E1" w:rsidRPr="006B2B47" w:rsidRDefault="009C25E1" w:rsidP="00777115">
            <w:pPr>
              <w:spacing w:after="0" w:line="240" w:lineRule="auto"/>
              <w:ind w:left="0" w:right="0"/>
              <w:jc w:val="center"/>
              <w:rPr>
                <w:sz w:val="18"/>
                <w:szCs w:val="18"/>
              </w:rPr>
            </w:pPr>
            <w:r w:rsidRPr="006B2B47">
              <w:rPr>
                <w:sz w:val="18"/>
                <w:szCs w:val="18"/>
              </w:rPr>
              <w:t>B</w:t>
            </w:r>
          </w:p>
        </w:tc>
        <w:tc>
          <w:tcPr>
            <w:tcW w:w="2078" w:type="dxa"/>
            <w:shd w:val="clear" w:color="auto" w:fill="auto"/>
          </w:tcPr>
          <w:p w14:paraId="07C3B5C8" w14:textId="77777777" w:rsidR="009C25E1" w:rsidRPr="006B2B47" w:rsidRDefault="009C25E1" w:rsidP="00777115">
            <w:pPr>
              <w:spacing w:after="0" w:line="240" w:lineRule="auto"/>
              <w:ind w:left="0" w:right="0"/>
              <w:jc w:val="center"/>
              <w:rPr>
                <w:b/>
                <w:sz w:val="18"/>
                <w:szCs w:val="18"/>
              </w:rPr>
            </w:pPr>
            <w:r w:rsidRPr="006B2B47">
              <w:rPr>
                <w:b/>
                <w:sz w:val="18"/>
                <w:szCs w:val="18"/>
              </w:rPr>
              <w:t>Nej</w:t>
            </w:r>
          </w:p>
        </w:tc>
        <w:tc>
          <w:tcPr>
            <w:tcW w:w="1556" w:type="dxa"/>
            <w:shd w:val="clear" w:color="auto" w:fill="auto"/>
          </w:tcPr>
          <w:p w14:paraId="7A21718D" w14:textId="77777777" w:rsidR="009C25E1" w:rsidRPr="006B2B47" w:rsidRDefault="009C25E1" w:rsidP="00777115">
            <w:pPr>
              <w:spacing w:after="0" w:line="240" w:lineRule="auto"/>
              <w:ind w:left="0" w:right="0"/>
              <w:jc w:val="center"/>
              <w:rPr>
                <w:b/>
                <w:sz w:val="18"/>
                <w:szCs w:val="18"/>
              </w:rPr>
            </w:pPr>
            <w:r w:rsidRPr="006B2B47">
              <w:rPr>
                <w:b/>
                <w:sz w:val="18"/>
                <w:szCs w:val="18"/>
              </w:rPr>
              <w:t>Ja</w:t>
            </w:r>
          </w:p>
        </w:tc>
        <w:tc>
          <w:tcPr>
            <w:tcW w:w="1556" w:type="dxa"/>
            <w:shd w:val="clear" w:color="auto" w:fill="auto"/>
          </w:tcPr>
          <w:p w14:paraId="700E1B64" w14:textId="77777777" w:rsidR="009C25E1" w:rsidRPr="006B2B47" w:rsidRDefault="009C25E1" w:rsidP="00777115">
            <w:pPr>
              <w:spacing w:after="0" w:line="240" w:lineRule="auto"/>
              <w:ind w:left="0" w:right="0"/>
              <w:jc w:val="center"/>
              <w:rPr>
                <w:sz w:val="18"/>
                <w:szCs w:val="18"/>
              </w:rPr>
            </w:pPr>
            <w:r w:rsidRPr="006B2B47">
              <w:rPr>
                <w:sz w:val="18"/>
                <w:szCs w:val="18"/>
              </w:rPr>
              <w:t>Nej</w:t>
            </w:r>
          </w:p>
        </w:tc>
      </w:tr>
    </w:tbl>
    <w:p w14:paraId="23B6492D" w14:textId="77777777" w:rsidR="009C25E1" w:rsidRPr="00FC138D" w:rsidRDefault="009C25E1" w:rsidP="009C25E1">
      <w:pPr>
        <w:spacing w:after="0" w:line="240" w:lineRule="auto"/>
        <w:ind w:left="0" w:right="0"/>
        <w:rPr>
          <w:sz w:val="18"/>
          <w:szCs w:val="18"/>
        </w:rPr>
      </w:pPr>
      <w:r w:rsidRPr="006B2B47">
        <w:rPr>
          <w:sz w:val="18"/>
          <w:szCs w:val="18"/>
        </w:rPr>
        <w:t xml:space="preserve">*Om recipienttiter </w:t>
      </w:r>
      <w:r w:rsidRPr="006B2B47">
        <w:rPr>
          <w:rFonts w:ascii="Cambria" w:hAnsi="Cambria"/>
          <w:sz w:val="18"/>
          <w:szCs w:val="18"/>
        </w:rPr>
        <w:t>≥</w:t>
      </w:r>
      <w:r w:rsidRPr="006B2B47">
        <w:rPr>
          <w:sz w:val="18"/>
          <w:szCs w:val="18"/>
        </w:rPr>
        <w:t>8 IAT/NaCl</w:t>
      </w:r>
    </w:p>
    <w:p w14:paraId="232201FD" w14:textId="77777777" w:rsidR="009C25E1" w:rsidRPr="006B2B47" w:rsidRDefault="009C25E1" w:rsidP="009C25E1">
      <w:pPr>
        <w:pStyle w:val="MellanrubrikVGR"/>
        <w:ind w:left="0"/>
        <w:rPr>
          <w:lang w:eastAsia="ar-SA"/>
        </w:rPr>
      </w:pPr>
      <w:r w:rsidRPr="006B2B47">
        <w:rPr>
          <w:lang w:eastAsia="ar-SA"/>
        </w:rPr>
        <w:t>Infusionskomplikationer</w:t>
      </w:r>
    </w:p>
    <w:p w14:paraId="6AB31B0D" w14:textId="77777777" w:rsidR="009C25E1" w:rsidRPr="006B2B47" w:rsidRDefault="009C25E1" w:rsidP="009C25E1">
      <w:pPr>
        <w:suppressAutoHyphens/>
        <w:spacing w:after="0" w:line="240" w:lineRule="auto"/>
        <w:ind w:left="0" w:right="0"/>
        <w:jc w:val="both"/>
        <w:rPr>
          <w:rFonts w:ascii="Arial" w:hAnsi="Arial" w:cs="Arial"/>
          <w:sz w:val="20"/>
        </w:rPr>
      </w:pPr>
      <w:r w:rsidRPr="006B2B47">
        <w:rPr>
          <w:rFonts w:ascii="Arial" w:hAnsi="Arial" w:cs="Arial"/>
          <w:sz w:val="20"/>
          <w:szCs w:val="20"/>
          <w:lang w:eastAsia="ar-SA"/>
        </w:rPr>
        <w:t>Det ska alltid finnas en anteckning (Operationsberättelse) i patientjournalen för varje stamcellsinfusion oavsett om någon komplikation uppstått eller inte. Alla transfusionskomplikationer skall rapporteras på protokoll: ”Rapport av genomförd allogen transplantation” som medföljer stamcellsprodukten i samband med transplantation. Oavsett om komplikation uppstår eller inte ska detta protokoll fyllas i och skickas till Stamcellslaboratoriet efter transplantationen.</w:t>
      </w:r>
    </w:p>
    <w:p w14:paraId="7421C13F" w14:textId="77777777" w:rsidR="009C25E1" w:rsidRPr="006B2B47" w:rsidRDefault="009C25E1" w:rsidP="009C25E1">
      <w:pPr>
        <w:pStyle w:val="Rubrik2"/>
        <w:ind w:left="0"/>
      </w:pPr>
      <w:r w:rsidRPr="006B2B47">
        <w:t>Ansvar</w:t>
      </w:r>
    </w:p>
    <w:p w14:paraId="4DFF93EF" w14:textId="77777777" w:rsidR="009C25E1" w:rsidRPr="006B2B47" w:rsidRDefault="009C25E1" w:rsidP="009C25E1">
      <w:pPr>
        <w:spacing w:after="0" w:line="240" w:lineRule="auto"/>
        <w:ind w:left="0" w:right="0"/>
        <w:rPr>
          <w:rFonts w:ascii="Arial" w:hAnsi="Arial" w:cs="Arial"/>
          <w:sz w:val="20"/>
        </w:rPr>
      </w:pPr>
      <w:r w:rsidRPr="006B2B47">
        <w:rPr>
          <w:rFonts w:ascii="Arial" w:hAnsi="Arial" w:cs="Arial"/>
          <w:sz w:val="20"/>
          <w:szCs w:val="20"/>
        </w:rPr>
        <w:t>Gäller för all personal på Barncancercentrum. Ansvar för spridning och implementering har kvalitetssjuksköterskan. Verksamhetschefen ansvarar för att de rutiner och riktlinjer som verksamheten kräver finns tillgängliga och att verksamheten arbetar enligt SOSFS 2011:9.</w:t>
      </w:r>
    </w:p>
    <w:p w14:paraId="60DB1003" w14:textId="77777777" w:rsidR="009C25E1" w:rsidRPr="006B2B47" w:rsidRDefault="009C25E1" w:rsidP="009C25E1">
      <w:pPr>
        <w:pStyle w:val="Rubrik2"/>
        <w:ind w:left="0"/>
      </w:pPr>
      <w:r w:rsidRPr="006B2B47">
        <w:t>Uppföljning, utvärdering och revision</w:t>
      </w:r>
    </w:p>
    <w:p w14:paraId="4F023B46" w14:textId="77777777" w:rsidR="009C25E1" w:rsidRPr="006B2B47" w:rsidRDefault="009C25E1" w:rsidP="009C25E1">
      <w:pPr>
        <w:spacing w:after="0" w:line="240" w:lineRule="auto"/>
        <w:ind w:left="0" w:right="0"/>
        <w:rPr>
          <w:rFonts w:ascii="Arial" w:hAnsi="Arial" w:cs="Arial"/>
          <w:sz w:val="20"/>
          <w:szCs w:val="20"/>
        </w:rPr>
      </w:pPr>
      <w:r w:rsidRPr="006B2B47">
        <w:rPr>
          <w:rFonts w:ascii="Arial" w:hAnsi="Arial" w:cs="Arial"/>
          <w:sz w:val="20"/>
          <w:szCs w:val="20"/>
        </w:rPr>
        <w:t xml:space="preserve">Innehållsansvarig ansvarar för uppföljning/revision av innehållet i riktlinjen. </w:t>
      </w:r>
    </w:p>
    <w:p w14:paraId="23A8D3C2" w14:textId="77777777" w:rsidR="009C25E1" w:rsidRPr="006B2B47" w:rsidRDefault="009C25E1" w:rsidP="009C25E1">
      <w:pPr>
        <w:spacing w:after="0" w:line="240" w:lineRule="auto"/>
        <w:ind w:left="0" w:right="0"/>
        <w:rPr>
          <w:rFonts w:ascii="Arial" w:hAnsi="Arial" w:cs="Arial"/>
          <w:sz w:val="20"/>
        </w:rPr>
      </w:pPr>
      <w:r w:rsidRPr="006B2B47">
        <w:rPr>
          <w:rFonts w:ascii="Arial" w:hAnsi="Arial" w:cs="Arial"/>
          <w:sz w:val="20"/>
          <w:szCs w:val="20"/>
        </w:rPr>
        <w:t xml:space="preserve">Medvetet avsteg från rutinen dokumenteras i Melior om rutinen är kopplad till patient. Övriga orsaker till avsteg från rutinen rapporteras i MedControlPRO. </w:t>
      </w:r>
    </w:p>
    <w:p w14:paraId="1ED07F76" w14:textId="77777777" w:rsidR="009C25E1" w:rsidRPr="006B2B47" w:rsidRDefault="009C25E1" w:rsidP="009C25E1">
      <w:pPr>
        <w:pStyle w:val="Rubrik2"/>
        <w:ind w:left="0"/>
      </w:pPr>
      <w:r w:rsidRPr="006B2B47">
        <w:lastRenderedPageBreak/>
        <w:t>Kunskapsöversikt</w:t>
      </w:r>
    </w:p>
    <w:p w14:paraId="3FB69E5F" w14:textId="77777777" w:rsidR="009C25E1" w:rsidRPr="006B2B47" w:rsidRDefault="009C25E1" w:rsidP="009C25E1">
      <w:pPr>
        <w:spacing w:after="0" w:line="240" w:lineRule="auto"/>
        <w:ind w:left="0" w:right="0"/>
        <w:rPr>
          <w:rFonts w:ascii="Arial" w:hAnsi="Arial" w:cs="Arial"/>
          <w:sz w:val="20"/>
          <w:szCs w:val="20"/>
          <w:lang w:val="en-US"/>
        </w:rPr>
      </w:pPr>
      <w:r w:rsidRPr="006B2B47">
        <w:rPr>
          <w:rFonts w:ascii="Arial" w:hAnsi="Arial" w:cs="Arial"/>
          <w:sz w:val="20"/>
          <w:szCs w:val="20"/>
          <w:lang w:val="de-DE"/>
        </w:rPr>
        <w:t>1.</w:t>
      </w:r>
      <w:r w:rsidRPr="006B2B47">
        <w:rPr>
          <w:rFonts w:ascii="Arial" w:hAnsi="Arial" w:cs="Arial"/>
          <w:color w:val="3A3A3A"/>
          <w:sz w:val="20"/>
          <w:szCs w:val="20"/>
          <w:shd w:val="clear" w:color="auto" w:fill="FFFFFF"/>
        </w:rPr>
        <w:t xml:space="preserve"> </w:t>
      </w:r>
      <w:r w:rsidRPr="006B2B47">
        <w:rPr>
          <w:rFonts w:ascii="Arial" w:hAnsi="Arial" w:cs="Arial"/>
          <w:sz w:val="20"/>
          <w:szCs w:val="20"/>
          <w:lang w:val="de-DE"/>
        </w:rPr>
        <w:t xml:space="preserve">Kim JG, Sohn DH, Kim DH, et al. </w:t>
      </w:r>
      <w:r w:rsidRPr="006B2B47">
        <w:rPr>
          <w:rFonts w:ascii="Arial" w:hAnsi="Arial" w:cs="Arial"/>
          <w:sz w:val="20"/>
          <w:szCs w:val="20"/>
          <w:lang w:val="en-GB"/>
        </w:rPr>
        <w:t>Impact of ABO incompatibility on outcome after allogeneic peripheral blood stem cell transplantation. Bone Marrow Transplantation 2005;35:489-95.</w:t>
      </w:r>
    </w:p>
    <w:p w14:paraId="5BE66772" w14:textId="77777777" w:rsidR="009C25E1" w:rsidRPr="006B2B47" w:rsidRDefault="009C25E1" w:rsidP="009C25E1">
      <w:pPr>
        <w:spacing w:after="0" w:line="240" w:lineRule="auto"/>
        <w:ind w:left="0" w:right="0"/>
        <w:rPr>
          <w:rFonts w:ascii="Arial" w:hAnsi="Arial" w:cs="Arial"/>
          <w:sz w:val="20"/>
          <w:lang w:val="en-GB"/>
        </w:rPr>
      </w:pPr>
    </w:p>
    <w:p w14:paraId="311B5E73" w14:textId="77777777" w:rsidR="009C25E1" w:rsidRPr="006B2B47" w:rsidRDefault="009C25E1" w:rsidP="009C25E1">
      <w:pPr>
        <w:spacing w:after="0" w:line="240" w:lineRule="auto"/>
        <w:ind w:left="0" w:right="0"/>
        <w:rPr>
          <w:rFonts w:ascii="Arial" w:hAnsi="Arial" w:cs="Arial"/>
          <w:sz w:val="20"/>
          <w:lang w:val="en-GB"/>
        </w:rPr>
      </w:pPr>
      <w:r w:rsidRPr="006B2B47">
        <w:rPr>
          <w:rFonts w:ascii="Arial" w:hAnsi="Arial" w:cs="Arial"/>
          <w:sz w:val="20"/>
          <w:lang w:val="de-DE"/>
        </w:rPr>
        <w:t xml:space="preserve">2. Remberger M, Watz E, Ringdén O, et al. </w:t>
      </w:r>
      <w:r w:rsidRPr="006B2B47">
        <w:rPr>
          <w:rFonts w:ascii="Arial" w:hAnsi="Arial" w:cs="Arial"/>
          <w:sz w:val="20"/>
          <w:lang w:val="en-GB"/>
        </w:rPr>
        <w:t>Major ABO blood group mismatch increases the risk for graft failure after unrelated donor hematopoietic stem cell transplantation. Biol Blood Marrow Transplant 2007;13:675-82.</w:t>
      </w:r>
    </w:p>
    <w:p w14:paraId="02033A0C" w14:textId="77777777" w:rsidR="009C25E1" w:rsidRPr="006B2B47" w:rsidRDefault="009C25E1" w:rsidP="009C25E1">
      <w:pPr>
        <w:spacing w:after="0" w:line="240" w:lineRule="auto"/>
        <w:ind w:left="0" w:right="0"/>
        <w:rPr>
          <w:rFonts w:ascii="Arial" w:hAnsi="Arial" w:cs="Arial"/>
          <w:sz w:val="20"/>
          <w:lang w:val="en-GB"/>
        </w:rPr>
      </w:pPr>
    </w:p>
    <w:p w14:paraId="50D690C9" w14:textId="77777777" w:rsidR="009C25E1" w:rsidRPr="00FC138D" w:rsidRDefault="009C25E1" w:rsidP="009C25E1">
      <w:pPr>
        <w:spacing w:after="0" w:line="240" w:lineRule="auto"/>
        <w:ind w:left="0" w:right="0"/>
        <w:rPr>
          <w:rFonts w:ascii="Arial" w:hAnsi="Arial" w:cs="Arial"/>
          <w:sz w:val="20"/>
          <w:szCs w:val="20"/>
          <w:lang w:val="en-US"/>
        </w:rPr>
      </w:pPr>
      <w:r w:rsidRPr="006B2B47">
        <w:rPr>
          <w:rFonts w:ascii="Arial" w:hAnsi="Arial" w:cs="Arial"/>
          <w:sz w:val="20"/>
          <w:szCs w:val="20"/>
          <w:lang w:val="en-GB"/>
        </w:rPr>
        <w:t xml:space="preserve">3. </w:t>
      </w:r>
      <w:r w:rsidRPr="006B2B47">
        <w:rPr>
          <w:rFonts w:ascii="Arial" w:hAnsi="Arial" w:cs="Arial"/>
          <w:color w:val="3A3A3A"/>
          <w:sz w:val="20"/>
          <w:szCs w:val="20"/>
          <w:shd w:val="clear" w:color="auto" w:fill="FFFFFF"/>
          <w:lang w:val="en-US"/>
        </w:rPr>
        <w:t>Shokrgozar, Negin, and Gholamhossein Tamaddon. "ABO Blood Grouping Mismatch in Hematopoietic Stem Cell Transplantation and Clinical Guides." </w:t>
      </w:r>
      <w:r w:rsidRPr="006B2B47">
        <w:rPr>
          <w:rFonts w:ascii="Arial" w:hAnsi="Arial" w:cs="Arial"/>
          <w:i/>
          <w:iCs/>
          <w:color w:val="3A3A3A"/>
          <w:sz w:val="20"/>
          <w:szCs w:val="20"/>
          <w:lang w:val="en-US"/>
        </w:rPr>
        <w:t>International Journal of Hematology-Oncology and Stem Cell Research</w:t>
      </w:r>
      <w:r w:rsidRPr="006B2B47">
        <w:rPr>
          <w:rFonts w:ascii="Arial" w:hAnsi="Arial" w:cs="Arial"/>
          <w:color w:val="3A3A3A"/>
          <w:sz w:val="20"/>
          <w:szCs w:val="20"/>
          <w:shd w:val="clear" w:color="auto" w:fill="FFFFFF"/>
          <w:lang w:val="en-US"/>
        </w:rPr>
        <w:t> 12.4 (2018): 322-28. Web.</w:t>
      </w:r>
    </w:p>
    <w:p w14:paraId="527D523A" w14:textId="77777777" w:rsidR="009C25E1" w:rsidRPr="006B2B47" w:rsidRDefault="009C25E1" w:rsidP="009C25E1">
      <w:pPr>
        <w:pStyle w:val="Rubrik2"/>
        <w:ind w:left="0"/>
      </w:pPr>
      <w:r w:rsidRPr="006B2B47">
        <w:t>Granskare/arbetsgrupp</w:t>
      </w:r>
    </w:p>
    <w:p w14:paraId="2CC8586F" w14:textId="77777777" w:rsidR="009C25E1" w:rsidRPr="006B2B47" w:rsidRDefault="009C25E1" w:rsidP="009C25E1">
      <w:pPr>
        <w:spacing w:after="0" w:line="240" w:lineRule="auto"/>
        <w:ind w:left="0" w:right="0"/>
        <w:rPr>
          <w:rFonts w:ascii="Arial" w:hAnsi="Arial" w:cs="Arial"/>
          <w:sz w:val="20"/>
        </w:rPr>
      </w:pPr>
      <w:r w:rsidRPr="006B2B47">
        <w:rPr>
          <w:rFonts w:ascii="Arial" w:hAnsi="Arial" w:cs="Arial"/>
          <w:sz w:val="20"/>
        </w:rPr>
        <w:t>Cecilia Langenskiöld, Överläkare, Barncancercentrum.</w:t>
      </w:r>
    </w:p>
    <w:p w14:paraId="1CF55A3E" w14:textId="77777777" w:rsidR="009C25E1" w:rsidRPr="006B2B47" w:rsidRDefault="009C25E1" w:rsidP="009C25E1">
      <w:pPr>
        <w:spacing w:after="0" w:line="240" w:lineRule="auto"/>
        <w:ind w:left="0" w:right="0"/>
        <w:rPr>
          <w:rFonts w:ascii="Arial" w:hAnsi="Arial" w:cs="Arial"/>
          <w:sz w:val="20"/>
        </w:rPr>
      </w:pPr>
      <w:r w:rsidRPr="006B2B47">
        <w:rPr>
          <w:rFonts w:ascii="Arial" w:hAnsi="Arial" w:cs="Arial"/>
          <w:sz w:val="20"/>
        </w:rPr>
        <w:t>Sofia Frändberg, Överläkare, Transfusionsmedicin.</w:t>
      </w:r>
    </w:p>
    <w:p w14:paraId="0B93ADAE" w14:textId="77777777" w:rsidR="009C25E1" w:rsidRPr="006B2B47" w:rsidRDefault="009C25E1" w:rsidP="009C25E1">
      <w:pPr>
        <w:spacing w:after="0" w:line="240" w:lineRule="auto"/>
        <w:ind w:left="0" w:right="0"/>
        <w:rPr>
          <w:rFonts w:ascii="Arial" w:hAnsi="Arial" w:cs="Arial"/>
          <w:sz w:val="20"/>
        </w:rPr>
      </w:pPr>
    </w:p>
    <w:p w14:paraId="3B7AA5AE" w14:textId="77777777" w:rsidR="009C25E1" w:rsidRPr="006B2B47" w:rsidRDefault="009C25E1" w:rsidP="009C25E1">
      <w:pPr>
        <w:spacing w:after="0" w:line="240" w:lineRule="auto"/>
        <w:ind w:left="0" w:right="0"/>
        <w:rPr>
          <w:rFonts w:ascii="Arial" w:hAnsi="Arial" w:cs="Arial"/>
          <w:sz w:val="20"/>
        </w:rPr>
      </w:pPr>
    </w:p>
    <w:p w14:paraId="6B32EA43" w14:textId="77777777" w:rsidR="009C25E1" w:rsidRPr="006B2B47" w:rsidRDefault="009C25E1" w:rsidP="009C25E1">
      <w:pPr>
        <w:spacing w:after="0" w:line="240" w:lineRule="auto"/>
        <w:ind w:left="0" w:right="0"/>
        <w:rPr>
          <w:rFonts w:ascii="Arial" w:hAnsi="Arial" w:cs="Arial"/>
          <w:sz w:val="20"/>
        </w:rPr>
      </w:pPr>
    </w:p>
    <w:p w14:paraId="1B51F551" w14:textId="77777777" w:rsidR="009C25E1" w:rsidRPr="006B2B47" w:rsidRDefault="009C25E1" w:rsidP="009C25E1">
      <w:pPr>
        <w:spacing w:after="0" w:line="240" w:lineRule="auto"/>
        <w:ind w:left="0" w:right="0"/>
        <w:rPr>
          <w:rFonts w:ascii="Arial" w:hAnsi="Arial" w:cs="Arial"/>
          <w:sz w:val="20"/>
        </w:rPr>
      </w:pPr>
    </w:p>
    <w:p w14:paraId="323CEA56" w14:textId="77777777" w:rsidR="009C25E1" w:rsidRPr="006B2B47" w:rsidRDefault="009C25E1" w:rsidP="009C25E1">
      <w:pPr>
        <w:spacing w:after="0" w:line="240" w:lineRule="auto"/>
        <w:ind w:left="0" w:right="0"/>
      </w:pPr>
    </w:p>
    <w:p w14:paraId="65F6AAC6" w14:textId="77777777" w:rsidR="009C25E1" w:rsidRPr="006B2B47" w:rsidRDefault="009C25E1" w:rsidP="009C25E1">
      <w:pPr>
        <w:spacing w:after="0" w:line="240" w:lineRule="auto"/>
        <w:ind w:left="0" w:right="0"/>
      </w:pPr>
    </w:p>
    <w:p w14:paraId="43025D59" w14:textId="77777777" w:rsidR="009C25E1" w:rsidRPr="006B2B47" w:rsidRDefault="009C25E1" w:rsidP="009C25E1">
      <w:pPr>
        <w:spacing w:after="0" w:line="240" w:lineRule="auto"/>
        <w:ind w:left="0" w:right="0"/>
      </w:pPr>
    </w:p>
    <w:p w14:paraId="4CC3FCFE" w14:textId="77777777" w:rsidR="009C25E1" w:rsidRPr="006B2B47" w:rsidRDefault="009C25E1" w:rsidP="009C25E1">
      <w:pPr>
        <w:spacing w:after="0" w:line="240" w:lineRule="auto"/>
        <w:ind w:left="0" w:right="0"/>
      </w:pPr>
    </w:p>
    <w:bookmarkEnd w:id="0"/>
    <w:p w14:paraId="15CD7810" w14:textId="77777777" w:rsidR="009C25E1" w:rsidRPr="00536A5A" w:rsidRDefault="009C25E1" w:rsidP="009C25E1">
      <w:pPr>
        <w:spacing w:after="0" w:line="240" w:lineRule="auto"/>
        <w:ind w:left="0" w:right="0"/>
      </w:pPr>
    </w:p>
    <w:p w14:paraId="76B9F95B" w14:textId="24513497" w:rsidR="00536A5A" w:rsidRPr="009C25E1" w:rsidRDefault="00536A5A" w:rsidP="009C25E1"/>
    <w:sectPr w:rsidR="00536A5A" w:rsidRPr="009C25E1" w:rsidSect="006B2B47">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B88CAB" w14:textId="77777777" w:rsidR="00363B23" w:rsidRDefault="00363B23">
      <w:r>
        <w:separator/>
      </w:r>
    </w:p>
  </w:endnote>
  <w:endnote w:type="continuationSeparator" w:id="0">
    <w:p w14:paraId="0ED37F7D" w14:textId="77777777" w:rsidR="00363B23" w:rsidRDefault="00363B23">
      <w:r>
        <w:continuationSeparator/>
      </w:r>
    </w:p>
  </w:endnote>
  <w:endnote w:type="continuationNotice" w:id="1">
    <w:p w14:paraId="2B1E335C"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6D2C3" w14:textId="77777777" w:rsidR="009C25E1" w:rsidRDefault="009C25E1"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4E063F3" w14:textId="77777777" w:rsidR="009C25E1" w:rsidRDefault="009C25E1"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6026673"/>
      <w:docPartObj>
        <w:docPartGallery w:val="Page Numbers (Bottom of Page)"/>
        <w:docPartUnique/>
      </w:docPartObj>
    </w:sdtPr>
    <w:sdtEndPr>
      <w:rPr>
        <w:sz w:val="16"/>
        <w:szCs w:val="16"/>
      </w:rPr>
    </w:sdtEndPr>
    <w:sdtContent>
      <w:p w14:paraId="42E9E6E3" w14:textId="77777777" w:rsidR="009C25E1" w:rsidRPr="00EC0A68" w:rsidRDefault="009C25E1"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4C4439" w14:textId="77777777" w:rsidR="009C25E1" w:rsidRDefault="009C25E1" w:rsidP="00FB2F0F">
    <w:pPr>
      <w:pStyle w:val="Sidfot"/>
      <w:ind w:left="6237" w:hanging="141"/>
      <w:jc w:val="left"/>
    </w:pPr>
    <w:r>
      <w:rPr>
        <w:noProof/>
      </w:rPr>
      <w:drawing>
        <wp:anchor distT="0" distB="0" distL="114300" distR="114300" simplePos="0" relativeHeight="251661315" behindDoc="0" locked="0" layoutInCell="1" allowOverlap="1" wp14:anchorId="1340FFE6" wp14:editId="3FA5E209">
          <wp:simplePos x="0" y="0"/>
          <wp:positionH relativeFrom="column">
            <wp:posOffset>4388307</wp:posOffset>
          </wp:positionH>
          <wp:positionV relativeFrom="paragraph">
            <wp:posOffset>-27355</wp:posOffset>
          </wp:positionV>
          <wp:extent cx="1897920" cy="384860"/>
          <wp:effectExtent l="0" t="0" r="7620" b="0"/>
          <wp:wrapNone/>
          <wp:docPr id="1691769450" name="Bildobjekt 169176945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0D9C6" w14:textId="77777777" w:rsidR="00363B23" w:rsidRDefault="00363B23"/>
  </w:footnote>
  <w:footnote w:type="continuationSeparator" w:id="0">
    <w:p w14:paraId="58D1DB9A" w14:textId="77777777" w:rsidR="00363B23" w:rsidRDefault="00363B23">
      <w:r>
        <w:continuationSeparator/>
      </w:r>
    </w:p>
  </w:footnote>
  <w:footnote w:type="continuationNotice" w:id="1">
    <w:p w14:paraId="5E3E6CA7"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9E18" w14:textId="77777777" w:rsidR="009C25E1" w:rsidRPr="00DA65C4" w:rsidRDefault="009C25E1"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7308F03E" wp14:editId="38F576C1">
              <wp:simplePos x="0" y="0"/>
              <wp:positionH relativeFrom="column">
                <wp:posOffset>0</wp:posOffset>
              </wp:positionH>
              <wp:positionV relativeFrom="paragraph">
                <wp:posOffset>-635</wp:posOffset>
              </wp:positionV>
              <wp:extent cx="4667250" cy="323850"/>
              <wp:effectExtent l="0" t="0" r="0" b="0"/>
              <wp:wrapNone/>
              <wp:docPr id="589506630" name="Textruta 58950663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607A518" w14:textId="77777777" w:rsidR="009C25E1" w:rsidRDefault="009C25E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308F03E" id="_x0000_t202" coordsize="21600,21600" o:spt="202" path="m,l,21600r21600,l21600,xe">
              <v:stroke joinstyle="miter"/>
              <v:path gradientshapeok="t" o:connecttype="rect"/>
            </v:shapetype>
            <v:shape id="Textruta 589506630" o:spid="_x0000_s1026"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3607A518" w14:textId="77777777" w:rsidR="009C25E1" w:rsidRDefault="009C25E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B958C" w14:textId="77777777" w:rsidR="009C25E1" w:rsidRDefault="009C25E1"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3BD9AA3F" wp14:editId="28650E73">
              <wp:simplePos x="0" y="0"/>
              <wp:positionH relativeFrom="column">
                <wp:posOffset>-172720</wp:posOffset>
              </wp:positionH>
              <wp:positionV relativeFrom="paragraph">
                <wp:posOffset>-65405</wp:posOffset>
              </wp:positionV>
              <wp:extent cx="4667250" cy="323850"/>
              <wp:effectExtent l="0" t="0" r="0" b="0"/>
              <wp:wrapNone/>
              <wp:docPr id="1677785893" name="Textruta 167778589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C71BB48" w14:textId="77777777" w:rsidR="009C25E1" w:rsidRDefault="009C25E1">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BD9AA3F" id="_x0000_t202" coordsize="21600,21600" o:spt="202" path="m,l,21600r21600,l21600,xe">
              <v:stroke joinstyle="miter"/>
              <v:path gradientshapeok="t" o:connecttype="rect"/>
            </v:shapetype>
            <v:shape id="Textruta 1677785893" o:spid="_x0000_s1027"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0C71BB48" w14:textId="77777777" w:rsidR="009C25E1" w:rsidRDefault="009C25E1">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47E82A44" wp14:editId="30AA6066">
          <wp:simplePos x="0" y="0"/>
          <wp:positionH relativeFrom="page">
            <wp:posOffset>17744</wp:posOffset>
          </wp:positionH>
          <wp:positionV relativeFrom="paragraph">
            <wp:posOffset>198873</wp:posOffset>
          </wp:positionV>
          <wp:extent cx="7559040" cy="216408"/>
          <wp:effectExtent l="0" t="0" r="0" b="0"/>
          <wp:wrapNone/>
          <wp:docPr id="1805505071" name="Bildobjekt 180550507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12"/>
    <w:lvl w:ilvl="0">
      <w:start w:val="1"/>
      <w:numFmt w:val="bullet"/>
      <w:lvlText w:val=""/>
      <w:lvlJc w:val="left"/>
      <w:pPr>
        <w:tabs>
          <w:tab w:val="num" w:pos="720"/>
        </w:tabs>
        <w:ind w:left="720" w:hanging="360"/>
      </w:pPr>
      <w:rPr>
        <w:rFonts w:ascii="Symbol" w:hAnsi="Symbol"/>
      </w:rPr>
    </w:lvl>
  </w:abstractNum>
  <w:abstractNum w:abstractNumId="3" w15:restartNumberingAfterBreak="0">
    <w:nsid w:val="00000004"/>
    <w:multiLevelType w:val="singleLevel"/>
    <w:tmpl w:val="00000004"/>
    <w:name w:val="WW8Num1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6"/>
    <w:multiLevelType w:val="singleLevel"/>
    <w:tmpl w:val="00000006"/>
    <w:name w:val="WW8Num16"/>
    <w:lvl w:ilvl="0">
      <w:start w:val="1"/>
      <w:numFmt w:val="bullet"/>
      <w:lvlText w:val=""/>
      <w:lvlJc w:val="left"/>
      <w:pPr>
        <w:tabs>
          <w:tab w:val="num" w:pos="720"/>
        </w:tabs>
        <w:ind w:left="720" w:hanging="360"/>
      </w:pPr>
      <w:rPr>
        <w:rFonts w:ascii="Symbol" w:hAnsi="Symbol"/>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D0A035E"/>
    <w:multiLevelType w:val="hybridMultilevel"/>
    <w:tmpl w:val="7B54C36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E6B3DE2"/>
    <w:multiLevelType w:val="hybridMultilevel"/>
    <w:tmpl w:val="97202052"/>
    <w:lvl w:ilvl="0" w:tplc="FFFFFFFF">
      <w:start w:val="1"/>
      <w:numFmt w:val="bullet"/>
      <w:lvlText w:val=""/>
      <w:lvlJc w:val="left"/>
      <w:pPr>
        <w:ind w:left="720" w:hanging="360"/>
      </w:pPr>
      <w:rPr>
        <w:rFonts w:ascii="Symbol" w:hAnsi="Symbol" w:hint="default"/>
      </w:rPr>
    </w:lvl>
    <w:lvl w:ilvl="1" w:tplc="71C0709E">
      <w:numFmt w:val="bullet"/>
      <w:lvlText w:val="•"/>
      <w:lvlJc w:val="left"/>
      <w:pPr>
        <w:ind w:left="1440" w:hanging="360"/>
      </w:pPr>
      <w:rPr>
        <w:rFonts w:ascii="Arial" w:eastAsia="Times New Roman" w:hAnsi="Arial" w:cs="Arial" w:hint="default"/>
        <w:i/>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51D2D46"/>
    <w:multiLevelType w:val="hybridMultilevel"/>
    <w:tmpl w:val="15B8963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00527639">
    <w:abstractNumId w:val="23"/>
  </w:num>
  <w:num w:numId="2" w16cid:durableId="591090040">
    <w:abstractNumId w:val="18"/>
  </w:num>
  <w:num w:numId="3" w16cid:durableId="706678955">
    <w:abstractNumId w:val="0"/>
  </w:num>
  <w:num w:numId="4" w16cid:durableId="1107115594">
    <w:abstractNumId w:val="9"/>
  </w:num>
  <w:num w:numId="5" w16cid:durableId="1959146431">
    <w:abstractNumId w:val="20"/>
  </w:num>
  <w:num w:numId="6" w16cid:durableId="1040712910">
    <w:abstractNumId w:val="5"/>
  </w:num>
  <w:num w:numId="7" w16cid:durableId="1017730445">
    <w:abstractNumId w:val="15"/>
  </w:num>
  <w:num w:numId="8" w16cid:durableId="83770988">
    <w:abstractNumId w:val="12"/>
  </w:num>
  <w:num w:numId="9" w16cid:durableId="1984386324">
    <w:abstractNumId w:val="1"/>
  </w:num>
  <w:num w:numId="10" w16cid:durableId="1200360173">
    <w:abstractNumId w:val="1"/>
  </w:num>
  <w:num w:numId="11" w16cid:durableId="1912496722">
    <w:abstractNumId w:val="6"/>
  </w:num>
  <w:num w:numId="12" w16cid:durableId="1731267310">
    <w:abstractNumId w:val="7"/>
  </w:num>
  <w:num w:numId="13" w16cid:durableId="566191004">
    <w:abstractNumId w:val="17"/>
  </w:num>
  <w:num w:numId="14" w16cid:durableId="674497822">
    <w:abstractNumId w:val="13"/>
  </w:num>
  <w:num w:numId="15" w16cid:durableId="206722747">
    <w:abstractNumId w:val="10"/>
  </w:num>
  <w:num w:numId="16" w16cid:durableId="1098334378">
    <w:abstractNumId w:val="16"/>
  </w:num>
  <w:num w:numId="17" w16cid:durableId="1972322481">
    <w:abstractNumId w:val="8"/>
  </w:num>
  <w:num w:numId="18" w16cid:durableId="942416919">
    <w:abstractNumId w:val="14"/>
  </w:num>
  <w:num w:numId="19" w16cid:durableId="1229076505">
    <w:abstractNumId w:val="22"/>
  </w:num>
  <w:num w:numId="20" w16cid:durableId="527526239">
    <w:abstractNumId w:val="2"/>
  </w:num>
  <w:num w:numId="21" w16cid:durableId="1080099417">
    <w:abstractNumId w:val="3"/>
  </w:num>
  <w:num w:numId="22" w16cid:durableId="812020948">
    <w:abstractNumId w:val="4"/>
  </w:num>
  <w:num w:numId="23" w16cid:durableId="1089888435">
    <w:abstractNumId w:val="21"/>
  </w:num>
  <w:num w:numId="24" w16cid:durableId="2120639151">
    <w:abstractNumId w:val="19"/>
  </w:num>
  <w:num w:numId="25" w16cid:durableId="7199444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650C"/>
    <w:rsid w:val="000A4C35"/>
    <w:rsid w:val="000A611A"/>
    <w:rsid w:val="000B12D9"/>
    <w:rsid w:val="000B1916"/>
    <w:rsid w:val="000B4536"/>
    <w:rsid w:val="000B7715"/>
    <w:rsid w:val="000E463B"/>
    <w:rsid w:val="000E5A7E"/>
    <w:rsid w:val="000F43A3"/>
    <w:rsid w:val="000F7681"/>
    <w:rsid w:val="00103031"/>
    <w:rsid w:val="001044FE"/>
    <w:rsid w:val="001137B3"/>
    <w:rsid w:val="001139D4"/>
    <w:rsid w:val="00131B08"/>
    <w:rsid w:val="00132A59"/>
    <w:rsid w:val="00133337"/>
    <w:rsid w:val="00133A0F"/>
    <w:rsid w:val="0013580F"/>
    <w:rsid w:val="00137B6D"/>
    <w:rsid w:val="0014070B"/>
    <w:rsid w:val="001422C1"/>
    <w:rsid w:val="00143966"/>
    <w:rsid w:val="001522AE"/>
    <w:rsid w:val="00157D5B"/>
    <w:rsid w:val="00161FE6"/>
    <w:rsid w:val="00162E24"/>
    <w:rsid w:val="001647EA"/>
    <w:rsid w:val="00164C3D"/>
    <w:rsid w:val="00166D3A"/>
    <w:rsid w:val="00181FDC"/>
    <w:rsid w:val="001860B9"/>
    <w:rsid w:val="00186F2B"/>
    <w:rsid w:val="001874D6"/>
    <w:rsid w:val="0019632A"/>
    <w:rsid w:val="001A2EB4"/>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478A"/>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4FF9"/>
    <w:rsid w:val="00404948"/>
    <w:rsid w:val="00406BEA"/>
    <w:rsid w:val="00413A60"/>
    <w:rsid w:val="00420937"/>
    <w:rsid w:val="004230F7"/>
    <w:rsid w:val="0043167E"/>
    <w:rsid w:val="0043409A"/>
    <w:rsid w:val="00443C1E"/>
    <w:rsid w:val="00446255"/>
    <w:rsid w:val="00451935"/>
    <w:rsid w:val="00460ED0"/>
    <w:rsid w:val="00465651"/>
    <w:rsid w:val="00470CE7"/>
    <w:rsid w:val="00470F4F"/>
    <w:rsid w:val="00472482"/>
    <w:rsid w:val="00480DC7"/>
    <w:rsid w:val="00481839"/>
    <w:rsid w:val="004876F6"/>
    <w:rsid w:val="0049236A"/>
    <w:rsid w:val="00492718"/>
    <w:rsid w:val="004A355D"/>
    <w:rsid w:val="004A4970"/>
    <w:rsid w:val="004B2183"/>
    <w:rsid w:val="004B2A01"/>
    <w:rsid w:val="004C0B6B"/>
    <w:rsid w:val="004C2559"/>
    <w:rsid w:val="004D7BA3"/>
    <w:rsid w:val="004F4518"/>
    <w:rsid w:val="004F4C62"/>
    <w:rsid w:val="00501433"/>
    <w:rsid w:val="00511CC4"/>
    <w:rsid w:val="00531E60"/>
    <w:rsid w:val="00536A5A"/>
    <w:rsid w:val="00541D07"/>
    <w:rsid w:val="00544BAB"/>
    <w:rsid w:val="00545F31"/>
    <w:rsid w:val="00555B5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10D"/>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2B47"/>
    <w:rsid w:val="006B5DE7"/>
    <w:rsid w:val="006C5048"/>
    <w:rsid w:val="006C6A4B"/>
    <w:rsid w:val="006C779F"/>
    <w:rsid w:val="006D01F5"/>
    <w:rsid w:val="006D0CFB"/>
    <w:rsid w:val="006D30C0"/>
    <w:rsid w:val="006D7535"/>
    <w:rsid w:val="006E428B"/>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4C7A"/>
    <w:rsid w:val="00880E83"/>
    <w:rsid w:val="00892F28"/>
    <w:rsid w:val="008A0C5F"/>
    <w:rsid w:val="008A3DEA"/>
    <w:rsid w:val="008A4EB9"/>
    <w:rsid w:val="008A74C0"/>
    <w:rsid w:val="008B1694"/>
    <w:rsid w:val="008C4B27"/>
    <w:rsid w:val="008C7F2A"/>
    <w:rsid w:val="008E36F8"/>
    <w:rsid w:val="008E46B2"/>
    <w:rsid w:val="008E682C"/>
    <w:rsid w:val="008E78A1"/>
    <w:rsid w:val="008F2BBD"/>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25E1"/>
    <w:rsid w:val="009D6819"/>
    <w:rsid w:val="009D6D1C"/>
    <w:rsid w:val="009E0CF9"/>
    <w:rsid w:val="009E531B"/>
    <w:rsid w:val="009E6C56"/>
    <w:rsid w:val="009E7DCF"/>
    <w:rsid w:val="009F4A56"/>
    <w:rsid w:val="009F4E65"/>
    <w:rsid w:val="00A006A5"/>
    <w:rsid w:val="00A01EE1"/>
    <w:rsid w:val="00A05942"/>
    <w:rsid w:val="00A07BEC"/>
    <w:rsid w:val="00A264BE"/>
    <w:rsid w:val="00A272CA"/>
    <w:rsid w:val="00A274AB"/>
    <w:rsid w:val="00A27C50"/>
    <w:rsid w:val="00A33051"/>
    <w:rsid w:val="00A407AD"/>
    <w:rsid w:val="00A40923"/>
    <w:rsid w:val="00A41C05"/>
    <w:rsid w:val="00A42426"/>
    <w:rsid w:val="00A514B7"/>
    <w:rsid w:val="00A54A0B"/>
    <w:rsid w:val="00A62A62"/>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133B"/>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77E4"/>
    <w:rsid w:val="00DD2BE0"/>
    <w:rsid w:val="00DE4447"/>
    <w:rsid w:val="00DE5DA2"/>
    <w:rsid w:val="00DF0033"/>
    <w:rsid w:val="00E026BF"/>
    <w:rsid w:val="00E07B1B"/>
    <w:rsid w:val="00E11853"/>
    <w:rsid w:val="00E52A86"/>
    <w:rsid w:val="00E54B47"/>
    <w:rsid w:val="00E553BF"/>
    <w:rsid w:val="00E55D93"/>
    <w:rsid w:val="00E61294"/>
    <w:rsid w:val="00E7237C"/>
    <w:rsid w:val="00E733DD"/>
    <w:rsid w:val="00E77C46"/>
    <w:rsid w:val="00E86CE8"/>
    <w:rsid w:val="00E90E82"/>
    <w:rsid w:val="00EA00CB"/>
    <w:rsid w:val="00EA1BAA"/>
    <w:rsid w:val="00EA3FCD"/>
    <w:rsid w:val="00EA42A0"/>
    <w:rsid w:val="00EB60F2"/>
    <w:rsid w:val="00EB6714"/>
    <w:rsid w:val="00EC0A68"/>
    <w:rsid w:val="00EC5006"/>
    <w:rsid w:val="00EC5713"/>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138D"/>
    <w:rsid w:val="00FD3C70"/>
    <w:rsid w:val="00FD6820"/>
    <w:rsid w:val="00FE12D8"/>
    <w:rsid w:val="00FF7C02"/>
    <w:rsid w:val="024801E3"/>
    <w:rsid w:val="2B2A9B72"/>
    <w:rsid w:val="3218FB7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9C25E1"/>
    <w:rPr>
      <w:sz w:val="16"/>
      <w:szCs w:val="16"/>
    </w:rPr>
  </w:style>
  <w:style w:type="paragraph" w:styleId="Kommentarer">
    <w:name w:val="annotation text"/>
    <w:basedOn w:val="Normal"/>
    <w:link w:val="KommentarerChar"/>
    <w:uiPriority w:val="99"/>
    <w:unhideWhenUsed/>
    <w:rsid w:val="009C25E1"/>
    <w:pPr>
      <w:spacing w:line="240" w:lineRule="auto"/>
    </w:pPr>
    <w:rPr>
      <w:sz w:val="20"/>
      <w:szCs w:val="20"/>
    </w:rPr>
  </w:style>
  <w:style w:type="character" w:customStyle="1" w:styleId="KommentarerChar">
    <w:name w:val="Kommentarer Char"/>
    <w:basedOn w:val="Standardstycketeckensnitt"/>
    <w:link w:val="Kommentarer"/>
    <w:uiPriority w:val="99"/>
    <w:rsid w:val="009C25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5</Pages>
  <Words>1936</Words>
  <Characters>12498</Characters>
  <Application>Microsoft Office Word</Application>
  <DocSecurity>0</DocSecurity>
  <Lines>104</Lines>
  <Paragraphs>28</Paragraphs>
  <ScaleCrop>false</ScaleCrop>
  <Manager/>
  <Company/>
  <LinksUpToDate>false</LinksUpToDate>
  <CharactersWithSpaces>14406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SCT - Blodgruppsinkompatibilitet</dc:title>
  <dc:subject/>
  <dc:creator>patrik.jens.johansson@vgregion.se</dc:creator>
  <keywords/>
  <lastModifiedBy>Elin Öfverberg</lastModifiedBy>
  <revision>19</revision>
  <lastPrinted>2016-03-31T10:56:00.0000000Z</lastPrinted>
  <dcterms:created xsi:type="dcterms:W3CDTF">2022-05-05T07:35:00.0000000Z</dcterms:created>
  <dcterms:modified xsi:type="dcterms:W3CDTF">2024-11-18T12:03:00.0000000Z</dcterms:modified>
</coreProperties>
</file>