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7394C0" w14:textId="220A99EE" w:rsidR="006A0316" w:rsidRDefault="005F102B" w:rsidP="00627335">
      <w:pPr>
        <w:pStyle w:val="Rubrik2"/>
        <w:ind w:left="737" w:right="0"/>
        <w:rPr>
          <w:rFonts w:ascii="Calibri" w:eastAsia="MS Gothic" w:hAnsi="Calibri" w:cs="Times New Roman"/>
          <w:color w:val="auto"/>
          <w:kern w:val="32"/>
          <w:sz w:val="48"/>
          <w:szCs w:val="32"/>
        </w:rPr>
      </w:pPr>
      <w:r>
        <w:rPr>
          <w:rFonts w:ascii="Calibri" w:eastAsia="MS Gothic" w:hAnsi="Calibri" w:cs="Times New Roman"/>
          <w:color w:val="auto"/>
          <w:kern w:val="32"/>
          <w:sz w:val="48"/>
          <w:szCs w:val="32"/>
        </w:rPr>
        <w:t xml:space="preserve">Regional Rutin: </w:t>
      </w:r>
      <w:r w:rsidR="006A0316" w:rsidRPr="006A0316">
        <w:rPr>
          <w:rFonts w:ascii="Calibri" w:eastAsia="MS Gothic" w:hAnsi="Calibri" w:cs="Times New Roman"/>
          <w:color w:val="auto"/>
          <w:kern w:val="32"/>
          <w:sz w:val="48"/>
          <w:szCs w:val="32"/>
        </w:rPr>
        <w:t>Antiemetika – administ</w:t>
      </w:r>
      <w:r w:rsidR="006A0316">
        <w:rPr>
          <w:rFonts w:ascii="Calibri" w:eastAsia="MS Gothic" w:hAnsi="Calibri" w:cs="Times New Roman"/>
          <w:color w:val="auto"/>
          <w:kern w:val="32"/>
          <w:sz w:val="48"/>
          <w:szCs w:val="32"/>
        </w:rPr>
        <w:t>r</w:t>
      </w:r>
      <w:r w:rsidR="006A0316" w:rsidRPr="006A0316">
        <w:rPr>
          <w:rFonts w:ascii="Calibri" w:eastAsia="MS Gothic" w:hAnsi="Calibri" w:cs="Times New Roman"/>
          <w:color w:val="auto"/>
          <w:kern w:val="32"/>
          <w:sz w:val="48"/>
          <w:szCs w:val="32"/>
        </w:rPr>
        <w:t xml:space="preserve">ering vid </w:t>
      </w:r>
      <w:r w:rsidR="00561EFA">
        <w:rPr>
          <w:rFonts w:ascii="Calibri" w:eastAsia="MS Gothic" w:hAnsi="Calibri" w:cs="Times New Roman"/>
          <w:color w:val="auto"/>
          <w:kern w:val="32"/>
          <w:sz w:val="48"/>
          <w:szCs w:val="32"/>
        </w:rPr>
        <w:t>antitumoral läkemedelsbehandling</w:t>
      </w:r>
      <w:r w:rsidR="006A0316" w:rsidRPr="006A0316">
        <w:rPr>
          <w:rFonts w:ascii="Calibri" w:eastAsia="MS Gothic" w:hAnsi="Calibri" w:cs="Times New Roman"/>
          <w:color w:val="auto"/>
          <w:kern w:val="32"/>
          <w:sz w:val="48"/>
          <w:szCs w:val="32"/>
        </w:rPr>
        <w:t>, hematologi och onkologi vuxna</w:t>
      </w:r>
    </w:p>
    <w:p w14:paraId="1DABA841" w14:textId="399F9866" w:rsidR="00F91EB5" w:rsidRDefault="0017508E" w:rsidP="006758B1">
      <w:pPr>
        <w:pStyle w:val="Rubrik2"/>
        <w:ind w:left="737" w:right="0"/>
        <w:rPr>
          <w:rFonts w:ascii="Times New Roman" w:eastAsia="Times New Roman" w:hAnsi="Times New Roman" w:cs="Times New Roman"/>
          <w:bCs w:val="0"/>
          <w:color w:val="auto"/>
          <w:sz w:val="24"/>
          <w:szCs w:val="24"/>
        </w:rPr>
      </w:pPr>
      <w:r>
        <w:t>Syfte</w:t>
      </w:r>
      <w:bookmarkStart w:id="0" w:name="_Toc72840807"/>
    </w:p>
    <w:p w14:paraId="4E86A218" w14:textId="7CB01C0E" w:rsidR="00FD1EF3" w:rsidRPr="00FD1EF3" w:rsidRDefault="00D8125E" w:rsidP="001D560E">
      <w:pPr>
        <w:ind w:left="709"/>
        <w:rPr>
          <w:rFonts w:ascii="Calibri" w:eastAsia="MS Gothic" w:hAnsi="Calibri"/>
          <w:kern w:val="32"/>
          <w:sz w:val="48"/>
          <w:szCs w:val="32"/>
        </w:rPr>
      </w:pPr>
      <w:r w:rsidRPr="00FD1EF3">
        <w:t xml:space="preserve">Syftet med </w:t>
      </w:r>
      <w:r>
        <w:t>dessa riktlinjer</w:t>
      </w:r>
      <w:r w:rsidRPr="00FD1EF3">
        <w:t>, som är gemensam</w:t>
      </w:r>
      <w:r>
        <w:t>ma</w:t>
      </w:r>
      <w:r w:rsidRPr="00FD1EF3">
        <w:t xml:space="preserve"> för hematologi och onkologi i</w:t>
      </w:r>
      <w:r>
        <w:t xml:space="preserve"> Västra Götalandsregionen</w:t>
      </w:r>
      <w:r w:rsidRPr="00FD1EF3">
        <w:t xml:space="preserve"> </w:t>
      </w:r>
      <w:r>
        <w:t>(</w:t>
      </w:r>
      <w:r w:rsidRPr="00FD1EF3">
        <w:t>VGR</w:t>
      </w:r>
      <w:r w:rsidR="00642CD4">
        <w:t>)</w:t>
      </w:r>
      <w:r w:rsidRPr="00FD1EF3">
        <w:t xml:space="preserve">, är att patienter som får </w:t>
      </w:r>
      <w:r>
        <w:t>antitumoral läkemedels</w:t>
      </w:r>
      <w:r w:rsidRPr="00FD1EF3">
        <w:t>behandling som riskerar att orsaka illamående och kräkning (CINV) ska</w:t>
      </w:r>
      <w:r w:rsidR="002D529D">
        <w:t xml:space="preserve"> </w:t>
      </w:r>
      <w:r w:rsidRPr="00FD1EF3">
        <w:t>få bästa möjliga förebyggande och symtomlindrande behandling för detta</w:t>
      </w:r>
      <w:r>
        <w:t>,</w:t>
      </w:r>
      <w:r w:rsidRPr="00FD1EF3">
        <w:t xml:space="preserve"> på alla enheter i VGR. Rutinen gäller för vuxna över 18 år och bygger på </w:t>
      </w:r>
      <w:r>
        <w:t xml:space="preserve">det nationella stöddokumentet </w:t>
      </w:r>
      <w:hyperlink r:id="rId12" w:history="1">
        <w:r w:rsidR="00D46597">
          <w:rPr>
            <w:rStyle w:val="Hyperlnk"/>
          </w:rPr>
          <w:t>Antiemetika-vuxen - RCC Kunskapsbanken</w:t>
        </w:r>
      </w:hyperlink>
      <w:r>
        <w:t xml:space="preserve"> version 2.0 2024-08-20,</w:t>
      </w:r>
      <w:r w:rsidRPr="00FD1EF3">
        <w:t xml:space="preserve"> </w:t>
      </w:r>
      <w:r>
        <w:t xml:space="preserve">som </w:t>
      </w:r>
      <w:r w:rsidRPr="00FD1EF3">
        <w:t xml:space="preserve">inkluderar arbetssätt samt </w:t>
      </w:r>
      <w:r>
        <w:t xml:space="preserve">har </w:t>
      </w:r>
      <w:r w:rsidRPr="00FD1EF3">
        <w:t>förslag på antiemetikaregimer som syftar till att minska kortisonanvändandet samt om möjligt välja peroral antiemetika.</w:t>
      </w:r>
    </w:p>
    <w:p w14:paraId="2AF3298A" w14:textId="5B7D1B72" w:rsidR="008C7F0C" w:rsidRDefault="00D20779" w:rsidP="00627335">
      <w:pPr>
        <w:pStyle w:val="Rubrik2"/>
        <w:ind w:left="737" w:right="0"/>
      </w:pPr>
      <w:r>
        <w:t xml:space="preserve">Förändringar </w:t>
      </w:r>
      <w:r w:rsidR="008C7F0C">
        <w:t>sedan föregående version</w:t>
      </w:r>
      <w:r w:rsidR="003424E9">
        <w:t>er</w:t>
      </w:r>
    </w:p>
    <w:p w14:paraId="1AF26ABE" w14:textId="77777777" w:rsidR="00161299" w:rsidRPr="00161299" w:rsidRDefault="00D33283" w:rsidP="00161299">
      <w:pPr>
        <w:pStyle w:val="Punktlista"/>
        <w:numPr>
          <w:ilvl w:val="0"/>
          <w:numId w:val="20"/>
        </w:numPr>
        <w:rPr>
          <w:bCs/>
        </w:rPr>
      </w:pPr>
      <w:r w:rsidRPr="00FF6080">
        <w:t xml:space="preserve">Antiemetika - administrering vid cytostatikabehandling, hematologi och </w:t>
      </w:r>
      <w:r>
        <w:t>onkologi vuxna, d</w:t>
      </w:r>
      <w:r w:rsidRPr="00FF6080">
        <w:t>okument-ID: SSN11800-2140136717-429 Version: 2.0</w:t>
      </w:r>
      <w:r>
        <w:t>, ersätts av denna rutin.</w:t>
      </w:r>
    </w:p>
    <w:p w14:paraId="2B0DCB3C" w14:textId="2C49FE13" w:rsidR="00161299" w:rsidRPr="00161299" w:rsidRDefault="00D33283" w:rsidP="00161299">
      <w:pPr>
        <w:pStyle w:val="Punktlista"/>
        <w:numPr>
          <w:ilvl w:val="0"/>
          <w:numId w:val="20"/>
        </w:numPr>
        <w:rPr>
          <w:bCs/>
        </w:rPr>
      </w:pPr>
      <w:r w:rsidRPr="00161299">
        <w:t xml:space="preserve">Det nationella stöddokumentet </w:t>
      </w:r>
      <w:hyperlink r:id="rId13" w:history="1">
        <w:r w:rsidR="00D46597">
          <w:rPr>
            <w:rStyle w:val="Hyperlnk"/>
          </w:rPr>
          <w:t>Antiemetika-vuxen - RCC Kunskapsbanken</w:t>
        </w:r>
      </w:hyperlink>
      <w:r w:rsidRPr="00161299">
        <w:rPr>
          <w:rStyle w:val="Hyperlnk"/>
        </w:rPr>
        <w:t xml:space="preserve">, </w:t>
      </w:r>
      <w:r w:rsidRPr="00161299">
        <w:rPr>
          <w:rStyle w:val="Hyperlnk"/>
          <w:color w:val="auto"/>
          <w:u w:val="none"/>
        </w:rPr>
        <w:t>som</w:t>
      </w:r>
      <w:r w:rsidRPr="00161299">
        <w:rPr>
          <w:rStyle w:val="Hyperlnk"/>
        </w:rPr>
        <w:t xml:space="preserve"> </w:t>
      </w:r>
      <w:r w:rsidRPr="00161299">
        <w:t>denna rutin bygger på är uppdaterat.</w:t>
      </w:r>
    </w:p>
    <w:p w14:paraId="75428F21" w14:textId="1E4F9718" w:rsidR="00161299" w:rsidRPr="00161299" w:rsidRDefault="2238621D" w:rsidP="00EA3120">
      <w:pPr>
        <w:pStyle w:val="Punktlista"/>
        <w:numPr>
          <w:ilvl w:val="0"/>
          <w:numId w:val="20"/>
        </w:numPr>
      </w:pPr>
      <w:r>
        <w:t>Arbets</w:t>
      </w:r>
      <w:r w:rsidR="040E3464">
        <w:t>g</w:t>
      </w:r>
      <w:r w:rsidR="00D33283">
        <w:t>ruppen</w:t>
      </w:r>
      <w:r w:rsidR="417CBB81">
        <w:t xml:space="preserve"> </w:t>
      </w:r>
      <w:r w:rsidR="5FC37F29">
        <w:t>bakom</w:t>
      </w:r>
      <w:r w:rsidR="349B51D9">
        <w:t xml:space="preserve"> denna rutin</w:t>
      </w:r>
      <w:r w:rsidR="00D33283">
        <w:t xml:space="preserve"> har kompletterats med en apotekare från SU/S</w:t>
      </w:r>
    </w:p>
    <w:p w14:paraId="406766EB" w14:textId="77777777" w:rsidR="00161299" w:rsidRPr="00161299" w:rsidRDefault="00D33283" w:rsidP="00161299">
      <w:pPr>
        <w:pStyle w:val="Punktlista"/>
        <w:numPr>
          <w:ilvl w:val="0"/>
          <w:numId w:val="20"/>
        </w:numPr>
        <w:rPr>
          <w:bCs/>
        </w:rPr>
      </w:pPr>
      <w:r>
        <w:t>All antitumoral behandling, inte bara cytostatika, som kan orsaka illamående, ingår.</w:t>
      </w:r>
    </w:p>
    <w:p w14:paraId="12ECDAF8" w14:textId="77777777" w:rsidR="00161299" w:rsidRPr="00161299" w:rsidRDefault="00D33283" w:rsidP="00161299">
      <w:pPr>
        <w:pStyle w:val="Punktlista"/>
        <w:numPr>
          <w:ilvl w:val="0"/>
          <w:numId w:val="20"/>
        </w:numPr>
        <w:rPr>
          <w:bCs/>
        </w:rPr>
      </w:pPr>
      <w:r>
        <w:t xml:space="preserve">Avsnittet ”Andra orsaker till illamående som kan behöva kompletterande behandling” har kompletterats. </w:t>
      </w:r>
    </w:p>
    <w:p w14:paraId="3120AE5B" w14:textId="77777777" w:rsidR="00161299" w:rsidRPr="00161299" w:rsidRDefault="00D33283" w:rsidP="00161299">
      <w:pPr>
        <w:pStyle w:val="Punktlista"/>
        <w:numPr>
          <w:ilvl w:val="0"/>
          <w:numId w:val="20"/>
        </w:numPr>
        <w:rPr>
          <w:bCs/>
        </w:rPr>
      </w:pPr>
      <w:r>
        <w:t>Avsnittet ”Kliniskt arbetssätt” har uppdaterats</w:t>
      </w:r>
      <w:r w:rsidR="00161299">
        <w:t>.</w:t>
      </w:r>
    </w:p>
    <w:p w14:paraId="64CAA68F" w14:textId="77777777" w:rsidR="00161299" w:rsidRPr="00161299" w:rsidRDefault="00D33283" w:rsidP="00161299">
      <w:pPr>
        <w:pStyle w:val="Punktlista"/>
        <w:numPr>
          <w:ilvl w:val="0"/>
          <w:numId w:val="20"/>
        </w:numPr>
        <w:rPr>
          <w:bCs/>
        </w:rPr>
      </w:pPr>
      <w:r>
        <w:t>Dokumentation skall utformas med hänsyn till aktuellt journalsystem.</w:t>
      </w:r>
    </w:p>
    <w:p w14:paraId="689CCEC3" w14:textId="77777777" w:rsidR="00161299" w:rsidRPr="00161299" w:rsidRDefault="00D33283" w:rsidP="00161299">
      <w:pPr>
        <w:pStyle w:val="Punktlista"/>
        <w:numPr>
          <w:ilvl w:val="0"/>
          <w:numId w:val="20"/>
        </w:numPr>
        <w:rPr>
          <w:bCs/>
        </w:rPr>
      </w:pPr>
      <w:r>
        <w:t>Termen Behandlingsdagbok har ersatts med Illamåendedagbok.</w:t>
      </w:r>
    </w:p>
    <w:p w14:paraId="6560DC77" w14:textId="62040E85" w:rsidR="00D33283" w:rsidRPr="00161299" w:rsidRDefault="00D33283" w:rsidP="00161299">
      <w:pPr>
        <w:pStyle w:val="Punktlista"/>
        <w:numPr>
          <w:ilvl w:val="0"/>
          <w:numId w:val="20"/>
        </w:numPr>
        <w:rPr>
          <w:bCs/>
        </w:rPr>
      </w:pPr>
      <w:r>
        <w:t>Kapitlet ”Läkemedel mot illamående” har reviderats.</w:t>
      </w:r>
    </w:p>
    <w:p w14:paraId="506083B2" w14:textId="77777777" w:rsidR="0007291F" w:rsidRDefault="008C7F0C" w:rsidP="00DC257D">
      <w:pPr>
        <w:pStyle w:val="Rubrik2"/>
        <w:ind w:left="737" w:right="0" w:firstLine="255"/>
      </w:pPr>
      <w:r>
        <w:lastRenderedPageBreak/>
        <w:t>Bakgrund</w:t>
      </w:r>
      <w:bookmarkEnd w:id="0"/>
    </w:p>
    <w:p w14:paraId="502C7CCE" w14:textId="007E1DF0" w:rsidR="000870B2" w:rsidRPr="002551E4" w:rsidRDefault="0055425B" w:rsidP="002551E4">
      <w:pPr>
        <w:rPr>
          <w:rFonts w:eastAsiaTheme="majorEastAsia"/>
          <w:bCs/>
          <w:color w:val="000000" w:themeColor="text1"/>
        </w:rPr>
      </w:pPr>
      <w:r w:rsidRPr="0055425B">
        <w:rPr>
          <w:rStyle w:val="Rubrik3Char"/>
          <w:rFonts w:ascii="Times New Roman" w:hAnsi="Times New Roman" w:cs="Times New Roman"/>
          <w:sz w:val="24"/>
        </w:rPr>
        <w:t xml:space="preserve">Cytostatika- och annan </w:t>
      </w:r>
      <w:r w:rsidRPr="00D46597">
        <w:t>medicinsk tumörbehandling kan orsaka illamående och kräkning (CINV). Detta har stor inverkan på livskvalitet och kan påverka näringsintaget. Det är en viktig kvalitetsindikator (PROM; Patient Related Outcome Measure), som kan användas för att följa upp rutiner för behandling av CINV på gruppnivå. All antitumoral läkemedelsbehandling i VGR standardiseras nu i Cytobase, på sikt i ett nytt journalsystem. Detta dokument syftar till att standardisera även antiemetika-behandlingen inklusive ett strukturerat arbetssätt.</w:t>
      </w:r>
    </w:p>
    <w:p w14:paraId="5A5B6D9F" w14:textId="77777777" w:rsidR="00823F43" w:rsidRDefault="00823F43" w:rsidP="00DC257D">
      <w:pPr>
        <w:pStyle w:val="Rubrik2"/>
      </w:pPr>
      <w:r w:rsidRPr="00EE5EA3">
        <w:t>Illamående utlöst av medicinsk antitumoral behandling</w:t>
      </w:r>
    </w:p>
    <w:p w14:paraId="401CCACB" w14:textId="77777777" w:rsidR="000870B2" w:rsidRPr="00B042D7" w:rsidRDefault="000870B2" w:rsidP="00DC257D">
      <w:r w:rsidRPr="00B042D7">
        <w:t xml:space="preserve">Det finns olika typer av </w:t>
      </w:r>
      <w:r>
        <w:t>CINV</w:t>
      </w:r>
      <w:r w:rsidRPr="00B042D7">
        <w:t>, definierat utifrån när patienten upplever det.</w:t>
      </w:r>
    </w:p>
    <w:p w14:paraId="2B9C9E98" w14:textId="77777777" w:rsidR="000870B2" w:rsidRPr="0019216D" w:rsidRDefault="000870B2" w:rsidP="00DC257D">
      <w:pPr>
        <w:rPr>
          <w:bCs/>
        </w:rPr>
      </w:pPr>
      <w:r w:rsidRPr="0019216D">
        <w:rPr>
          <w:b/>
        </w:rPr>
        <w:t>Akut illamående</w:t>
      </w:r>
      <w:r w:rsidRPr="0019216D">
        <w:t>; illamående/kräkningar som uppstår 0</w:t>
      </w:r>
      <w:r>
        <w:t>-</w:t>
      </w:r>
      <w:r w:rsidRPr="0019216D">
        <w:t xml:space="preserve">24 tim efter </w:t>
      </w:r>
      <w:r>
        <w:t>given behandling</w:t>
      </w:r>
      <w:r w:rsidRPr="0019216D">
        <w:t>.</w:t>
      </w:r>
    </w:p>
    <w:p w14:paraId="327D06AF" w14:textId="77777777" w:rsidR="000870B2" w:rsidRPr="0019216D" w:rsidRDefault="000870B2" w:rsidP="00DC257D">
      <w:pPr>
        <w:rPr>
          <w:bCs/>
        </w:rPr>
      </w:pPr>
      <w:r w:rsidRPr="0019216D">
        <w:rPr>
          <w:b/>
        </w:rPr>
        <w:t>Fördröjt illamående</w:t>
      </w:r>
      <w:r w:rsidRPr="0019216D">
        <w:t xml:space="preserve">; </w:t>
      </w:r>
      <w:r>
        <w:t>i</w:t>
      </w:r>
      <w:r w:rsidRPr="0019216D">
        <w:t>llamående/kräkning som uppstår</w:t>
      </w:r>
      <w:r>
        <w:t xml:space="preserve"> &gt;</w:t>
      </w:r>
      <w:r w:rsidRPr="0019216D">
        <w:t xml:space="preserve"> 24 tim efter </w:t>
      </w:r>
      <w:r>
        <w:t>given behandling</w:t>
      </w:r>
      <w:r w:rsidRPr="0019216D">
        <w:t>.</w:t>
      </w:r>
    </w:p>
    <w:p w14:paraId="01763CC6" w14:textId="1184D61C" w:rsidR="000870B2" w:rsidRDefault="000870B2" w:rsidP="00DC257D">
      <w:pPr>
        <w:rPr>
          <w:bCs/>
        </w:rPr>
      </w:pPr>
      <w:r w:rsidRPr="0019216D">
        <w:rPr>
          <w:b/>
        </w:rPr>
        <w:t>Betingat illamående</w:t>
      </w:r>
      <w:r w:rsidRPr="0019216D">
        <w:t xml:space="preserve">; </w:t>
      </w:r>
      <w:r>
        <w:t>i</w:t>
      </w:r>
      <w:r w:rsidRPr="0019216D">
        <w:t xml:space="preserve">llamående som </w:t>
      </w:r>
      <w:r>
        <w:t xml:space="preserve">kan uppstå långt </w:t>
      </w:r>
      <w:r w:rsidRPr="0019216D">
        <w:t>efter första behandlingen</w:t>
      </w:r>
      <w:r>
        <w:t>. Det</w:t>
      </w:r>
      <w:r w:rsidRPr="0019216D">
        <w:t xml:space="preserve"> utlös</w:t>
      </w:r>
      <w:r>
        <w:t>e</w:t>
      </w:r>
      <w:r w:rsidRPr="0019216D">
        <w:t>s av</w:t>
      </w:r>
      <w:r>
        <w:t xml:space="preserve"> samma</w:t>
      </w:r>
      <w:r w:rsidRPr="0019216D">
        <w:t xml:space="preserve"> stimuli</w:t>
      </w:r>
      <w:r>
        <w:t xml:space="preserve"> som patienten upplevde i samband med behandling som gav akut eller fördröjt illamående</w:t>
      </w:r>
      <w:r w:rsidRPr="0019216D">
        <w:t>, t.ex. lukter, färger och sjukhusmiljö. Risken att utveckla ett betingat illamående ökar med antalet kurer och förebyggs bäst genom en optimal behandling av det akuta och</w:t>
      </w:r>
      <w:r>
        <w:t xml:space="preserve"> </w:t>
      </w:r>
      <w:r w:rsidRPr="0019216D">
        <w:t>fördröjda illamåendet vid de</w:t>
      </w:r>
      <w:r>
        <w:t xml:space="preserve"> </w:t>
      </w:r>
      <w:r w:rsidRPr="0019216D">
        <w:t>första behandlingarna</w:t>
      </w:r>
      <w:r>
        <w:t>.</w:t>
      </w:r>
    </w:p>
    <w:p w14:paraId="30061933" w14:textId="77777777" w:rsidR="000870B2" w:rsidRPr="00937FFD" w:rsidRDefault="000870B2" w:rsidP="00DC257D">
      <w:r w:rsidRPr="006758B1">
        <w:rPr>
          <w:rFonts w:ascii="Calibri" w:hAnsi="Calibri"/>
          <w:b/>
          <w:color w:val="000000"/>
          <w:sz w:val="26"/>
          <w:szCs w:val="18"/>
        </w:rPr>
        <w:t xml:space="preserve">Riskfaktorer för illamående och kräkning p g a </w:t>
      </w:r>
      <w:r>
        <w:rPr>
          <w:rFonts w:ascii="Calibri" w:hAnsi="Calibri"/>
          <w:b/>
          <w:color w:val="000000"/>
          <w:sz w:val="26"/>
          <w:szCs w:val="18"/>
        </w:rPr>
        <w:t>medicinsk tumör</w:t>
      </w:r>
      <w:r w:rsidRPr="006758B1">
        <w:rPr>
          <w:rFonts w:ascii="Calibri" w:hAnsi="Calibri"/>
          <w:b/>
          <w:color w:val="000000"/>
          <w:sz w:val="26"/>
          <w:szCs w:val="18"/>
        </w:rPr>
        <w:t>behandling</w:t>
      </w:r>
      <w:r>
        <w:br/>
      </w:r>
      <w:r w:rsidRPr="006758B1">
        <w:t xml:space="preserve">Risken för att drabbas av illamående i samband med </w:t>
      </w:r>
      <w:r>
        <w:t xml:space="preserve">antitumoral </w:t>
      </w:r>
      <w:r w:rsidRPr="006758B1">
        <w:t>behandling beror på</w:t>
      </w:r>
      <w:r>
        <w:t>:</w:t>
      </w:r>
      <w:r w:rsidRPr="00DD64A7">
        <w:rPr>
          <w:color w:val="3A3A3A"/>
          <w:kern w:val="24"/>
        </w:rPr>
        <w:t xml:space="preserve"> </w:t>
      </w:r>
    </w:p>
    <w:p w14:paraId="750185E1" w14:textId="77777777" w:rsidR="000870B2" w:rsidRPr="00194D13" w:rsidRDefault="000870B2" w:rsidP="00194D13">
      <w:pPr>
        <w:pStyle w:val="Liststycke"/>
        <w:numPr>
          <w:ilvl w:val="0"/>
          <w:numId w:val="41"/>
        </w:numPr>
        <w:rPr>
          <w:color w:val="000000" w:themeColor="text1"/>
          <w:kern w:val="24"/>
        </w:rPr>
      </w:pPr>
      <w:r w:rsidRPr="00194D13">
        <w:rPr>
          <w:color w:val="000000" w:themeColor="text1"/>
          <w:kern w:val="24"/>
        </w:rPr>
        <w:t>Behandlingsregimens emetogena grad</w:t>
      </w:r>
    </w:p>
    <w:p w14:paraId="5679F199" w14:textId="77777777" w:rsidR="000870B2" w:rsidRPr="00194D13" w:rsidRDefault="000870B2" w:rsidP="00194D13">
      <w:pPr>
        <w:pStyle w:val="Liststycke"/>
        <w:numPr>
          <w:ilvl w:val="0"/>
          <w:numId w:val="41"/>
        </w:numPr>
        <w:rPr>
          <w:color w:val="000000" w:themeColor="text1"/>
          <w:kern w:val="24"/>
        </w:rPr>
      </w:pPr>
      <w:r w:rsidRPr="00194D13">
        <w:rPr>
          <w:color w:val="000000" w:themeColor="text1"/>
          <w:kern w:val="24"/>
        </w:rPr>
        <w:t xml:space="preserve">Individuella riskfaktorer </w:t>
      </w:r>
    </w:p>
    <w:p w14:paraId="1F366F8C" w14:textId="77777777" w:rsidR="000870B2" w:rsidRDefault="000870B2" w:rsidP="00DC257D">
      <w:pPr>
        <w:rPr>
          <w:bCs/>
        </w:rPr>
      </w:pPr>
      <w:r>
        <w:rPr>
          <w:b/>
        </w:rPr>
        <w:t>Behandlings</w:t>
      </w:r>
      <w:r w:rsidRPr="00E114BE">
        <w:rPr>
          <w:b/>
        </w:rPr>
        <w:t>regimens emetogena grad</w:t>
      </w:r>
      <w:r>
        <w:rPr>
          <w:rFonts w:ascii="Calibri" w:hAnsi="Calibri"/>
          <w:b/>
          <w:color w:val="000000"/>
          <w:sz w:val="26"/>
          <w:szCs w:val="18"/>
        </w:rPr>
        <w:br/>
      </w:r>
      <w:r>
        <w:t xml:space="preserve">Antitumorala läkemedel </w:t>
      </w:r>
      <w:r w:rsidRPr="006E7912">
        <w:t>klassificeras utifrån dess emetogena potential (minimal, låg, medel och hög) d</w:t>
      </w:r>
      <w:r>
        <w:t>.</w:t>
      </w:r>
      <w:r w:rsidRPr="006E7912">
        <w:t>v</w:t>
      </w:r>
      <w:r>
        <w:t>.</w:t>
      </w:r>
      <w:r w:rsidRPr="006E7912">
        <w:t xml:space="preserve">s. </w:t>
      </w:r>
      <w:r>
        <w:t>risk</w:t>
      </w:r>
      <w:r w:rsidRPr="006E7912">
        <w:t xml:space="preserve"> </w:t>
      </w:r>
      <w:r>
        <w:t xml:space="preserve">(i %) </w:t>
      </w:r>
      <w:r w:rsidRPr="006E7912">
        <w:t>att ge illamående/kräkningar utan antiemetikaprofylax.</w:t>
      </w:r>
    </w:p>
    <w:p w14:paraId="06621618" w14:textId="77777777" w:rsidR="000870B2" w:rsidRDefault="000870B2" w:rsidP="00DC257D">
      <w:pPr>
        <w:rPr>
          <w:color w:val="000000" w:themeColor="text1"/>
          <w:kern w:val="24"/>
        </w:rPr>
      </w:pPr>
      <w:r w:rsidRPr="0061376F">
        <w:rPr>
          <w:u w:val="single"/>
        </w:rPr>
        <w:t>Risknivåer</w:t>
      </w:r>
    </w:p>
    <w:p w14:paraId="7BF64E16" w14:textId="77777777" w:rsidR="000870B2" w:rsidRPr="00194D13" w:rsidRDefault="000870B2" w:rsidP="00194D13">
      <w:pPr>
        <w:pStyle w:val="Liststycke"/>
        <w:numPr>
          <w:ilvl w:val="0"/>
          <w:numId w:val="42"/>
        </w:numPr>
        <w:rPr>
          <w:color w:val="000000" w:themeColor="text1"/>
          <w:kern w:val="24"/>
        </w:rPr>
      </w:pPr>
      <w:r w:rsidRPr="00194D13">
        <w:rPr>
          <w:color w:val="000000" w:themeColor="text1"/>
          <w:kern w:val="24"/>
        </w:rPr>
        <w:t xml:space="preserve">Minimal </w:t>
      </w:r>
      <w:r w:rsidRPr="00194D13">
        <w:rPr>
          <w:color w:val="000000" w:themeColor="text1"/>
          <w:kern w:val="24"/>
        </w:rPr>
        <w:tab/>
        <w:t xml:space="preserve">&lt;10 % </w:t>
      </w:r>
    </w:p>
    <w:p w14:paraId="331EAB1D" w14:textId="77777777" w:rsidR="000870B2" w:rsidRPr="00194D13" w:rsidRDefault="000870B2" w:rsidP="00194D13">
      <w:pPr>
        <w:pStyle w:val="Liststycke"/>
        <w:numPr>
          <w:ilvl w:val="0"/>
          <w:numId w:val="42"/>
        </w:numPr>
        <w:rPr>
          <w:color w:val="000000" w:themeColor="text1"/>
          <w:kern w:val="24"/>
        </w:rPr>
      </w:pPr>
      <w:r w:rsidRPr="00194D13">
        <w:rPr>
          <w:color w:val="000000" w:themeColor="text1"/>
          <w:kern w:val="24"/>
        </w:rPr>
        <w:t xml:space="preserve">Låg </w:t>
      </w:r>
      <w:r w:rsidRPr="00194D13">
        <w:rPr>
          <w:color w:val="000000" w:themeColor="text1"/>
          <w:kern w:val="24"/>
        </w:rPr>
        <w:tab/>
        <w:t xml:space="preserve">10-30 % </w:t>
      </w:r>
    </w:p>
    <w:p w14:paraId="3A973A72" w14:textId="77777777" w:rsidR="000870B2" w:rsidRPr="00194D13" w:rsidRDefault="000870B2" w:rsidP="00194D13">
      <w:pPr>
        <w:pStyle w:val="Liststycke"/>
        <w:numPr>
          <w:ilvl w:val="0"/>
          <w:numId w:val="42"/>
        </w:numPr>
        <w:rPr>
          <w:color w:val="000000" w:themeColor="text1"/>
          <w:kern w:val="24"/>
        </w:rPr>
      </w:pPr>
      <w:r w:rsidRPr="00194D13">
        <w:rPr>
          <w:color w:val="000000" w:themeColor="text1"/>
          <w:kern w:val="24"/>
        </w:rPr>
        <w:t xml:space="preserve">Måttlig </w:t>
      </w:r>
      <w:r w:rsidRPr="00194D13">
        <w:rPr>
          <w:color w:val="000000" w:themeColor="text1"/>
          <w:kern w:val="24"/>
        </w:rPr>
        <w:tab/>
        <w:t xml:space="preserve">30-90 % </w:t>
      </w:r>
    </w:p>
    <w:p w14:paraId="56AA091F" w14:textId="76309DB3" w:rsidR="000870B2" w:rsidRPr="00194D13" w:rsidRDefault="000870B2" w:rsidP="00194D13">
      <w:pPr>
        <w:pStyle w:val="Liststycke"/>
        <w:numPr>
          <w:ilvl w:val="0"/>
          <w:numId w:val="42"/>
        </w:numPr>
        <w:rPr>
          <w:color w:val="000000" w:themeColor="text1"/>
          <w:kern w:val="24"/>
        </w:rPr>
      </w:pPr>
      <w:r w:rsidRPr="00194D13">
        <w:rPr>
          <w:color w:val="000000" w:themeColor="text1"/>
          <w:kern w:val="24"/>
        </w:rPr>
        <w:t>Hög</w:t>
      </w:r>
      <w:r w:rsidRPr="00194D13">
        <w:rPr>
          <w:color w:val="000000" w:themeColor="text1"/>
          <w:kern w:val="24"/>
        </w:rPr>
        <w:tab/>
        <w:t xml:space="preserve"> &gt;90 % </w:t>
      </w:r>
    </w:p>
    <w:p w14:paraId="539CF46E" w14:textId="399448BD" w:rsidR="000870B2" w:rsidRPr="00194D13" w:rsidRDefault="000870B2" w:rsidP="00194D13">
      <w:r w:rsidRPr="00450052">
        <w:lastRenderedPageBreak/>
        <w:t xml:space="preserve">För utförlig information om emetogen grad </w:t>
      </w:r>
      <w:r>
        <w:t xml:space="preserve">av olika regimer </w:t>
      </w:r>
      <w:r w:rsidRPr="00450052">
        <w:t>hänvisas</w:t>
      </w:r>
      <w:r>
        <w:t xml:space="preserve"> till det Nationella stöddokumentet </w:t>
      </w:r>
      <w:hyperlink r:id="rId14" w:history="1">
        <w:r>
          <w:rPr>
            <w:rStyle w:val="Hyperlnk"/>
          </w:rPr>
          <w:t>Antiemetika vuxen - RCC Kunskapsbanken</w:t>
        </w:r>
      </w:hyperlink>
    </w:p>
    <w:p w14:paraId="7BFCD5F4" w14:textId="59030C74" w:rsidR="000870B2" w:rsidRPr="003A389E" w:rsidRDefault="000870B2" w:rsidP="00965831">
      <w:r w:rsidRPr="00B86366">
        <w:rPr>
          <w:b/>
          <w:bCs/>
        </w:rPr>
        <w:t>Individuella riskfaktorer</w:t>
      </w:r>
      <w:r>
        <w:rPr>
          <w:b/>
          <w:bCs/>
        </w:rPr>
        <w:br/>
      </w:r>
      <w:r w:rsidRPr="00450052">
        <w:t xml:space="preserve">Det finns åtskilliga modeller med många gemensamma kriterier för bedömning av individbaserad risk för CINV. </w:t>
      </w:r>
      <w:r>
        <w:t xml:space="preserve">I </w:t>
      </w:r>
      <w:r w:rsidRPr="00450052">
        <w:t>VGR skall</w:t>
      </w:r>
      <w:r>
        <w:t xml:space="preserve"> även i fortsättningen</w:t>
      </w:r>
      <w:r w:rsidRPr="00450052">
        <w:t xml:space="preserve"> en gemensam riskmodell för patienten att drabbas av CINV följas, se </w:t>
      </w:r>
      <w:r>
        <w:t xml:space="preserve">nedan och </w:t>
      </w:r>
      <w:r w:rsidRPr="00450052">
        <w:t>bilaga 1. Den skall användas för att identifiera patienter som behöver e</w:t>
      </w:r>
      <w:r>
        <w:t xml:space="preserve">tt </w:t>
      </w:r>
      <w:r w:rsidRPr="00450052">
        <w:t xml:space="preserve">högre </w:t>
      </w:r>
      <w:r>
        <w:t xml:space="preserve">antiemetikasteg </w:t>
      </w:r>
      <w:r w:rsidRPr="00450052">
        <w:t>än de</w:t>
      </w:r>
      <w:r>
        <w:t>t</w:t>
      </w:r>
      <w:r w:rsidRPr="00450052">
        <w:t xml:space="preserve"> som planerats med utgångspunkt från aktuell </w:t>
      </w:r>
      <w:r>
        <w:t xml:space="preserve">antitumoral </w:t>
      </w:r>
      <w:r w:rsidRPr="00450052">
        <w:t xml:space="preserve">behandling.  </w:t>
      </w:r>
    </w:p>
    <w:p w14:paraId="4CA8DD52" w14:textId="77777777" w:rsidR="002551E4" w:rsidRDefault="00B042D7" w:rsidP="002551E4">
      <w:r w:rsidRPr="00965831">
        <w:rPr>
          <w:rStyle w:val="Rubrik2Char"/>
        </w:rPr>
        <w:t>Andra orsaker till illamående som kan behöva kompletterande behandling</w:t>
      </w:r>
      <w:r w:rsidR="00E114BE">
        <w:rPr>
          <w:rFonts w:ascii="Calibri" w:hAnsi="Calibri"/>
          <w:b/>
          <w:color w:val="000000"/>
          <w:sz w:val="26"/>
          <w:szCs w:val="18"/>
        </w:rPr>
        <w:br/>
      </w:r>
      <w:r w:rsidR="004E2329" w:rsidRPr="00450052">
        <w:t xml:space="preserve">Cancerpatienter kan må illa av andra orsaker än av </w:t>
      </w:r>
      <w:r w:rsidR="004E2329">
        <w:t xml:space="preserve">den antitumorala </w:t>
      </w:r>
      <w:r w:rsidR="004E2329" w:rsidRPr="00450052">
        <w:t>behandlingen</w:t>
      </w:r>
      <w:r w:rsidR="004E2329">
        <w:t>, se bilaga 2</w:t>
      </w:r>
      <w:r w:rsidR="004E2329" w:rsidRPr="00450052">
        <w:t xml:space="preserve">. Var därför observant på symtom </w:t>
      </w:r>
      <w:r w:rsidR="004E2329">
        <w:t>av</w:t>
      </w:r>
      <w:r w:rsidR="004E2329" w:rsidRPr="00450052">
        <w:t xml:space="preserve"> cancersjukdomen </w:t>
      </w:r>
      <w:r w:rsidR="004E2329">
        <w:t xml:space="preserve">och </w:t>
      </w:r>
      <w:r w:rsidR="004E2329" w:rsidRPr="00450052">
        <w:t>biverkningar från den övriga behandlingen (t.ex. samtidig strålbehandling) som kan leda till illamående. Några vanliga besvär är:</w:t>
      </w:r>
    </w:p>
    <w:p w14:paraId="106D6EE3" w14:textId="735CDD76" w:rsidR="004E2329" w:rsidRPr="003D3DDB" w:rsidRDefault="004E2329" w:rsidP="002551E4">
      <w:pPr>
        <w:rPr>
          <w:rFonts w:ascii="Calibri" w:hAnsi="Calibri"/>
          <w:b/>
          <w:color w:val="000000"/>
          <w:sz w:val="26"/>
          <w:szCs w:val="18"/>
        </w:rPr>
      </w:pPr>
      <w:r>
        <w:rPr>
          <w:rFonts w:ascii="Calibri" w:hAnsi="Calibri"/>
          <w:b/>
          <w:color w:val="000000"/>
          <w:sz w:val="26"/>
          <w:szCs w:val="18"/>
        </w:rPr>
        <w:br/>
      </w:r>
      <w:r w:rsidRPr="00B86366">
        <w:rPr>
          <w:b/>
          <w:bCs/>
        </w:rPr>
        <w:t>Slemhinnebesvär</w:t>
      </w:r>
      <w:r w:rsidRPr="00450052">
        <w:t xml:space="preserve"> – Sår/inflammation (mukosit) i mun, matstrupe, magsäck och tarmkanal kan orsaka illamående. Vit beläggning eller rodnad på tungan kan också tyda på oral candidos. Ge råd om god munhygien och kontakta läkare för bedömning, ev odling och insättande av antimykotika. Vid svår mukositproblematik rekommenderas kontakt med specialisttandläkare i orofacial medicin/sjukhustandvård för bedömning.</w:t>
      </w:r>
    </w:p>
    <w:p w14:paraId="5143B236" w14:textId="77777777" w:rsidR="004E2329" w:rsidRDefault="004E2329" w:rsidP="004E2329">
      <w:pPr>
        <w:rPr>
          <w:rFonts w:ascii="Calibri" w:hAnsi="Calibri"/>
          <w:b/>
          <w:color w:val="000000"/>
          <w:sz w:val="26"/>
          <w:szCs w:val="18"/>
        </w:rPr>
      </w:pPr>
      <w:r w:rsidRPr="00B86366">
        <w:rPr>
          <w:b/>
          <w:bCs/>
        </w:rPr>
        <w:t>Gastritbesvär</w:t>
      </w:r>
      <w:r w:rsidRPr="00450052">
        <w:t xml:space="preserve"> – Symtom på ”magkatarr” kan vara illamående, sura uppstötningar och en brännande/smärtande känsla i buken och bakom bröstbenet vid reflux. Om dessa besvär släpper med mediciner mot gastritbesvär, fr.a. protonpumpshämmare</w:t>
      </w:r>
      <w:r>
        <w:t>,</w:t>
      </w:r>
      <w:r w:rsidRPr="00450052">
        <w:t xml:space="preserve"> (PPI), bör denna medicinering fortsätta. Kontrollera även om patienten använder läkemedel som irriterar magslemhinnan, fr.a. kortison, (som ingår i många </w:t>
      </w:r>
      <w:r>
        <w:t>antitumorala-</w:t>
      </w:r>
      <w:r w:rsidRPr="00450052">
        <w:t xml:space="preserve"> och antiemetika-kurer) samt anti</w:t>
      </w:r>
      <w:r>
        <w:t>-</w:t>
      </w:r>
      <w:r w:rsidRPr="00450052">
        <w:t>inflammatoriska</w:t>
      </w:r>
      <w:r w:rsidRPr="00DD64A7">
        <w:rPr>
          <w:color w:val="000000" w:themeColor="text1"/>
        </w:rPr>
        <w:t xml:space="preserve"> </w:t>
      </w:r>
      <w:r w:rsidRPr="00450052">
        <w:t>läkemedel (ASA, NSAID). Både kortison, ASA och NSAID ökar risken för ulcus, som kan ge endast diskreta symtom</w:t>
      </w:r>
      <w:r>
        <w:t xml:space="preserve"> p.g.a. deras anti-inflammatoriska effekter</w:t>
      </w:r>
      <w:r w:rsidRPr="00450052">
        <w:t xml:space="preserve">. Man bör vara liberal med PPI till patienter vars kurer innehåller hög dos peroralt kortison.   </w:t>
      </w:r>
    </w:p>
    <w:p w14:paraId="2D18A0DA" w14:textId="77777777" w:rsidR="004E2329" w:rsidRDefault="004E2329" w:rsidP="004E2329">
      <w:pPr>
        <w:rPr>
          <w:rFonts w:ascii="Calibri" w:hAnsi="Calibri"/>
          <w:b/>
          <w:color w:val="000000"/>
          <w:sz w:val="26"/>
          <w:szCs w:val="18"/>
        </w:rPr>
      </w:pPr>
      <w:r w:rsidRPr="00B86366">
        <w:rPr>
          <w:b/>
          <w:bCs/>
        </w:rPr>
        <w:t>Obstipation</w:t>
      </w:r>
      <w:r w:rsidRPr="00450052">
        <w:t xml:space="preserve"> – Är patienten förstoppad kan det leda till illamående. Var uppmärksam på att patienten har regelbunden tarmtömning och ge laxantia för att motverka eller häva förstoppning samt ge råd om rikligt vätskeintag. Tänk på att </w:t>
      </w:r>
      <w:r>
        <w:t xml:space="preserve">både 5-HT-3 - och NK-1-receptorblockerare medför stor risk för förstoppning och bör kombineras med laxantia.  </w:t>
      </w:r>
    </w:p>
    <w:p w14:paraId="24DF9FDE" w14:textId="77777777" w:rsidR="004E2329" w:rsidRPr="005160F6" w:rsidRDefault="004E2329" w:rsidP="004E2329">
      <w:pPr>
        <w:rPr>
          <w:bCs/>
        </w:rPr>
      </w:pPr>
      <w:r>
        <w:rPr>
          <w:b/>
          <w:bCs/>
        </w:rPr>
        <w:t xml:space="preserve">Oro, ångest </w:t>
      </w:r>
      <w:r w:rsidRPr="00450052">
        <w:t>–</w:t>
      </w:r>
      <w:r>
        <w:rPr>
          <w:b/>
          <w:bCs/>
        </w:rPr>
        <w:t xml:space="preserve"> </w:t>
      </w:r>
      <w:r>
        <w:rPr>
          <w:bCs/>
        </w:rPr>
        <w:t xml:space="preserve">Kan bidra till illamående och sömnproblem och en ond cirkel kan uppstå. Om kortison används mot illamåendet, överväg byte av kvällsdosen till olanzapin. I svåra fall kan temporär behandling med bensodiazepin (se ”Läkemedel mot illamående”) bli aktuellt. </w:t>
      </w:r>
    </w:p>
    <w:p w14:paraId="3204C4DE" w14:textId="77777777" w:rsidR="004E2329" w:rsidRDefault="004E2329" w:rsidP="004E2329">
      <w:pPr>
        <w:rPr>
          <w:rFonts w:ascii="Calibri" w:hAnsi="Calibri"/>
          <w:b/>
          <w:color w:val="000000"/>
          <w:sz w:val="26"/>
          <w:szCs w:val="18"/>
        </w:rPr>
      </w:pPr>
      <w:r w:rsidRPr="00B86366">
        <w:rPr>
          <w:b/>
          <w:bCs/>
        </w:rPr>
        <w:lastRenderedPageBreak/>
        <w:t>Strålbehandling</w:t>
      </w:r>
      <w:r w:rsidRPr="00450052">
        <w:t xml:space="preserve"> – </w:t>
      </w:r>
      <w:r>
        <w:t>S</w:t>
      </w:r>
      <w:r w:rsidRPr="00450052">
        <w:t>amtidig strålbehandling medför ökad risk för illamående</w:t>
      </w:r>
      <w:r w:rsidRPr="009C7FA4">
        <w:t>, se även</w:t>
      </w:r>
      <w:r>
        <w:t xml:space="preserve"> </w:t>
      </w:r>
      <w:hyperlink r:id="rId15" w:history="1">
        <w:r w:rsidRPr="009C7FA4">
          <w:rPr>
            <w:rStyle w:val="Hyperlnk"/>
            <w:rFonts w:eastAsia="MS Gothic"/>
          </w:rPr>
          <w:t>Rutin Illamående vid cancersjukdom</w:t>
        </w:r>
      </w:hyperlink>
      <w:r w:rsidRPr="009C7FA4">
        <w:t>, verksamhets</w:t>
      </w:r>
      <w:r>
        <w:t>o</w:t>
      </w:r>
      <w:r w:rsidRPr="009C7FA4">
        <w:t>mråde Onkologi, SU/Sahlgrenska.</w:t>
      </w:r>
    </w:p>
    <w:p w14:paraId="7C013B7B" w14:textId="77777777" w:rsidR="004E2329" w:rsidRDefault="004E2329" w:rsidP="004E2329">
      <w:pPr>
        <w:rPr>
          <w:b/>
          <w:bCs/>
        </w:rPr>
      </w:pPr>
      <w:r w:rsidRPr="00B86366">
        <w:rPr>
          <w:b/>
          <w:bCs/>
        </w:rPr>
        <w:t>Avancerad sjukdom</w:t>
      </w:r>
      <w:r>
        <w:rPr>
          <w:b/>
          <w:bCs/>
        </w:rPr>
        <w:t xml:space="preserve"> </w:t>
      </w:r>
      <w:r w:rsidRPr="00450052">
        <w:t>–</w:t>
      </w:r>
      <w:r>
        <w:rPr>
          <w:b/>
          <w:bCs/>
        </w:rPr>
        <w:t xml:space="preserve"> </w:t>
      </w:r>
      <w:r>
        <w:rPr>
          <w:bCs/>
        </w:rPr>
        <w:t>Ö</w:t>
      </w:r>
      <w:r w:rsidRPr="00FF6080">
        <w:rPr>
          <w:bCs/>
        </w:rPr>
        <w:t>kar risken för illamående genom t.ex.</w:t>
      </w:r>
      <w:r>
        <w:rPr>
          <w:b/>
          <w:bCs/>
        </w:rPr>
        <w:t xml:space="preserve"> </w:t>
      </w:r>
    </w:p>
    <w:p w14:paraId="5653DEC9" w14:textId="77777777" w:rsidR="004E2329" w:rsidRPr="001F2362" w:rsidRDefault="004E2329" w:rsidP="001F2362">
      <w:pPr>
        <w:pStyle w:val="Liststycke"/>
        <w:numPr>
          <w:ilvl w:val="0"/>
          <w:numId w:val="43"/>
        </w:numPr>
        <w:rPr>
          <w:rFonts w:ascii="Calibri" w:hAnsi="Calibri"/>
          <w:b/>
          <w:color w:val="000000"/>
          <w:sz w:val="26"/>
          <w:szCs w:val="18"/>
        </w:rPr>
      </w:pPr>
      <w:r w:rsidRPr="00450052">
        <w:t>Riklig slembildning i luftvägarna</w:t>
      </w:r>
    </w:p>
    <w:p w14:paraId="6A969DA8" w14:textId="77777777" w:rsidR="004E2329" w:rsidRPr="001F2362" w:rsidRDefault="004E2329" w:rsidP="001F2362">
      <w:pPr>
        <w:pStyle w:val="Liststycke"/>
        <w:numPr>
          <w:ilvl w:val="0"/>
          <w:numId w:val="43"/>
        </w:numPr>
        <w:rPr>
          <w:rFonts w:ascii="Calibri" w:hAnsi="Calibri"/>
          <w:b/>
          <w:color w:val="000000"/>
          <w:sz w:val="26"/>
          <w:szCs w:val="18"/>
        </w:rPr>
      </w:pPr>
      <w:r w:rsidRPr="00450052">
        <w:t>Ascites</w:t>
      </w:r>
    </w:p>
    <w:p w14:paraId="2F2B31AA" w14:textId="77777777" w:rsidR="004E2329" w:rsidRPr="001F2362" w:rsidRDefault="004E2329" w:rsidP="001F2362">
      <w:pPr>
        <w:pStyle w:val="Liststycke"/>
        <w:numPr>
          <w:ilvl w:val="0"/>
          <w:numId w:val="43"/>
        </w:numPr>
        <w:rPr>
          <w:rFonts w:ascii="Calibri" w:hAnsi="Calibri"/>
          <w:b/>
          <w:color w:val="000000"/>
          <w:sz w:val="26"/>
          <w:szCs w:val="18"/>
        </w:rPr>
      </w:pPr>
      <w:r w:rsidRPr="00450052">
        <w:t>Subileus, ileus</w:t>
      </w:r>
    </w:p>
    <w:p w14:paraId="271D155C" w14:textId="77777777" w:rsidR="004E2329" w:rsidRPr="001F2362" w:rsidRDefault="004E2329" w:rsidP="001F2362">
      <w:pPr>
        <w:pStyle w:val="Liststycke"/>
        <w:numPr>
          <w:ilvl w:val="0"/>
          <w:numId w:val="43"/>
        </w:numPr>
        <w:rPr>
          <w:rFonts w:ascii="Calibri" w:hAnsi="Calibri"/>
          <w:b/>
          <w:color w:val="000000"/>
          <w:sz w:val="26"/>
          <w:szCs w:val="18"/>
        </w:rPr>
      </w:pPr>
      <w:r w:rsidRPr="00450052">
        <w:t>Uremi</w:t>
      </w:r>
    </w:p>
    <w:p w14:paraId="21C932A8" w14:textId="77777777" w:rsidR="004E2329" w:rsidRPr="001F2362" w:rsidRDefault="004E2329" w:rsidP="001F2362">
      <w:pPr>
        <w:pStyle w:val="Liststycke"/>
        <w:numPr>
          <w:ilvl w:val="0"/>
          <w:numId w:val="43"/>
        </w:numPr>
        <w:rPr>
          <w:rFonts w:ascii="Calibri" w:hAnsi="Calibri"/>
          <w:b/>
          <w:color w:val="000000"/>
          <w:sz w:val="26"/>
          <w:szCs w:val="18"/>
        </w:rPr>
      </w:pPr>
      <w:r w:rsidRPr="00450052">
        <w:t>Hyperkalcemi</w:t>
      </w:r>
    </w:p>
    <w:p w14:paraId="3EA90E67" w14:textId="77777777" w:rsidR="004E2329" w:rsidRPr="001F2362" w:rsidRDefault="004E2329" w:rsidP="001F2362">
      <w:pPr>
        <w:pStyle w:val="Liststycke"/>
        <w:numPr>
          <w:ilvl w:val="0"/>
          <w:numId w:val="43"/>
        </w:numPr>
        <w:rPr>
          <w:rFonts w:ascii="Calibri" w:hAnsi="Calibri"/>
          <w:b/>
          <w:color w:val="000000"/>
          <w:sz w:val="26"/>
          <w:szCs w:val="18"/>
        </w:rPr>
      </w:pPr>
      <w:r w:rsidRPr="00450052">
        <w:t>Hyponatremi</w:t>
      </w:r>
    </w:p>
    <w:p w14:paraId="18C67E51" w14:textId="5A3DDC78" w:rsidR="0073318C" w:rsidRPr="008A1E6B" w:rsidRDefault="004E2329" w:rsidP="008A1E6B">
      <w:pPr>
        <w:pStyle w:val="Liststycke"/>
        <w:numPr>
          <w:ilvl w:val="0"/>
          <w:numId w:val="43"/>
        </w:numPr>
        <w:rPr>
          <w:rFonts w:ascii="Calibri" w:hAnsi="Calibri"/>
          <w:b/>
          <w:color w:val="000000"/>
          <w:sz w:val="26"/>
          <w:szCs w:val="18"/>
        </w:rPr>
      </w:pPr>
      <w:r w:rsidRPr="00450052">
        <w:t>CNS</w:t>
      </w:r>
      <w:r>
        <w:t>-</w:t>
      </w:r>
      <w:r w:rsidRPr="00450052">
        <w:t>metastaser</w:t>
      </w:r>
    </w:p>
    <w:p w14:paraId="6119CBAB" w14:textId="50F126BB" w:rsidR="00C47170" w:rsidRPr="00C47170" w:rsidRDefault="003B0DE2" w:rsidP="00C47170">
      <w:pPr>
        <w:pStyle w:val="Rubrik3"/>
        <w:ind w:left="709"/>
        <w:rPr>
          <w:rFonts w:ascii="Times New Roman" w:hAnsi="Times New Roman" w:cs="Times New Roman"/>
          <w:sz w:val="24"/>
        </w:rPr>
      </w:pPr>
      <w:r w:rsidRPr="008A1E6B">
        <w:rPr>
          <w:rStyle w:val="Rubrik2Char"/>
        </w:rPr>
        <w:t xml:space="preserve">Ordination </w:t>
      </w:r>
      <w:r w:rsidR="008A1E6B" w:rsidRPr="008A1E6B">
        <w:rPr>
          <w:rStyle w:val="Rubrik2Char"/>
        </w:rPr>
        <w:t xml:space="preserve">av antiemetika </w:t>
      </w:r>
      <w:r w:rsidRPr="008A1E6B">
        <w:rPr>
          <w:rStyle w:val="Rubrik2Char"/>
        </w:rPr>
        <w:t>efter samlad riskbedömning inför varje cykel</w:t>
      </w:r>
      <w:r>
        <w:rPr>
          <w:rFonts w:ascii="Calibri" w:hAnsi="Calibri"/>
          <w:b/>
          <w:color w:val="000000"/>
          <w:sz w:val="26"/>
          <w:szCs w:val="18"/>
        </w:rPr>
        <w:br/>
      </w:r>
      <w:r w:rsidR="00C47170" w:rsidRPr="00C47170">
        <w:rPr>
          <w:rFonts w:ascii="Times New Roman" w:eastAsia="Times New Roman" w:hAnsi="Times New Roman" w:cs="Times New Roman"/>
          <w:bCs w:val="0"/>
          <w:color w:val="auto"/>
          <w:sz w:val="24"/>
        </w:rPr>
        <w:t>Antiemetika ordineras tills vidare i Cytobase för de regimer som är inlagda där, på sikt i ett nytt journalsystem. Övriga stödmediciner som inte ingår i regimen ordineras tills vidare i läkemedelsmodulen i aktuellt journalsystem. Antiemetika och övriga stödmediciner kan antingen delas till patienten eller skrivas på recept.</w:t>
      </w:r>
      <w:r w:rsidR="00C47170" w:rsidRPr="00450052">
        <w:t xml:space="preserve"> </w:t>
      </w:r>
    </w:p>
    <w:p w14:paraId="25A406E6" w14:textId="65AC430E" w:rsidR="0073318C" w:rsidRDefault="0073318C" w:rsidP="006D5B78">
      <w:pPr>
        <w:spacing w:line="240" w:lineRule="auto"/>
        <w:ind w:left="0"/>
      </w:pPr>
    </w:p>
    <w:p w14:paraId="58D84AA7" w14:textId="54CFC32C" w:rsidR="00B042D7" w:rsidRDefault="0076237B" w:rsidP="00E8668F">
      <w:r w:rsidRPr="00D93C7A">
        <w:rPr>
          <w:rFonts w:ascii="Calibri" w:hAnsi="Calibri"/>
          <w:noProof/>
          <w:color w:val="000000"/>
          <w:sz w:val="26"/>
          <w:szCs w:val="18"/>
        </w:rPr>
        <mc:AlternateContent>
          <mc:Choice Requires="wps">
            <w:drawing>
              <wp:anchor distT="0" distB="0" distL="114300" distR="114300" simplePos="0" relativeHeight="251658241" behindDoc="0" locked="0" layoutInCell="1" allowOverlap="1" wp14:anchorId="71038A41" wp14:editId="0B4AB7B5">
                <wp:simplePos x="0" y="0"/>
                <wp:positionH relativeFrom="column">
                  <wp:posOffset>1239227</wp:posOffset>
                </wp:positionH>
                <wp:positionV relativeFrom="paragraph">
                  <wp:posOffset>1592239</wp:posOffset>
                </wp:positionV>
                <wp:extent cx="1092833" cy="546820"/>
                <wp:effectExtent l="0" t="0" r="0" b="5715"/>
                <wp:wrapNone/>
                <wp:docPr id="5" name="textruta 7"/>
                <wp:cNvGraphicFramePr/>
                <a:graphic xmlns:a="http://schemas.openxmlformats.org/drawingml/2006/main">
                  <a:graphicData uri="http://schemas.microsoft.com/office/word/2010/wordprocessingShape">
                    <wps:wsp>
                      <wps:cNvSpPr txBox="1"/>
                      <wps:spPr>
                        <a:xfrm>
                          <a:off x="0" y="0"/>
                          <a:ext cx="1092833" cy="546820"/>
                        </a:xfrm>
                        <a:prstGeom prst="rect">
                          <a:avLst/>
                        </a:prstGeom>
                        <a:solidFill>
                          <a:schemeClr val="bg1"/>
                        </a:solidFill>
                      </wps:spPr>
                      <wps:style>
                        <a:lnRef idx="0">
                          <a:scrgbClr r="0" g="0" b="0"/>
                        </a:lnRef>
                        <a:fillRef idx="0">
                          <a:scrgbClr r="0" g="0" b="0"/>
                        </a:fillRef>
                        <a:effectRef idx="0">
                          <a:scrgbClr r="0" g="0" b="0"/>
                        </a:effectRef>
                        <a:fontRef idx="minor">
                          <a:schemeClr val="tx1">
                            <a:hueOff val="0"/>
                            <a:satOff val="0"/>
                            <a:lumOff val="0"/>
                            <a:alphaOff val="0"/>
                          </a:schemeClr>
                        </a:fontRef>
                      </wps:style>
                      <wps:txbx>
                        <w:txbxContent>
                          <w:p w14:paraId="55330E4E"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5. Illamående</w:t>
                            </w:r>
                          </w:p>
                          <w:p w14:paraId="22B8ABB7"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dagbok</w:t>
                            </w:r>
                          </w:p>
                          <w:p w14:paraId="21A05C1B"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1177</w:t>
                            </w:r>
                          </w:p>
                          <w:p w14:paraId="1FFA3C5F"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Min vårdplan</w:t>
                            </w:r>
                          </w:p>
                        </w:txbxContent>
                      </wps:txbx>
                      <wps:bodyPr spcFirstLastPara="0" vert="horz" wrap="square" lIns="12700" tIns="12700" rIns="12700" bIns="12700" numCol="1" spcCol="1270" anchor="ctr" anchorCtr="0">
                        <a:noAutofit/>
                      </wps:bodyPr>
                    </wps:wsp>
                  </a:graphicData>
                </a:graphic>
              </wp:anchor>
            </w:drawing>
          </mc:Choice>
          <mc:Fallback>
            <w:pict>
              <v:shapetype w14:anchorId="71038A41" id="_x0000_t202" coordsize="21600,21600" o:spt="202" path="m,l,21600r21600,l21600,xe">
                <v:stroke joinstyle="miter"/>
                <v:path gradientshapeok="t" o:connecttype="rect"/>
              </v:shapetype>
              <v:shape id="textruta 7" o:spid="_x0000_s1026" type="#_x0000_t202" style="position:absolute;left:0;text-align:left;margin-left:97.6pt;margin-top:125.35pt;width:86.05pt;height:43.0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" fillcolor="white [3212]" stroked="f">
                <v:textbox inset="1pt,1pt,1pt,1pt">
                  <w:txbxContent>
                    <w:p w14:paraId="55330E4E"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5. Illamående</w:t>
                      </w:r>
                    </w:p>
                    <w:p w14:paraId="22B8ABB7"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dagbok</w:t>
                      </w:r>
                    </w:p>
                    <w:p w14:paraId="21A05C1B"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1177</w:t>
                      </w:r>
                    </w:p>
                    <w:p w14:paraId="1FFA3C5F" w14:textId="77777777" w:rsidR="0076237B" w:rsidRPr="00E74884" w:rsidRDefault="0076237B" w:rsidP="0076237B">
                      <w:pPr>
                        <w:pStyle w:val="Normalwebb"/>
                        <w:spacing w:before="0" w:beforeAutospacing="0" w:after="0" w:afterAutospacing="0"/>
                        <w:jc w:val="center"/>
                        <w:textAlignment w:val="baseline"/>
                        <w:rPr>
                          <w:sz w:val="14"/>
                          <w:szCs w:val="14"/>
                        </w:rPr>
                      </w:pPr>
                      <w:r w:rsidRPr="00E74884">
                        <w:rPr>
                          <w:rFonts w:ascii="Arial" w:hAnsi="Arial" w:cs="Arial"/>
                          <w:b/>
                          <w:bCs/>
                          <w:color w:val="000000" w:themeColor="text1"/>
                          <w:kern w:val="24"/>
                          <w:sz w:val="14"/>
                          <w:szCs w:val="14"/>
                        </w:rPr>
                        <w:t>Min vårdplan</w:t>
                      </w:r>
                    </w:p>
                  </w:txbxContent>
                </v:textbox>
              </v:shape>
            </w:pict>
          </mc:Fallback>
        </mc:AlternateContent>
      </w:r>
      <w:r w:rsidR="003856A0">
        <w:rPr>
          <w:noProof/>
        </w:rPr>
        <w:drawing>
          <wp:anchor distT="0" distB="0" distL="114300" distR="114300" simplePos="0" relativeHeight="251658240" behindDoc="0" locked="0" layoutInCell="1" allowOverlap="1" wp14:anchorId="56595CA8" wp14:editId="01657E0E">
            <wp:simplePos x="0" y="0"/>
            <wp:positionH relativeFrom="column">
              <wp:posOffset>2499834</wp:posOffset>
            </wp:positionH>
            <wp:positionV relativeFrom="paragraph">
              <wp:posOffset>1591851</wp:posOffset>
            </wp:positionV>
            <wp:extent cx="1095375" cy="314325"/>
            <wp:effectExtent l="0" t="0" r="9525" b="9525"/>
            <wp:wrapNone/>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095375" cy="314325"/>
                    </a:xfrm>
                    <a:prstGeom prst="rect">
                      <a:avLst/>
                    </a:prstGeom>
                  </pic:spPr>
                </pic:pic>
              </a:graphicData>
            </a:graphic>
          </wp:anchor>
        </w:drawing>
      </w:r>
      <w:r w:rsidR="00B042D7" w:rsidRPr="004A00FF">
        <w:t>Kliniskt arbetssätt</w:t>
      </w:r>
      <w:r w:rsidR="0086134E">
        <w:br/>
      </w:r>
      <w:r w:rsidR="00C2422F">
        <w:rPr>
          <w:rFonts w:ascii="Calibri" w:hAnsi="Calibri"/>
          <w:noProof/>
          <w:color w:val="000000"/>
          <w:sz w:val="26"/>
          <w:szCs w:val="18"/>
        </w:rPr>
        <w:drawing>
          <wp:inline distT="0" distB="0" distL="0" distR="0" wp14:anchorId="5AAE5917" wp14:editId="4DE636E9">
            <wp:extent cx="5041900" cy="2974610"/>
            <wp:effectExtent l="0" t="0" r="0" b="0"/>
            <wp:docPr id="4"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10119" cy="3014858"/>
                    </a:xfrm>
                    <a:prstGeom prst="rect">
                      <a:avLst/>
                    </a:prstGeom>
                    <a:noFill/>
                  </pic:spPr>
                </pic:pic>
              </a:graphicData>
            </a:graphic>
          </wp:inline>
        </w:drawing>
      </w:r>
      <w:r w:rsidR="0086134E">
        <w:br/>
      </w:r>
    </w:p>
    <w:p w14:paraId="242E2AD9" w14:textId="77777777" w:rsidR="00EE3961" w:rsidRDefault="00E8668F" w:rsidP="00EE3961">
      <w:r w:rsidRPr="00E8668F">
        <w:rPr>
          <w:b/>
          <w:bCs/>
        </w:rPr>
        <w:t xml:space="preserve">1. </w:t>
      </w:r>
      <w:r w:rsidR="00FF627F" w:rsidRPr="00E8668F">
        <w:rPr>
          <w:b/>
          <w:bCs/>
        </w:rPr>
        <w:t>Förslag till antiemetikasteg är kopplat till planerad anti-tumörbehandling</w:t>
      </w:r>
    </w:p>
    <w:p w14:paraId="4C170F6A" w14:textId="71E2C861" w:rsidR="00FF627F" w:rsidRPr="00E8668F" w:rsidRDefault="00FF627F" w:rsidP="00EE3961">
      <w:pPr>
        <w:rPr>
          <w:b/>
          <w:bCs/>
        </w:rPr>
      </w:pPr>
      <w:r w:rsidRPr="001C7015">
        <w:rPr>
          <w:color w:val="000000" w:themeColor="text1"/>
        </w:rPr>
        <w:t xml:space="preserve">Varje antitumoral regim/läkemedel inom hematologi respektive medicinsk onkologi har en angiven emetogen grad. </w:t>
      </w:r>
      <w:r>
        <w:t xml:space="preserve">Till de behandlingar som ges under 1–5 dagar finns förslag på </w:t>
      </w:r>
      <w:r w:rsidRPr="00B70A4D">
        <w:t>antiemetika</w:t>
      </w:r>
      <w:r>
        <w:t xml:space="preserve">steg enligt stöddokumentet i RCC Samverkan </w:t>
      </w:r>
      <w:hyperlink r:id="rId18" w:history="1">
        <w:r>
          <w:rPr>
            <w:rStyle w:val="Hyperlnk"/>
          </w:rPr>
          <w:t>Antiemetika vuxen - RCC Kunskapsbanken</w:t>
        </w:r>
      </w:hyperlink>
      <w:r>
        <w:rPr>
          <w:rStyle w:val="Hyperlnk"/>
        </w:rPr>
        <w:t xml:space="preserve">. </w:t>
      </w:r>
      <w:r w:rsidRPr="001C7015">
        <w:rPr>
          <w:rStyle w:val="Hyperlnk"/>
          <w:color w:val="auto"/>
          <w:u w:val="none"/>
        </w:rPr>
        <w:t>I Cytobase</w:t>
      </w:r>
      <w:r w:rsidRPr="007912A3">
        <w:t xml:space="preserve"> </w:t>
      </w:r>
      <w:r>
        <w:t>kommer på sikt dessa förslag till antiemetika att kopplas till alla antitumorala regimer.</w:t>
      </w:r>
    </w:p>
    <w:p w14:paraId="2BB7435B" w14:textId="77777777" w:rsidR="00FF627F" w:rsidRPr="00FF627F" w:rsidRDefault="00FF627F" w:rsidP="00FF627F">
      <w:pPr>
        <w:rPr>
          <w:b/>
          <w:bCs/>
        </w:rPr>
      </w:pPr>
      <w:r w:rsidRPr="00FF627F">
        <w:rPr>
          <w:b/>
          <w:bCs/>
        </w:rPr>
        <w:lastRenderedPageBreak/>
        <w:t>2. Individuell riskbedömning inför definitiv ordination av antiemetika</w:t>
      </w:r>
    </w:p>
    <w:p w14:paraId="309FB87A" w14:textId="77777777" w:rsidR="00FF627F" w:rsidRDefault="00FF627F" w:rsidP="00FF627F">
      <w:pPr>
        <w:rPr>
          <w:color w:val="000000" w:themeColor="text1"/>
        </w:rPr>
      </w:pPr>
      <w:r>
        <w:rPr>
          <w:color w:val="000000" w:themeColor="text1"/>
        </w:rPr>
        <w:t xml:space="preserve">Riskbedömning enligt bilaga 1 är viktig för att på bästa sätt minska CINV vid första kuren. Detta är avgörande för att minska risken för fördröjt och betingat illamående. Högrisk definieras som </w:t>
      </w:r>
      <w:r w:rsidRPr="0061376F">
        <w:rPr>
          <w:color w:val="000000" w:themeColor="text1"/>
          <w:u w:val="single"/>
        </w:rPr>
        <w:t>&gt;</w:t>
      </w:r>
      <w:r>
        <w:rPr>
          <w:color w:val="000000" w:themeColor="text1"/>
        </w:rPr>
        <w:t xml:space="preserve"> 3 poäng. </w:t>
      </w:r>
    </w:p>
    <w:p w14:paraId="534A27B2" w14:textId="77777777" w:rsidR="001C7015" w:rsidRDefault="00FF627F" w:rsidP="00FF627F">
      <w:pPr>
        <w:rPr>
          <w:b/>
          <w:bCs/>
        </w:rPr>
      </w:pPr>
      <w:r w:rsidRPr="00FF627F">
        <w:rPr>
          <w:b/>
          <w:bCs/>
        </w:rPr>
        <w:t>3. Justering och ev. byte av antiemetikasteg</w:t>
      </w:r>
    </w:p>
    <w:p w14:paraId="7A74DF8E" w14:textId="2CFF2564" w:rsidR="00FF627F" w:rsidRPr="004C5540" w:rsidRDefault="00FF627F" w:rsidP="00FF627F">
      <w:pPr>
        <w:rPr>
          <w:rStyle w:val="Hyperlnk"/>
          <w:b/>
          <w:bCs/>
          <w:color w:val="auto"/>
          <w:u w:val="none"/>
        </w:rPr>
      </w:pPr>
      <w:r>
        <w:t xml:space="preserve">Beroende på riskbedömningen kan antiemetika ökas till ett högre steg  eller minskas (se figur nedan). Detta kan ansvarig sjuksköterska göra med stöd av generell ordination eller personlig delegering. Ändring skall rapporteras till ansvarig läkare. Patienten får en skriftlig information om sin antiemetikabehandling, se separata filer för de olika antiemetikastegen på </w:t>
      </w:r>
      <w:hyperlink r:id="rId19" w:history="1">
        <w:r w:rsidR="009842A9">
          <w:rPr>
            <w:rStyle w:val="Hyperlnk"/>
          </w:rPr>
          <w:t>Cytobase via intranätet</w:t>
        </w:r>
      </w:hyperlink>
      <w:r>
        <w:t xml:space="preserve">. Patientinformation för alla regimer finns även i anslutning till </w:t>
      </w:r>
      <w:hyperlink r:id="rId20" w:history="1">
        <w:r w:rsidR="009842A9">
          <w:rPr>
            <w:rStyle w:val="Hyperlnk"/>
          </w:rPr>
          <w:t>Kunskapsbanken - RCC</w:t>
        </w:r>
      </w:hyperlink>
    </w:p>
    <w:p w14:paraId="70B15679" w14:textId="77777777" w:rsidR="00FF627F" w:rsidRDefault="00FF627F" w:rsidP="00FF627F">
      <w:r>
        <w:t xml:space="preserve">Valet av antiemetikasteg (från ingen antiemetika till steg 0 -7) görs utgående från emetogen grad av den antitumorala behandlingen samt den individuella riskbedömningen. Högrisk-behandling definieras som </w:t>
      </w:r>
      <w:r>
        <w:rPr>
          <w:u w:val="single"/>
        </w:rPr>
        <w:t>&gt;</w:t>
      </w:r>
      <w:r>
        <w:t xml:space="preserve">3 poäng enligt bilaga 1, och man väljer då, vid given emetogen grad, ett högre antiemetikasteg:    </w:t>
      </w:r>
    </w:p>
    <w:p w14:paraId="6A132647" w14:textId="77777777" w:rsidR="003856A0" w:rsidRPr="003159DF" w:rsidRDefault="003856A0" w:rsidP="003856A0">
      <w:pPr>
        <w:pStyle w:val="Liststycke"/>
        <w:numPr>
          <w:ilvl w:val="0"/>
          <w:numId w:val="0"/>
        </w:numPr>
        <w:spacing w:after="160" w:line="240" w:lineRule="auto"/>
        <w:ind w:left="1077"/>
        <w:rPr>
          <w:b/>
          <w:bCs/>
        </w:rPr>
      </w:pPr>
    </w:p>
    <w:p w14:paraId="2A4A3C86" w14:textId="2AF92B4B" w:rsidR="00B042D7" w:rsidRDefault="00DE3B46" w:rsidP="00B042D7">
      <w:pPr>
        <w:spacing w:after="160" w:line="259" w:lineRule="auto"/>
        <w:rPr>
          <w:rFonts w:asciiTheme="minorHAnsi" w:hAnsiTheme="minorHAnsi" w:cstheme="minorHAnsi"/>
          <w:b/>
          <w:sz w:val="28"/>
          <w:szCs w:val="28"/>
        </w:rPr>
      </w:pPr>
      <w:r>
        <w:rPr>
          <w:noProof/>
        </w:rPr>
        <w:drawing>
          <wp:inline distT="0" distB="0" distL="0" distR="0" wp14:anchorId="33FEAA53" wp14:editId="3D0D63FE">
            <wp:extent cx="5645150" cy="3269434"/>
            <wp:effectExtent l="0" t="0" r="0" b="7620"/>
            <wp:docPr id="3" name="Bildobjekt 3" descr="En bild som visar text, skärmbild, Teckensnitt, nummer&#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En bild som visar text, skärmbild, Teckensnitt, nummer&#10;&#10;Automatiskt genererad beskrivning"/>
                    <pic:cNvPicPr/>
                  </pic:nvPicPr>
                  <pic:blipFill>
                    <a:blip r:embed="rId21">
                      <a:extLst>
                        <a:ext uri="{28A0092B-C50C-407E-A947-70E740481C1C}">
                          <a14:useLocalDpi xmlns:a14="http://schemas.microsoft.com/office/drawing/2010/main" val="0"/>
                        </a:ext>
                      </a:extLst>
                    </a:blip>
                    <a:stretch>
                      <a:fillRect/>
                    </a:stretch>
                  </pic:blipFill>
                  <pic:spPr>
                    <a:xfrm>
                      <a:off x="0" y="0"/>
                      <a:ext cx="5653553" cy="3274301"/>
                    </a:xfrm>
                    <a:prstGeom prst="rect">
                      <a:avLst/>
                    </a:prstGeom>
                  </pic:spPr>
                </pic:pic>
              </a:graphicData>
            </a:graphic>
          </wp:inline>
        </w:drawing>
      </w:r>
    </w:p>
    <w:p w14:paraId="69379299" w14:textId="77777777" w:rsidR="001C7015" w:rsidRDefault="001C7015" w:rsidP="00DF7121">
      <w:pPr>
        <w:spacing w:line="240" w:lineRule="auto"/>
        <w:rPr>
          <w:color w:val="000000" w:themeColor="text1"/>
        </w:rPr>
      </w:pPr>
    </w:p>
    <w:p w14:paraId="4A967193" w14:textId="08DF9EB4" w:rsidR="001C7015" w:rsidRPr="001C7015" w:rsidRDefault="001C7015" w:rsidP="001C7015">
      <w:r w:rsidRPr="001C7015">
        <w:rPr>
          <w:b/>
          <w:bCs/>
        </w:rPr>
        <w:t>4. Behandling ges till patienten</w:t>
      </w:r>
      <w:r w:rsidRPr="001C7015">
        <w:t xml:space="preserve"> </w:t>
      </w:r>
    </w:p>
    <w:p w14:paraId="0890028D" w14:textId="05D8205B" w:rsidR="001C7015" w:rsidRDefault="001C7015" w:rsidP="001C7015">
      <w:r>
        <w:t xml:space="preserve">Instruera patienten att om möjligt ta ordinerad peroral antiemetika i god tid före behandlingen (kvällen före eller på morgonen behandlingsdagen). Ge patienten skriftlig information om både den antitumorala och den antiemetiska behandlingen. </w:t>
      </w:r>
    </w:p>
    <w:p w14:paraId="71EF83B6" w14:textId="77777777" w:rsidR="00A521F7" w:rsidRPr="0061376F" w:rsidRDefault="00A521F7" w:rsidP="001C7015"/>
    <w:p w14:paraId="4681D1C6" w14:textId="77777777" w:rsidR="001C7015" w:rsidRDefault="001C7015" w:rsidP="001C7015">
      <w:pPr>
        <w:rPr>
          <w:b/>
          <w:bCs/>
        </w:rPr>
      </w:pPr>
      <w:r w:rsidRPr="001C7015">
        <w:rPr>
          <w:b/>
          <w:bCs/>
        </w:rPr>
        <w:t xml:space="preserve">5. Patienten instrueras att fylla i illamåendedagbok </w:t>
      </w:r>
    </w:p>
    <w:p w14:paraId="048679ED" w14:textId="0D2E5BBB" w:rsidR="001C7015" w:rsidRPr="001C7015" w:rsidRDefault="001C7015" w:rsidP="001C7015">
      <w:pPr>
        <w:rPr>
          <w:b/>
          <w:bCs/>
        </w:rPr>
      </w:pPr>
      <w:r>
        <w:lastRenderedPageBreak/>
        <w:t xml:space="preserve">Formulär finns på </w:t>
      </w:r>
      <w:hyperlink r:id="rId22" w:history="1">
        <w:r w:rsidRPr="002F2AFD">
          <w:rPr>
            <w:rStyle w:val="Hyperlnk"/>
          </w:rPr>
          <w:t>Cytobase hemsida</w:t>
        </w:r>
      </w:hyperlink>
      <w:r>
        <w:t xml:space="preserve"> och i bilaga 3</w:t>
      </w:r>
      <w:r w:rsidRPr="00054D2A">
        <w:t xml:space="preserve">. </w:t>
      </w:r>
      <w:r>
        <w:t xml:space="preserve">Patienten </w:t>
      </w:r>
      <w:r w:rsidRPr="00A13AA1">
        <w:t xml:space="preserve">kan fylla i </w:t>
      </w:r>
      <w:r>
        <w:t xml:space="preserve">den </w:t>
      </w:r>
      <w:r w:rsidRPr="00A13AA1">
        <w:t>skriftligt</w:t>
      </w:r>
      <w:r>
        <w:t xml:space="preserve"> och lämna in formuläret, </w:t>
      </w:r>
      <w:r w:rsidRPr="00A13AA1">
        <w:t xml:space="preserve">eller digitalt via Min vårdplan </w:t>
      </w:r>
      <w:r w:rsidRPr="005160F6">
        <w:t>och</w:t>
      </w:r>
      <w:r w:rsidRPr="00A13AA1">
        <w:t xml:space="preserve"> 11</w:t>
      </w:r>
      <w:r w:rsidRPr="004E5824">
        <w:t>77</w:t>
      </w:r>
      <w:r>
        <w:t xml:space="preserve">. </w:t>
      </w:r>
      <w:r w:rsidRPr="0078357B">
        <w:t>Dagboken är ett verktyg som gör att patienten blir mer delaktig</w:t>
      </w:r>
      <w:r>
        <w:t>. Viktigt att den fylls i dagligen och kontinuerligt, för att säkra dokumentationen även av fördröjt illamående. D</w:t>
      </w:r>
      <w:r w:rsidRPr="0078357B">
        <w:t>en är dock ingen journalhandling</w:t>
      </w:r>
      <w:r>
        <w:t>, varför resultatet skall dokumenteras i journalen - se Dokumentation nedan.</w:t>
      </w:r>
    </w:p>
    <w:p w14:paraId="521656FF" w14:textId="77777777" w:rsidR="001C7015" w:rsidRDefault="001C7015" w:rsidP="001C7015">
      <w:r w:rsidRPr="001C7015">
        <w:rPr>
          <w:b/>
          <w:bCs/>
        </w:rPr>
        <w:t>6. Utvärdering efter avslutad behandlingscykel</w:t>
      </w:r>
    </w:p>
    <w:p w14:paraId="360039C3" w14:textId="6B6C7185" w:rsidR="001C7015" w:rsidRPr="004E5824" w:rsidRDefault="001C7015" w:rsidP="001C7015">
      <w:pPr>
        <w:rPr>
          <w:color w:val="000000" w:themeColor="text1"/>
        </w:rPr>
      </w:pPr>
      <w:r w:rsidRPr="0078357B">
        <w:t xml:space="preserve">Behandlingsdagboken sammanställs och resultatet </w:t>
      </w:r>
      <w:r>
        <w:t xml:space="preserve">samt eventuell justering av antiemetika inför nästa behandlingscykel </w:t>
      </w:r>
      <w:r w:rsidRPr="0078357B">
        <w:t xml:space="preserve">dokumenteras i </w:t>
      </w:r>
      <w:r>
        <w:t xml:space="preserve">aktuellt journalsystem, </w:t>
      </w:r>
      <w:r w:rsidRPr="004E5824">
        <w:rPr>
          <w:color w:val="000000" w:themeColor="text1"/>
        </w:rPr>
        <w:t xml:space="preserve">Gå igenom patientens symtom med hjälp av </w:t>
      </w:r>
      <w:r w:rsidRPr="005433A9">
        <w:t xml:space="preserve">en </w:t>
      </w:r>
      <w:r w:rsidRPr="00B4758B">
        <w:t xml:space="preserve">utskrift av </w:t>
      </w:r>
      <w:r w:rsidRPr="004E5824">
        <w:rPr>
          <w:color w:val="000000" w:themeColor="text1"/>
        </w:rPr>
        <w:t>illamåendedagboken</w:t>
      </w:r>
      <w:r w:rsidRPr="008736B5">
        <w:t xml:space="preserve"> </w:t>
      </w:r>
      <w:r w:rsidRPr="004E5824">
        <w:rPr>
          <w:rStyle w:val="Hyperlnk"/>
          <w:color w:val="000000" w:themeColor="text1"/>
          <w:u w:val="none"/>
        </w:rPr>
        <w:t>eller via 1177 (finns som regional mall</w:t>
      </w:r>
      <w:r w:rsidRPr="009E52C2">
        <w:t>).</w:t>
      </w:r>
      <w:r>
        <w:t xml:space="preserve"> Illamåendedagboken: </w:t>
      </w:r>
      <w:r w:rsidRPr="00682403">
        <w:t xml:space="preserve">se </w:t>
      </w:r>
      <w:r>
        <w:t xml:space="preserve">bilaga 3 och </w:t>
      </w:r>
      <w:hyperlink r:id="rId23" w:history="1">
        <w:r w:rsidR="00B615BA">
          <w:rPr>
            <w:rStyle w:val="Hyperlnk"/>
          </w:rPr>
          <w:t>Cytobase via intranätet</w:t>
        </w:r>
      </w:hyperlink>
      <w:r w:rsidRPr="00682403">
        <w:t>.</w:t>
      </w:r>
      <w:r>
        <w:t xml:space="preserve"> Illamående under föregående behandlingscykel innebär alltid högrisk inför nästa cykel (bilaga 1).  </w:t>
      </w:r>
    </w:p>
    <w:p w14:paraId="08FEAB16" w14:textId="77777777" w:rsidR="001A0BE3" w:rsidRDefault="00D10D3E" w:rsidP="001A0BE3">
      <w:pPr>
        <w:pStyle w:val="Rubrik2"/>
      </w:pPr>
      <w:r>
        <w:t>Dokumentation</w:t>
      </w:r>
    </w:p>
    <w:p w14:paraId="5571F5B8" w14:textId="0C9CE1AB" w:rsidR="001A0BE3" w:rsidRDefault="001A0BE3" w:rsidP="001A0BE3">
      <w:pPr>
        <w:rPr>
          <w:rFonts w:ascii="Arial" w:hAnsi="Arial" w:cs="Arial"/>
          <w:b/>
          <w:bCs/>
          <w:color w:val="000000" w:themeColor="text1"/>
        </w:rPr>
      </w:pPr>
      <w:r w:rsidRPr="00450052">
        <w:t xml:space="preserve">För patienter som får </w:t>
      </w:r>
      <w:r>
        <w:t>antitumoral behandling</w:t>
      </w:r>
      <w:r w:rsidRPr="00450052">
        <w:t xml:space="preserve"> (med eller utan antiemetika) i Cytobase skall tydlig dokumentation av detta ske i </w:t>
      </w:r>
      <w:r w:rsidRPr="005433A9">
        <w:t xml:space="preserve">läkemedelsmodulen i </w:t>
      </w:r>
      <w:r>
        <w:t xml:space="preserve">aktuellt journalsystem, tills vidare: se direktiv för </w:t>
      </w:r>
      <w:hyperlink r:id="rId24" w:history="1">
        <w:r>
          <w:rPr>
            <w:rStyle w:val="Hyperlnk"/>
          </w:rPr>
          <w:t>Gränsdragning mellan Cytobase och huvudjournal</w:t>
        </w:r>
      </w:hyperlink>
      <w:r>
        <w:t xml:space="preserve"> . </w:t>
      </w:r>
    </w:p>
    <w:p w14:paraId="7B5D17D8" w14:textId="796FEA07" w:rsidR="001A0BE3" w:rsidRPr="001A0BE3" w:rsidRDefault="001A0BE3" w:rsidP="001A0BE3">
      <w:pPr>
        <w:rPr>
          <w:rFonts w:ascii="Arial" w:hAnsi="Arial" w:cs="Arial"/>
          <w:b/>
          <w:bCs/>
          <w:color w:val="000000" w:themeColor="text1"/>
        </w:rPr>
      </w:pPr>
      <w:r>
        <w:rPr>
          <w:b/>
          <w:bCs/>
        </w:rPr>
        <w:br/>
      </w:r>
      <w:r w:rsidRPr="00B86366">
        <w:rPr>
          <w:b/>
          <w:bCs/>
        </w:rPr>
        <w:t xml:space="preserve">I </w:t>
      </w:r>
      <w:r>
        <w:rPr>
          <w:b/>
          <w:bCs/>
        </w:rPr>
        <w:t>aktuellt journalsystem</w:t>
      </w:r>
      <w:r w:rsidRPr="00DD64A7">
        <w:t xml:space="preserve"> </w:t>
      </w:r>
    </w:p>
    <w:p w14:paraId="3D68C1EA" w14:textId="77777777" w:rsidR="001A0BE3" w:rsidRDefault="001A0BE3" w:rsidP="001A0BE3">
      <w:r>
        <w:t>under</w:t>
      </w:r>
      <w:r w:rsidRPr="00DD64A7">
        <w:t xml:space="preserve"> </w:t>
      </w:r>
      <w:r w:rsidRPr="00450052">
        <w:t xml:space="preserve">sökord </w:t>
      </w:r>
      <w:r>
        <w:t>”</w:t>
      </w:r>
      <w:r w:rsidRPr="00450052">
        <w:t>nutrition</w:t>
      </w:r>
      <w:r>
        <w:t>”</w:t>
      </w:r>
      <w:r w:rsidRPr="00DD64A7">
        <w:t>:</w:t>
      </w:r>
    </w:p>
    <w:p w14:paraId="76E3FF01" w14:textId="77777777" w:rsidR="001A0BE3" w:rsidRPr="001A0BE3" w:rsidRDefault="001A0BE3" w:rsidP="001A0BE3">
      <w:pPr>
        <w:pStyle w:val="Liststycke"/>
        <w:numPr>
          <w:ilvl w:val="0"/>
          <w:numId w:val="48"/>
        </w:numPr>
        <w:rPr>
          <w:b/>
          <w:bCs/>
        </w:rPr>
      </w:pPr>
      <w:r>
        <w:t>Föreslagen nivå av antiemetika</w:t>
      </w:r>
    </w:p>
    <w:p w14:paraId="23BAB0C4" w14:textId="77777777" w:rsidR="001A0BE3" w:rsidRPr="001A0BE3" w:rsidRDefault="001A0BE3" w:rsidP="001A0BE3">
      <w:pPr>
        <w:pStyle w:val="Liststycke"/>
        <w:numPr>
          <w:ilvl w:val="0"/>
          <w:numId w:val="48"/>
        </w:numPr>
        <w:rPr>
          <w:b/>
          <w:bCs/>
        </w:rPr>
      </w:pPr>
      <w:r w:rsidRPr="00DD64A7">
        <w:t xml:space="preserve">Riskbedömning dokumenteras vid första besök inför start av </w:t>
      </w:r>
      <w:r>
        <w:t xml:space="preserve">antitumoral </w:t>
      </w:r>
      <w:r w:rsidRPr="00DD64A7">
        <w:t>behandling. Valt steg av antiemetika och allt övrigt rörande illamående i samband med behandling.</w:t>
      </w:r>
    </w:p>
    <w:p w14:paraId="50D24C51" w14:textId="311AE65D" w:rsidR="001A0BE3" w:rsidRPr="001A0BE3" w:rsidRDefault="001A0BE3" w:rsidP="001A0BE3">
      <w:pPr>
        <w:pStyle w:val="Liststycke"/>
        <w:numPr>
          <w:ilvl w:val="0"/>
          <w:numId w:val="48"/>
        </w:numPr>
        <w:rPr>
          <w:b/>
          <w:bCs/>
        </w:rPr>
      </w:pPr>
      <w:r w:rsidRPr="584334E2">
        <w:t xml:space="preserve">Utvärdering av illamående </w:t>
      </w:r>
      <w:r>
        <w:t>enligt</w:t>
      </w:r>
      <w:r w:rsidRPr="584334E2">
        <w:t xml:space="preserve"> </w:t>
      </w:r>
      <w:r>
        <w:t xml:space="preserve">illamåendedagboken görs. </w:t>
      </w:r>
    </w:p>
    <w:p w14:paraId="2123C052" w14:textId="77777777" w:rsidR="001A0BE3" w:rsidRDefault="001A0BE3" w:rsidP="001A0BE3">
      <w:r w:rsidRPr="00A56188">
        <w:rPr>
          <w:b/>
          <w:bCs/>
        </w:rPr>
        <w:t>I Cytobase</w:t>
      </w:r>
      <w:r>
        <w:t xml:space="preserve"> </w:t>
      </w:r>
    </w:p>
    <w:p w14:paraId="5B556C02" w14:textId="722190C8" w:rsidR="001C48D9" w:rsidRPr="007F0331" w:rsidRDefault="001A0BE3" w:rsidP="007F0331">
      <w:r w:rsidRPr="00DD64A7">
        <w:t xml:space="preserve">under fliken </w:t>
      </w:r>
      <w:r>
        <w:t>”</w:t>
      </w:r>
      <w:r w:rsidRPr="00DD64A7">
        <w:t>Patientinformation</w:t>
      </w:r>
      <w:r>
        <w:t xml:space="preserve">” dokumenteras eventuell </w:t>
      </w:r>
      <w:r w:rsidRPr="00DD64A7">
        <w:t>ändring eller komplettering av den preliminära antiemetika</w:t>
      </w:r>
      <w:r>
        <w:t>-</w:t>
      </w:r>
      <w:r w:rsidRPr="00DD64A7">
        <w:t>ordinationen som sjuksköterskan gör</w:t>
      </w:r>
      <w:r>
        <w:t xml:space="preserve">. Den skall även </w:t>
      </w:r>
      <w:r w:rsidRPr="00DD64A7">
        <w:t>rapporteras till behandlande läkare.</w:t>
      </w:r>
    </w:p>
    <w:p w14:paraId="42A750FF" w14:textId="3513A5EF" w:rsidR="00A709AF" w:rsidRDefault="00B042D7" w:rsidP="007F0331">
      <w:pPr>
        <w:pStyle w:val="Rubrik2"/>
      </w:pPr>
      <w:r w:rsidRPr="007F0331">
        <w:t>Läkemedel mot illamående</w:t>
      </w:r>
    </w:p>
    <w:p w14:paraId="3C6FCBFC" w14:textId="77777777" w:rsidR="00070CF5" w:rsidRPr="009F70EB" w:rsidRDefault="00070CF5" w:rsidP="00070CF5">
      <w:pPr>
        <w:pStyle w:val="Rubrik3"/>
        <w:rPr>
          <w:rFonts w:ascii="Arial" w:hAnsi="Arial" w:cs="Arial"/>
        </w:rPr>
      </w:pPr>
      <w:r w:rsidRPr="009F70EB">
        <w:t>5</w:t>
      </w:r>
      <w:r>
        <w:t>-</w:t>
      </w:r>
      <w:r w:rsidRPr="009F70EB">
        <w:t>HT-3</w:t>
      </w:r>
      <w:r>
        <w:t>-</w:t>
      </w:r>
      <w:r w:rsidRPr="009F70EB">
        <w:t>receptor-blockerare</w:t>
      </w:r>
    </w:p>
    <w:p w14:paraId="27F14636" w14:textId="77777777" w:rsidR="00070CF5" w:rsidRPr="009F70EB" w:rsidRDefault="00070CF5" w:rsidP="00070CF5">
      <w:pPr>
        <w:rPr>
          <w:rFonts w:ascii="Arial" w:hAnsi="Arial" w:cs="Arial"/>
          <w:b/>
          <w:bCs/>
          <w:color w:val="000000" w:themeColor="text1"/>
        </w:rPr>
      </w:pPr>
      <w:r w:rsidRPr="00DD64A7">
        <w:rPr>
          <w:b/>
          <w:bCs/>
          <w:color w:val="000000"/>
          <w:kern w:val="24"/>
        </w:rPr>
        <w:t xml:space="preserve">Ondansetron </w:t>
      </w:r>
      <w:r w:rsidRPr="00DD64A7">
        <w:rPr>
          <w:color w:val="000000"/>
          <w:kern w:val="24"/>
        </w:rPr>
        <w:t>(Ondansetron</w:t>
      </w:r>
      <w:r>
        <w:rPr>
          <w:color w:val="000000"/>
          <w:kern w:val="24"/>
          <w:vertAlign w:val="superscript"/>
        </w:rPr>
        <w:t>®</w:t>
      </w:r>
      <w:r w:rsidRPr="00DD64A7">
        <w:rPr>
          <w:color w:val="000000"/>
          <w:kern w:val="24"/>
        </w:rPr>
        <w:t>, Zofran</w:t>
      </w:r>
      <w:r w:rsidRPr="00DD64A7">
        <w:rPr>
          <w:color w:val="000000"/>
          <w:kern w:val="24"/>
          <w:vertAlign w:val="superscript"/>
        </w:rPr>
        <w:t>®</w:t>
      </w:r>
      <w:r>
        <w:rPr>
          <w:color w:val="000000"/>
          <w:kern w:val="24"/>
        </w:rPr>
        <w:t>)</w:t>
      </w:r>
      <w:r>
        <w:rPr>
          <w:b/>
          <w:bCs/>
          <w:color w:val="000000"/>
          <w:kern w:val="24"/>
        </w:rPr>
        <w:br/>
      </w:r>
      <w:r w:rsidRPr="00DD64A7">
        <w:rPr>
          <w:bCs/>
          <w:color w:val="000000"/>
          <w:kern w:val="24"/>
        </w:rPr>
        <w:t>Ondansetron är en 5</w:t>
      </w:r>
      <w:r>
        <w:rPr>
          <w:bCs/>
          <w:color w:val="000000"/>
          <w:kern w:val="24"/>
        </w:rPr>
        <w:t>-</w:t>
      </w:r>
      <w:r w:rsidRPr="00DD64A7">
        <w:rPr>
          <w:bCs/>
          <w:color w:val="000000"/>
          <w:kern w:val="24"/>
        </w:rPr>
        <w:t>HT</w:t>
      </w:r>
      <w:r>
        <w:rPr>
          <w:bCs/>
          <w:color w:val="000000"/>
          <w:kern w:val="24"/>
        </w:rPr>
        <w:t>-</w:t>
      </w:r>
      <w:r w:rsidRPr="00DD64A7">
        <w:rPr>
          <w:bCs/>
          <w:color w:val="000000"/>
          <w:kern w:val="24"/>
        </w:rPr>
        <w:t>3-receptorblockerare</w:t>
      </w:r>
      <w:r>
        <w:rPr>
          <w:bCs/>
          <w:color w:val="000000"/>
          <w:kern w:val="24"/>
        </w:rPr>
        <w:t xml:space="preserve"> (serotoninantagonist)</w:t>
      </w:r>
      <w:r w:rsidRPr="00DD64A7">
        <w:rPr>
          <w:bCs/>
          <w:color w:val="000000"/>
          <w:kern w:val="24"/>
        </w:rPr>
        <w:t xml:space="preserve"> för förebyggande och behandling av akut illamående</w:t>
      </w:r>
      <w:r>
        <w:rPr>
          <w:bCs/>
          <w:color w:val="000000"/>
          <w:kern w:val="24"/>
        </w:rPr>
        <w:t xml:space="preserve"> orsakat av den antitumorala behandlingen</w:t>
      </w:r>
      <w:r w:rsidRPr="00DD64A7">
        <w:rPr>
          <w:bCs/>
          <w:color w:val="000000"/>
          <w:kern w:val="24"/>
        </w:rPr>
        <w:t xml:space="preserve">. Kan </w:t>
      </w:r>
      <w:r w:rsidRPr="00DD64A7">
        <w:rPr>
          <w:color w:val="000000"/>
          <w:kern w:val="24"/>
        </w:rPr>
        <w:t xml:space="preserve">även ha god effekt vid illamående av metabola rubbningar, t.ex. uremi.  </w:t>
      </w:r>
    </w:p>
    <w:p w14:paraId="6E1F4561" w14:textId="77777777" w:rsidR="00070CF5" w:rsidRPr="00DD64A7" w:rsidRDefault="00070CF5" w:rsidP="00070CF5">
      <w:pPr>
        <w:rPr>
          <w:color w:val="000000"/>
          <w:kern w:val="24"/>
        </w:rPr>
      </w:pPr>
      <w:r w:rsidRPr="004F5C24">
        <w:rPr>
          <w:color w:val="000000"/>
          <w:kern w:val="24"/>
          <w:u w:val="single"/>
        </w:rPr>
        <w:lastRenderedPageBreak/>
        <w:t>Dosering:</w:t>
      </w:r>
      <w:r w:rsidRPr="004F5C24">
        <w:rPr>
          <w:color w:val="000000"/>
          <w:kern w:val="24"/>
          <w:u w:val="single"/>
        </w:rPr>
        <w:br/>
      </w:r>
      <w:r w:rsidRPr="00DD64A7">
        <w:rPr>
          <w:color w:val="000000"/>
          <w:kern w:val="24"/>
        </w:rPr>
        <w:t>Ondansetron kan ges upp till 16 mg intravenöst, men skall i doser mellan 8–16 mg ges som i.v. infusion i 100</w:t>
      </w:r>
      <w:r>
        <w:rPr>
          <w:color w:val="000000"/>
          <w:kern w:val="24"/>
        </w:rPr>
        <w:t xml:space="preserve"> </w:t>
      </w:r>
      <w:r w:rsidRPr="00DD64A7">
        <w:rPr>
          <w:color w:val="000000"/>
          <w:kern w:val="24"/>
        </w:rPr>
        <w:t>ml NaCl under minst 15 minuter. Till patienter</w:t>
      </w:r>
      <w:r>
        <w:rPr>
          <w:color w:val="000000"/>
          <w:kern w:val="24"/>
        </w:rPr>
        <w:t xml:space="preserve"> </w:t>
      </w:r>
      <w:r w:rsidRPr="00DD64A7">
        <w:rPr>
          <w:color w:val="000000"/>
          <w:kern w:val="24"/>
        </w:rPr>
        <w:t>&gt; 65 år ges alltid infusion. Ondansetron finns i 3 olika perorala beredningsformer (tablett 4 mg</w:t>
      </w:r>
      <w:r>
        <w:rPr>
          <w:color w:val="000000"/>
          <w:kern w:val="24"/>
        </w:rPr>
        <w:t>,</w:t>
      </w:r>
      <w:r w:rsidRPr="00DD64A7">
        <w:rPr>
          <w:color w:val="000000"/>
          <w:kern w:val="24"/>
        </w:rPr>
        <w:t xml:space="preserve"> 8 mg, oral lösning 0.8 mg/ml, samt frystorkad munlöslig tablett 4 mg</w:t>
      </w:r>
      <w:r>
        <w:rPr>
          <w:color w:val="000000"/>
          <w:kern w:val="24"/>
        </w:rPr>
        <w:t xml:space="preserve">, </w:t>
      </w:r>
      <w:r w:rsidRPr="00DD64A7">
        <w:rPr>
          <w:color w:val="000000"/>
          <w:kern w:val="24"/>
        </w:rPr>
        <w:t xml:space="preserve">8 mg). Behandlingen ges t.o.m. dagen efter avslutad </w:t>
      </w:r>
      <w:r>
        <w:rPr>
          <w:color w:val="000000"/>
          <w:kern w:val="24"/>
        </w:rPr>
        <w:t xml:space="preserve">antitumoral </w:t>
      </w:r>
      <w:r w:rsidRPr="00DD64A7">
        <w:rPr>
          <w:color w:val="000000"/>
          <w:kern w:val="24"/>
        </w:rPr>
        <w:t>behandling (i.v.)</w:t>
      </w:r>
      <w:r>
        <w:rPr>
          <w:color w:val="000000"/>
          <w:kern w:val="24"/>
        </w:rPr>
        <w:t>,</w:t>
      </w:r>
      <w:r w:rsidRPr="00DD64A7">
        <w:rPr>
          <w:color w:val="000000"/>
          <w:kern w:val="24"/>
        </w:rPr>
        <w:t xml:space="preserve"> eller vid behov upp till 5 dagar efter (p.o.)</w:t>
      </w:r>
      <w:r>
        <w:rPr>
          <w:color w:val="000000"/>
          <w:kern w:val="24"/>
        </w:rPr>
        <w:t xml:space="preserve"> Observera att Ondansetronkan ges tidigast 48 tim efter Palonosetron </w:t>
      </w:r>
    </w:p>
    <w:p w14:paraId="40B58A2E" w14:textId="77777777" w:rsidR="00070CF5" w:rsidRDefault="00070CF5" w:rsidP="00070CF5">
      <w:r w:rsidRPr="00DD64A7">
        <w:t>Vid poliklinisk behandling, informera patienten att de ska ta sin tablett innan de kommer till mottagningen och påminn dem om att de ska ta ondansetron även när de kommer hem.</w:t>
      </w:r>
    </w:p>
    <w:p w14:paraId="0F82EECA" w14:textId="77777777" w:rsidR="00070CF5" w:rsidRPr="00DD64A7" w:rsidRDefault="00070CF5" w:rsidP="00070CF5">
      <w:pPr>
        <w:rPr>
          <w:color w:val="000000"/>
          <w:kern w:val="24"/>
        </w:rPr>
      </w:pPr>
      <w:r w:rsidRPr="00DD64A7">
        <w:rPr>
          <w:color w:val="000000"/>
          <w:kern w:val="24"/>
        </w:rPr>
        <w:t xml:space="preserve">Antalet behandlingsdagar skall anpassas till </w:t>
      </w:r>
      <w:r>
        <w:rPr>
          <w:color w:val="000000"/>
          <w:kern w:val="24"/>
        </w:rPr>
        <w:t>den antitumorala</w:t>
      </w:r>
      <w:r w:rsidRPr="00DD64A7">
        <w:rPr>
          <w:color w:val="000000"/>
          <w:kern w:val="24"/>
        </w:rPr>
        <w:t xml:space="preserve"> </w:t>
      </w:r>
      <w:r>
        <w:rPr>
          <w:color w:val="000000"/>
          <w:kern w:val="24"/>
        </w:rPr>
        <w:t>behandlingens</w:t>
      </w:r>
      <w:r w:rsidRPr="00DD64A7">
        <w:rPr>
          <w:color w:val="000000"/>
          <w:kern w:val="24"/>
        </w:rPr>
        <w:t xml:space="preserve"> emetogena mönster. Ondansetron har mycket god peroral</w:t>
      </w:r>
      <w:r>
        <w:rPr>
          <w:color w:val="000000"/>
          <w:kern w:val="24"/>
        </w:rPr>
        <w:t xml:space="preserve"> </w:t>
      </w:r>
      <w:r w:rsidRPr="00DD64A7">
        <w:rPr>
          <w:color w:val="000000"/>
          <w:kern w:val="24"/>
        </w:rPr>
        <w:t xml:space="preserve">biotillgänglighet, jämförbart med intravenös. </w:t>
      </w:r>
    </w:p>
    <w:p w14:paraId="2D0F7A53" w14:textId="77777777" w:rsidR="00070CF5" w:rsidRPr="004F5C24" w:rsidRDefault="00070CF5" w:rsidP="00070CF5">
      <w:pPr>
        <w:rPr>
          <w:color w:val="000000" w:themeColor="text1"/>
          <w:kern w:val="24"/>
          <w:u w:val="single"/>
        </w:rPr>
      </w:pPr>
      <w:r w:rsidRPr="004F5C24">
        <w:rPr>
          <w:color w:val="000000" w:themeColor="text1"/>
          <w:kern w:val="24"/>
          <w:u w:val="single"/>
        </w:rPr>
        <w:t>Biverkningar:</w:t>
      </w:r>
    </w:p>
    <w:p w14:paraId="45D48BCF" w14:textId="77777777" w:rsidR="00070CF5" w:rsidRDefault="00070CF5" w:rsidP="00070CF5">
      <w:pPr>
        <w:rPr>
          <w:color w:val="000000" w:themeColor="text1"/>
        </w:rPr>
      </w:pPr>
      <w:r w:rsidRPr="00DD64A7">
        <w:rPr>
          <w:color w:val="000000" w:themeColor="text1"/>
        </w:rPr>
        <w:t>Huvudvärk, yrsel och förstoppning. Ge laxantia och smärtstillande vid behov.</w:t>
      </w:r>
    </w:p>
    <w:p w14:paraId="06044CE2" w14:textId="77777777" w:rsidR="00070CF5" w:rsidRDefault="00070CF5" w:rsidP="00070CF5">
      <w:pPr>
        <w:rPr>
          <w:color w:val="000000" w:themeColor="text2"/>
        </w:rPr>
      </w:pPr>
      <w:r w:rsidRPr="002F1C65">
        <w:rPr>
          <w:color w:val="000000" w:themeColor="text2"/>
          <w:u w:val="single"/>
        </w:rPr>
        <w:t>Kontraindikationer</w:t>
      </w:r>
      <w:r w:rsidRPr="66F07534">
        <w:rPr>
          <w:color w:val="000000" w:themeColor="text2"/>
        </w:rPr>
        <w:t>:</w:t>
      </w:r>
    </w:p>
    <w:p w14:paraId="6E0634EB" w14:textId="77777777" w:rsidR="00070CF5" w:rsidRDefault="00070CF5" w:rsidP="00070CF5">
      <w:pPr>
        <w:rPr>
          <w:color w:val="000000" w:themeColor="text2"/>
        </w:rPr>
      </w:pPr>
      <w:r w:rsidRPr="66F07534">
        <w:rPr>
          <w:color w:val="000000" w:themeColor="text2"/>
        </w:rPr>
        <w:t xml:space="preserve">Samtidig användning av Apomorfin. Lång Q-T-tid på EKG. </w:t>
      </w:r>
    </w:p>
    <w:p w14:paraId="7F290BC3" w14:textId="77777777" w:rsidR="00070CF5" w:rsidRDefault="00070CF5" w:rsidP="00070CF5">
      <w:pPr>
        <w:rPr>
          <w:color w:val="000000" w:themeColor="text2"/>
        </w:rPr>
      </w:pPr>
      <w:r w:rsidRPr="66F07534">
        <w:rPr>
          <w:color w:val="000000" w:themeColor="text2"/>
        </w:rPr>
        <w:t xml:space="preserve">Graviditet under första trimestern. </w:t>
      </w:r>
      <w:r>
        <w:br/>
      </w:r>
    </w:p>
    <w:p w14:paraId="64B5235C" w14:textId="77777777" w:rsidR="00070CF5" w:rsidRDefault="00070CF5" w:rsidP="00070CF5">
      <w:pPr>
        <w:rPr>
          <w:bCs/>
          <w:color w:val="000000"/>
        </w:rPr>
      </w:pPr>
      <w:r>
        <w:rPr>
          <w:b/>
          <w:bCs/>
          <w:color w:val="000000"/>
        </w:rPr>
        <w:t xml:space="preserve">Granisetron </w:t>
      </w:r>
      <w:r>
        <w:rPr>
          <w:bCs/>
          <w:color w:val="000000"/>
        </w:rPr>
        <w:t>(Granisteron</w:t>
      </w:r>
      <w:r w:rsidRPr="00564A0D">
        <w:rPr>
          <w:bCs/>
          <w:color w:val="000000"/>
          <w:vertAlign w:val="superscript"/>
        </w:rPr>
        <w:t>®</w:t>
      </w:r>
      <w:r>
        <w:rPr>
          <w:bCs/>
          <w:color w:val="000000"/>
        </w:rPr>
        <w:t>, SANCUSO</w:t>
      </w:r>
      <w:r w:rsidRPr="00564A0D">
        <w:rPr>
          <w:bCs/>
          <w:color w:val="000000"/>
          <w:vertAlign w:val="superscript"/>
        </w:rPr>
        <w:t>®</w:t>
      </w:r>
      <w:r>
        <w:rPr>
          <w:bCs/>
          <w:color w:val="000000"/>
        </w:rPr>
        <w:t xml:space="preserve"> depotplåster 3.1mg/24tim) </w:t>
      </w:r>
    </w:p>
    <w:p w14:paraId="141A7371" w14:textId="77777777" w:rsidR="00070CF5" w:rsidRDefault="00070CF5" w:rsidP="00070CF5">
      <w:pPr>
        <w:rPr>
          <w:bCs/>
          <w:color w:val="000000"/>
        </w:rPr>
      </w:pPr>
      <w:r>
        <w:rPr>
          <w:bCs/>
          <w:color w:val="000000"/>
        </w:rPr>
        <w:t xml:space="preserve">Granisetron är en 5-HT-3-receptorblockerare som kan ges peroralt eller intravenöst, fullt jämförbar med ondansetron. </w:t>
      </w:r>
    </w:p>
    <w:p w14:paraId="55CB628F" w14:textId="77777777" w:rsidR="00070CF5" w:rsidRDefault="00070CF5" w:rsidP="00070CF5">
      <w:pPr>
        <w:rPr>
          <w:bCs/>
          <w:color w:val="000000"/>
        </w:rPr>
      </w:pPr>
      <w:r w:rsidRPr="00F65BD5">
        <w:rPr>
          <w:bCs/>
          <w:color w:val="000000"/>
        </w:rPr>
        <w:t>SANCUSO</w:t>
      </w:r>
      <w:r w:rsidRPr="00F65BD5">
        <w:rPr>
          <w:bCs/>
          <w:color w:val="000000"/>
          <w:vertAlign w:val="superscript"/>
        </w:rPr>
        <w:t>®</w:t>
      </w:r>
      <w:r w:rsidRPr="00F65BD5">
        <w:rPr>
          <w:bCs/>
          <w:color w:val="000000"/>
        </w:rPr>
        <w:t xml:space="preserve"> depotplåster</w:t>
      </w:r>
      <w:r>
        <w:rPr>
          <w:bCs/>
          <w:color w:val="000000"/>
        </w:rPr>
        <w:t xml:space="preserve"> kan övervägas till patienter med uttalade sväljningsbesvär eller uttalade svårigheter att behålla nedsvald föda vid 3 - 5 dagars måttlig eller högemetogen antitumoral behandling.</w:t>
      </w:r>
    </w:p>
    <w:p w14:paraId="7690DDBD" w14:textId="77777777" w:rsidR="00070CF5" w:rsidRDefault="00070CF5" w:rsidP="00070CF5">
      <w:pPr>
        <w:rPr>
          <w:bCs/>
          <w:color w:val="000000"/>
          <w:u w:val="single"/>
        </w:rPr>
      </w:pPr>
      <w:r>
        <w:rPr>
          <w:bCs/>
          <w:color w:val="000000"/>
          <w:u w:val="single"/>
        </w:rPr>
        <w:t>Dosering:</w:t>
      </w:r>
    </w:p>
    <w:p w14:paraId="2E979B0A" w14:textId="77777777" w:rsidR="00070CF5" w:rsidRDefault="00070CF5" w:rsidP="00070CF5">
      <w:pPr>
        <w:rPr>
          <w:color w:val="000000"/>
        </w:rPr>
      </w:pPr>
      <w:r w:rsidRPr="4AB91102">
        <w:rPr>
          <w:color w:val="000000" w:themeColor="text2"/>
        </w:rPr>
        <w:t xml:space="preserve">Depotplåstret skall appliceras 24 - 48 timmar </w:t>
      </w:r>
      <w:r w:rsidRPr="4AB91102">
        <w:rPr>
          <w:color w:val="000000" w:themeColor="text2"/>
          <w:u w:val="single"/>
        </w:rPr>
        <w:t>före kemoterapi</w:t>
      </w:r>
      <w:r w:rsidRPr="4AB91102">
        <w:rPr>
          <w:color w:val="000000" w:themeColor="text2"/>
        </w:rPr>
        <w:t xml:space="preserve"> och avlägsnas minst 24 tim </w:t>
      </w:r>
      <w:r w:rsidRPr="4AB91102">
        <w:rPr>
          <w:color w:val="000000" w:themeColor="text2"/>
          <w:u w:val="single"/>
        </w:rPr>
        <w:t>efter</w:t>
      </w:r>
      <w:r w:rsidRPr="4AB91102">
        <w:rPr>
          <w:color w:val="000000" w:themeColor="text2"/>
        </w:rPr>
        <w:t xml:space="preserve"> avslutad behandlingsregim. </w:t>
      </w:r>
    </w:p>
    <w:p w14:paraId="0923A062" w14:textId="77777777" w:rsidR="00070CF5" w:rsidRDefault="00070CF5" w:rsidP="00070CF5">
      <w:pPr>
        <w:rPr>
          <w:bCs/>
          <w:color w:val="000000"/>
          <w:u w:val="single"/>
        </w:rPr>
      </w:pPr>
      <w:r>
        <w:rPr>
          <w:bCs/>
          <w:color w:val="000000"/>
          <w:u w:val="single"/>
        </w:rPr>
        <w:t>Biverkningar:</w:t>
      </w:r>
    </w:p>
    <w:p w14:paraId="36CC8999" w14:textId="77777777" w:rsidR="00070CF5" w:rsidRPr="00564A0D" w:rsidRDefault="00070CF5" w:rsidP="00070CF5">
      <w:pPr>
        <w:rPr>
          <w:bCs/>
          <w:color w:val="000000"/>
        </w:rPr>
      </w:pPr>
      <w:r>
        <w:rPr>
          <w:bCs/>
          <w:color w:val="000000"/>
        </w:rPr>
        <w:t xml:space="preserve">Förstoppning är vanligt, i likhet med övriga 5-HT-3-receptorblockerare. Ge laxantia vid behov. </w:t>
      </w:r>
    </w:p>
    <w:p w14:paraId="5FC77CAF" w14:textId="77777777" w:rsidR="00070CF5" w:rsidRDefault="00070CF5" w:rsidP="00070CF5">
      <w:pPr>
        <w:rPr>
          <w:bCs/>
          <w:color w:val="000000"/>
        </w:rPr>
      </w:pPr>
      <w:r>
        <w:rPr>
          <w:bCs/>
          <w:color w:val="000000"/>
          <w:u w:val="single"/>
        </w:rPr>
        <w:t>Graviditet och amning</w:t>
      </w:r>
    </w:p>
    <w:p w14:paraId="03073812" w14:textId="7416B837" w:rsidR="00070CF5" w:rsidRPr="00564A0D" w:rsidRDefault="00070CF5" w:rsidP="00070CF5">
      <w:pPr>
        <w:rPr>
          <w:bCs/>
          <w:color w:val="000000"/>
        </w:rPr>
      </w:pPr>
      <w:r>
        <w:rPr>
          <w:bCs/>
          <w:color w:val="000000"/>
        </w:rPr>
        <w:t xml:space="preserve">SANCUSO skall för säkerhets skull inte ges till gravida och ammande. </w:t>
      </w:r>
    </w:p>
    <w:p w14:paraId="46FEACA2" w14:textId="77777777" w:rsidR="00070CF5" w:rsidRDefault="00070CF5" w:rsidP="00070CF5">
      <w:pPr>
        <w:rPr>
          <w:b/>
          <w:bCs/>
          <w:color w:val="000000"/>
        </w:rPr>
      </w:pPr>
    </w:p>
    <w:p w14:paraId="33318F22" w14:textId="77777777" w:rsidR="00070CF5" w:rsidRPr="009F70EB" w:rsidRDefault="00070CF5" w:rsidP="00070CF5">
      <w:pPr>
        <w:rPr>
          <w:b/>
          <w:bCs/>
          <w:color w:val="000000"/>
        </w:rPr>
      </w:pPr>
      <w:r w:rsidRPr="00DD64A7">
        <w:rPr>
          <w:b/>
          <w:bCs/>
          <w:color w:val="000000"/>
        </w:rPr>
        <w:t xml:space="preserve">Palonosetron </w:t>
      </w:r>
      <w:r w:rsidRPr="00DD64A7">
        <w:rPr>
          <w:color w:val="000000"/>
        </w:rPr>
        <w:t>(Palonosetron</w:t>
      </w:r>
      <w:r w:rsidRPr="00DD64A7">
        <w:rPr>
          <w:color w:val="000000"/>
          <w:vertAlign w:val="superscript"/>
        </w:rPr>
        <w:t>®</w:t>
      </w:r>
      <w:r w:rsidRPr="00DD64A7">
        <w:rPr>
          <w:color w:val="000000"/>
        </w:rPr>
        <w:t>, Aloxi</w:t>
      </w:r>
      <w:r w:rsidRPr="00DD64A7">
        <w:rPr>
          <w:color w:val="000000"/>
          <w:vertAlign w:val="superscript"/>
        </w:rPr>
        <w:t>®</w:t>
      </w:r>
      <w:r w:rsidRPr="00DD64A7">
        <w:rPr>
          <w:color w:val="000000"/>
        </w:rPr>
        <w:t>)</w:t>
      </w:r>
    </w:p>
    <w:p w14:paraId="0F4CD263" w14:textId="77777777" w:rsidR="00070CF5" w:rsidRDefault="00070CF5" w:rsidP="00070CF5">
      <w:r>
        <w:lastRenderedPageBreak/>
        <w:t xml:space="preserve">Palonosetron är en långtidsverkande 5-HT-3-receptorblockerare, som binder sig starkare till receptorerna och får därmed längre verkningstid än ondansetron. Därför kan det ges som engångsdos. Det har effekt mot akut illamående både vid hög- och medelemetogen antitumoral behandling. Palonosetron bör kombineras med ett kortisonpreparat för att förstärka den antiemetogena effekten. </w:t>
      </w:r>
    </w:p>
    <w:p w14:paraId="112FDAF0" w14:textId="77777777" w:rsidR="00070CF5" w:rsidRDefault="00070CF5" w:rsidP="00070CF5">
      <w:r w:rsidRPr="00E503FC">
        <w:rPr>
          <w:u w:val="single"/>
        </w:rPr>
        <w:t>Dosering:</w:t>
      </w:r>
      <w:r w:rsidRPr="009F70EB">
        <w:br/>
        <w:t xml:space="preserve">Palonosetron kan ges både oralt och intravenöst. Kapsel palonosetron 500 mikrogram ges 1 timme före behandling dag 1. Injektion 250 mikrogram (5 ml) palonosetron ges som en enstaka intravenös bolusdos ungefär 30 minuter innan </w:t>
      </w:r>
      <w:r>
        <w:t>antitumör-</w:t>
      </w:r>
      <w:r w:rsidRPr="009F70EB">
        <w:t xml:space="preserve">behandlingen (endast dag 1). Injektionen ska ta 30 sekunder. </w:t>
      </w:r>
    </w:p>
    <w:p w14:paraId="73EEDACA" w14:textId="77777777" w:rsidR="00070CF5" w:rsidRDefault="00070CF5" w:rsidP="00070CF5">
      <w:r>
        <w:t>Observera: vid antitumoral behandling som ges &gt;3 dagar eller samtidig strålbehandling, kan palonosetron ges dag 1, 3 och 5, vilket motsvarar en ny dos vid varje halveringstid. Annan 5-HT-3-receptorblockerare, till exempel ondansetron, kan också ges tidigast dag 3 efter senaste dos palonosetron.</w:t>
      </w:r>
    </w:p>
    <w:p w14:paraId="2D4C5AAA" w14:textId="77777777" w:rsidR="00070CF5" w:rsidRPr="00E503FC" w:rsidRDefault="00070CF5" w:rsidP="00070CF5">
      <w:pPr>
        <w:rPr>
          <w:u w:val="single"/>
        </w:rPr>
      </w:pPr>
      <w:r w:rsidRPr="00E503FC">
        <w:rPr>
          <w:bCs/>
          <w:color w:val="000000"/>
          <w:u w:val="single"/>
        </w:rPr>
        <w:t>Biverkningar:</w:t>
      </w:r>
    </w:p>
    <w:p w14:paraId="653EF928" w14:textId="77777777" w:rsidR="00070CF5" w:rsidRDefault="00070CF5" w:rsidP="00070CF5">
      <w:pPr>
        <w:rPr>
          <w:color w:val="000000"/>
        </w:rPr>
      </w:pPr>
      <w:r w:rsidRPr="00DD64A7">
        <w:rPr>
          <w:color w:val="000000"/>
        </w:rPr>
        <w:t>Biverkningarna är desamma som för övriga 5-HT</w:t>
      </w:r>
      <w:r>
        <w:rPr>
          <w:color w:val="000000"/>
        </w:rPr>
        <w:t>-</w:t>
      </w:r>
      <w:r w:rsidRPr="00DD64A7">
        <w:rPr>
          <w:color w:val="000000"/>
        </w:rPr>
        <w:t>3</w:t>
      </w:r>
      <w:r>
        <w:rPr>
          <w:color w:val="000000"/>
        </w:rPr>
        <w:t>-</w:t>
      </w:r>
      <w:r w:rsidRPr="00DD64A7">
        <w:rPr>
          <w:color w:val="000000"/>
        </w:rPr>
        <w:t>receptor</w:t>
      </w:r>
      <w:r>
        <w:rPr>
          <w:color w:val="000000"/>
        </w:rPr>
        <w:t>blockerare</w:t>
      </w:r>
      <w:r w:rsidRPr="00DD64A7">
        <w:rPr>
          <w:color w:val="000000"/>
        </w:rPr>
        <w:t>. Huvudvärk och förstoppning är vanliga. Ge laxantia vid behov. Paracetamol kan ges om huvudvärken blir besvärlig.</w:t>
      </w:r>
    </w:p>
    <w:p w14:paraId="3BE965B9" w14:textId="77777777" w:rsidR="00070CF5" w:rsidRDefault="00070CF5" w:rsidP="00070CF5">
      <w:r w:rsidRPr="00E503FC">
        <w:rPr>
          <w:color w:val="000000"/>
          <w:u w:val="single"/>
        </w:rPr>
        <w:t>Kontraindikation</w:t>
      </w:r>
      <w:r w:rsidRPr="00DD64A7">
        <w:rPr>
          <w:color w:val="000000"/>
        </w:rPr>
        <w:t>:</w:t>
      </w:r>
    </w:p>
    <w:p w14:paraId="3266DDEE" w14:textId="48E8436D" w:rsidR="00070CF5" w:rsidRPr="00AC45D3" w:rsidRDefault="00070CF5" w:rsidP="00AC45D3">
      <w:r w:rsidRPr="00DD64A7">
        <w:rPr>
          <w:color w:val="000000"/>
        </w:rPr>
        <w:t xml:space="preserve">Lång Q-T-tid på EKG. </w:t>
      </w:r>
    </w:p>
    <w:p w14:paraId="2F5CC85B" w14:textId="77777777" w:rsidR="00070CF5" w:rsidRPr="00DF6B44" w:rsidRDefault="00070CF5" w:rsidP="00070CF5">
      <w:pPr>
        <w:rPr>
          <w:b/>
          <w:color w:val="000000" w:themeColor="text2"/>
          <w:u w:val="single"/>
        </w:rPr>
      </w:pPr>
      <w:r w:rsidRPr="00DF6B44">
        <w:rPr>
          <w:b/>
          <w:u w:val="single"/>
        </w:rPr>
        <w:t>Interaktioner vid behandling med 5-HT-3-receptor</w:t>
      </w:r>
      <w:r>
        <w:rPr>
          <w:b/>
          <w:u w:val="single"/>
        </w:rPr>
        <w:t>blockerare</w:t>
      </w:r>
      <w:r w:rsidRPr="00DF6B44">
        <w:rPr>
          <w:b/>
          <w:u w:val="single"/>
        </w:rPr>
        <w:t>:</w:t>
      </w:r>
    </w:p>
    <w:p w14:paraId="157F1D2F" w14:textId="77777777" w:rsidR="00070CF5" w:rsidRDefault="00070CF5" w:rsidP="00070CF5">
      <w:r>
        <w:t>Vissa läkemedel kan interagera med 5-HT-3-receptorblockerare, t.ex. SSRI, viss infektionspofylax som ciprofloxacin och flukonazol, samt antihistaminet hydroxizin (Atarax</w:t>
      </w:r>
      <w:r w:rsidRPr="73AB52CD">
        <w:rPr>
          <w:vertAlign w:val="superscript"/>
        </w:rPr>
        <w:t>®</w:t>
      </w:r>
      <w:r>
        <w:t>, Hydroxyzine</w:t>
      </w:r>
      <w:r w:rsidRPr="00DF6B44">
        <w:rPr>
          <w:vertAlign w:val="superscript"/>
        </w:rPr>
        <w:t>®</w:t>
      </w:r>
      <w:r>
        <w:t xml:space="preserve">). Dessa interaktioner medför risk för Q-T-förlängning och torsades de pointes (ventrikeltakykardi med stor risk att övergå till ventrikelflimmer).  </w:t>
      </w:r>
    </w:p>
    <w:p w14:paraId="488F4A8C" w14:textId="77777777" w:rsidR="00070CF5" w:rsidRDefault="00070CF5" w:rsidP="00070CF5">
      <w:r w:rsidRPr="00DF6B44">
        <w:rPr>
          <w:u w:val="single"/>
        </w:rPr>
        <w:t>Rekommendation</w:t>
      </w:r>
      <w:r>
        <w:t>:</w:t>
      </w:r>
    </w:p>
    <w:p w14:paraId="3C2BB8B9" w14:textId="77777777" w:rsidR="00070CF5" w:rsidRDefault="00070CF5" w:rsidP="00070CF5">
      <w:pPr>
        <w:rPr>
          <w:color w:val="000000"/>
          <w:u w:val="single"/>
        </w:rPr>
      </w:pPr>
      <w:r w:rsidRPr="73AB52CD">
        <w:t>Noggrann övervakning rekommenderas,</w:t>
      </w:r>
      <w:r>
        <w:t xml:space="preserve"> Ö</w:t>
      </w:r>
      <w:r w:rsidRPr="73AB52CD">
        <w:t>verväg EKG-undersökning både före och efter behandlingen</w:t>
      </w:r>
      <w:r>
        <w:t xml:space="preserve"> för att</w:t>
      </w:r>
      <w:r w:rsidRPr="73AB52CD">
        <w:t xml:space="preserve"> identifiera </w:t>
      </w:r>
      <w:r>
        <w:t>ev. arytmier el Q-T-förlängning</w:t>
      </w:r>
      <w:r w:rsidRPr="73AB52CD">
        <w:t xml:space="preserve"> i ett tidigt skede. </w:t>
      </w:r>
      <w:r>
        <w:t>Ö</w:t>
      </w:r>
      <w:r w:rsidRPr="73AB52CD">
        <w:t xml:space="preserve">verväg att </w:t>
      </w:r>
      <w:r>
        <w:t>ge</w:t>
      </w:r>
      <w:r w:rsidRPr="73AB52CD">
        <w:t xml:space="preserve"> infusion istället för injektion </w:t>
      </w:r>
      <w:r>
        <w:t>till</w:t>
      </w:r>
      <w:r w:rsidRPr="73AB52CD">
        <w:t xml:space="preserve"> patienter som löper större risk för den</w:t>
      </w:r>
      <w:r>
        <w:t>na</w:t>
      </w:r>
      <w:r w:rsidRPr="73AB52CD">
        <w:t xml:space="preserve"> in</w:t>
      </w:r>
      <w:r>
        <w:t>ter</w:t>
      </w:r>
      <w:r w:rsidRPr="73AB52CD">
        <w:t>aktion</w:t>
      </w:r>
      <w:r>
        <w:t>.</w:t>
      </w:r>
    </w:p>
    <w:p w14:paraId="798988EA" w14:textId="77777777" w:rsidR="006629A1" w:rsidRDefault="00B042D7" w:rsidP="003B1CAC">
      <w:pPr>
        <w:pStyle w:val="Rubrik3"/>
      </w:pPr>
      <w:r w:rsidRPr="003B1CAC">
        <w:t>NK-1-receptor-blockerare</w:t>
      </w:r>
    </w:p>
    <w:p w14:paraId="600CAA09" w14:textId="77777777" w:rsidR="006629A1" w:rsidRPr="00B6618F" w:rsidRDefault="006629A1" w:rsidP="006629A1">
      <w:r w:rsidRPr="00DD64A7">
        <w:rPr>
          <w:b/>
        </w:rPr>
        <w:t xml:space="preserve">Aprepitant/Fosaprepitant </w:t>
      </w:r>
      <w:r w:rsidRPr="00DD64A7">
        <w:t>(</w:t>
      </w:r>
      <w:r w:rsidRPr="00564A0D">
        <w:t>Aprepitant</w:t>
      </w:r>
      <w:r w:rsidRPr="00564A0D">
        <w:rPr>
          <w:sz w:val="28"/>
          <w:szCs w:val="28"/>
          <w:vertAlign w:val="superscript"/>
        </w:rPr>
        <w:t>®</w:t>
      </w:r>
      <w:r w:rsidRPr="00564A0D">
        <w:rPr>
          <w:vertAlign w:val="superscript"/>
        </w:rPr>
        <w:t xml:space="preserve"> </w:t>
      </w:r>
      <w:r w:rsidRPr="00564A0D">
        <w:t>Emend</w:t>
      </w:r>
      <w:r w:rsidRPr="00564A0D">
        <w:rPr>
          <w:vertAlign w:val="superscript"/>
        </w:rPr>
        <w:t>®</w:t>
      </w:r>
      <w:r w:rsidRPr="00564A0D">
        <w:t>) /(Ivemend</w:t>
      </w:r>
      <w:r w:rsidRPr="00564A0D">
        <w:rPr>
          <w:vertAlign w:val="superscript"/>
        </w:rPr>
        <w:t>®</w:t>
      </w:r>
      <w:r w:rsidRPr="00DD64A7">
        <w:t>)</w:t>
      </w:r>
    </w:p>
    <w:p w14:paraId="60E3FAF4" w14:textId="77777777" w:rsidR="006629A1" w:rsidRDefault="006629A1" w:rsidP="006629A1">
      <w:r w:rsidRPr="00DD64A7">
        <w:t>Aprepitant/fosaprepitant är infört i riktlinjerna vid vissa behandlingar med stor risk för illamående. Det är ett antiemetikum (substans P</w:t>
      </w:r>
      <w:r>
        <w:t>-</w:t>
      </w:r>
      <w:r w:rsidRPr="00DD64A7">
        <w:t>antagonist) som blockerar NK</w:t>
      </w:r>
      <w:r>
        <w:t>-</w:t>
      </w:r>
      <w:r w:rsidRPr="00DD64A7">
        <w:t>1-receptorer och har effekt framför</w:t>
      </w:r>
      <w:r>
        <w:t xml:space="preserve"> </w:t>
      </w:r>
      <w:r w:rsidRPr="00DD64A7">
        <w:t xml:space="preserve">allt mot fördröjt illamående. </w:t>
      </w:r>
    </w:p>
    <w:p w14:paraId="251F3AC2" w14:textId="77777777" w:rsidR="006629A1" w:rsidRPr="00DD64A7" w:rsidRDefault="006629A1" w:rsidP="006629A1">
      <w:r w:rsidRPr="0061376F">
        <w:rPr>
          <w:bCs/>
          <w:u w:val="single"/>
        </w:rPr>
        <w:t>Dosering:</w:t>
      </w:r>
      <w:r>
        <w:br/>
      </w:r>
      <w:r w:rsidRPr="00DD64A7">
        <w:t xml:space="preserve">Aprepitant ges i första hand peroralt och ges då antingen under 3 dagar (125 mg </w:t>
      </w:r>
      <w:r w:rsidRPr="00DD64A7">
        <w:lastRenderedPageBreak/>
        <w:t xml:space="preserve">dag 1, 80 mg dag 2 och 3) eller under 5 dagar (125 mg dag 1, 80 mg dag 2 - 5) beroende på hur lång </w:t>
      </w:r>
      <w:r>
        <w:t xml:space="preserve">den antitumorala </w:t>
      </w:r>
      <w:r w:rsidRPr="00DD64A7">
        <w:t xml:space="preserve">behandlingen är. Ges 1 timme innan </w:t>
      </w:r>
      <w:r>
        <w:t xml:space="preserve">denna </w:t>
      </w:r>
      <w:r w:rsidRPr="00DD64A7">
        <w:t>behandling</w:t>
      </w:r>
      <w:r>
        <w:t xml:space="preserve"> startar</w:t>
      </w:r>
      <w:r w:rsidRPr="00DD64A7">
        <w:t xml:space="preserve">. </w:t>
      </w:r>
    </w:p>
    <w:p w14:paraId="3A1DEF55" w14:textId="77777777" w:rsidR="006629A1" w:rsidRDefault="006629A1" w:rsidP="006629A1">
      <w:r w:rsidRPr="00DD64A7">
        <w:t>Om patienten inte kan ta tablett ges fosaprepitant (Ivemend</w:t>
      </w:r>
      <w:r w:rsidRPr="00DD64A7">
        <w:rPr>
          <w:vertAlign w:val="superscript"/>
        </w:rPr>
        <w:t>®</w:t>
      </w:r>
      <w:r w:rsidRPr="00DD64A7">
        <w:t>) 150 mg iv endast dag 1 som infusion under 20</w:t>
      </w:r>
      <w:r>
        <w:t>-</w:t>
      </w:r>
      <w:r w:rsidRPr="00DD64A7">
        <w:t xml:space="preserve">30 minuter cirka 30 minuter före </w:t>
      </w:r>
      <w:r>
        <w:t xml:space="preserve">den antitumorala </w:t>
      </w:r>
      <w:r w:rsidRPr="00DD64A7">
        <w:t xml:space="preserve">behandlingen. </w:t>
      </w:r>
    </w:p>
    <w:p w14:paraId="297354F7" w14:textId="77777777" w:rsidR="006629A1" w:rsidRDefault="006629A1" w:rsidP="006629A1">
      <w:r w:rsidRPr="00DD64A7">
        <w:t>Aprepitant/fosaprepitant bör ges tillsammans med en 5-HT</w:t>
      </w:r>
      <w:r>
        <w:t>-</w:t>
      </w:r>
      <w:r w:rsidRPr="00DD64A7">
        <w:t xml:space="preserve">3-receptorblockerare och ett kortisonpreparat. Maximal dos betametason är 12 mg om det ges samtidigt på grund av att nedbrytningen av kortisonet kan hämmas av </w:t>
      </w:r>
      <w:r>
        <w:t>aprepitant/fosaprepitant</w:t>
      </w:r>
      <w:r w:rsidRPr="00DD64A7">
        <w:t xml:space="preserve">. Om avsikten är att ge 8 </w:t>
      </w:r>
      <w:r>
        <w:t>-</w:t>
      </w:r>
      <w:r w:rsidRPr="00DD64A7">
        <w:t>12 mg behöver dosen inte reduceras</w:t>
      </w:r>
      <w:r>
        <w:t>.</w:t>
      </w:r>
    </w:p>
    <w:p w14:paraId="488F4D57" w14:textId="77777777" w:rsidR="006629A1" w:rsidRDefault="006629A1" w:rsidP="006629A1">
      <w:r w:rsidRPr="0061376F">
        <w:rPr>
          <w:bCs/>
          <w:u w:val="single"/>
        </w:rPr>
        <w:t>Biverkningar:</w:t>
      </w:r>
      <w:r>
        <w:br/>
      </w:r>
      <w:r w:rsidRPr="00DD64A7">
        <w:t>Vanliga biverkningar är rapning, förstoppning, diarré, yrsel, utmattning, huvudvärk, hicka, försämrad matsmältning, avsaknad av aptit och förhöjda leverenzymer.</w:t>
      </w:r>
      <w:r>
        <w:t xml:space="preserve"> Trötthet och yrsel är ovanligt. </w:t>
      </w:r>
    </w:p>
    <w:p w14:paraId="3C96D2A1" w14:textId="77777777" w:rsidR="006629A1" w:rsidRDefault="006629A1" w:rsidP="006629A1">
      <w:r w:rsidRPr="0061376F">
        <w:rPr>
          <w:bCs/>
          <w:u w:val="single"/>
        </w:rPr>
        <w:t>Interaktioner:</w:t>
      </w:r>
      <w:r>
        <w:br/>
        <w:t xml:space="preserve">Aprepitant/fosaprepitant reducerar effekten av p-piller under och 28 dagar efter att det ges. Gravida bör behandlas endast om nödvändigt. </w:t>
      </w:r>
    </w:p>
    <w:p w14:paraId="011B4408" w14:textId="77777777" w:rsidR="006629A1" w:rsidRDefault="006629A1" w:rsidP="006629A1">
      <w:r w:rsidRPr="00DD64A7">
        <w:t>Aprepitant/fosaprepitant hämmar flera viktiga enzymer (fr a CYP3A4)</w:t>
      </w:r>
      <w:r>
        <w:t xml:space="preserve"> </w:t>
      </w:r>
      <w:r w:rsidRPr="00DD64A7">
        <w:t xml:space="preserve">som bryter ned </w:t>
      </w:r>
      <w:r>
        <w:t xml:space="preserve">vissa </w:t>
      </w:r>
      <w:r w:rsidRPr="00DD64A7">
        <w:t xml:space="preserve">läkemedel. Teoretiskt kan nedbrytningen av flera </w:t>
      </w:r>
      <w:r>
        <w:t>antitumorala läkemedel</w:t>
      </w:r>
      <w:r w:rsidRPr="00DD64A7">
        <w:t xml:space="preserve"> hämmas, t.ex. trabektedin (Yondelis</w:t>
      </w:r>
      <w:r w:rsidRPr="00DD64A7">
        <w:rPr>
          <w:vertAlign w:val="superscript"/>
        </w:rPr>
        <w:t>®</w:t>
      </w:r>
      <w:r w:rsidRPr="00DD64A7">
        <w:t>), peroralt etoposid (Vepesid</w:t>
      </w:r>
      <w:r w:rsidRPr="00DD64A7">
        <w:rPr>
          <w:vertAlign w:val="superscript"/>
        </w:rPr>
        <w:t>®</w:t>
      </w:r>
      <w:r w:rsidRPr="00DD64A7">
        <w:t>) eller vinorelbin (Navelbine</w:t>
      </w:r>
      <w:r w:rsidRPr="00DD64A7">
        <w:rPr>
          <w:vertAlign w:val="superscript"/>
        </w:rPr>
        <w:t>®</w:t>
      </w:r>
      <w:r w:rsidRPr="00DD64A7">
        <w:t>, Vinorelbine</w:t>
      </w:r>
      <w:r w:rsidRPr="00DD64A7">
        <w:rPr>
          <w:vertAlign w:val="superscript"/>
        </w:rPr>
        <w:t>®</w:t>
      </w:r>
      <w:r w:rsidRPr="00DD64A7">
        <w:t>). Vid Waran-behandling kan INR-värden sjunka och måste därför kontrolleras noga.</w:t>
      </w:r>
    </w:p>
    <w:p w14:paraId="7FFB8CAC" w14:textId="77777777" w:rsidR="00613C08" w:rsidRDefault="00414294" w:rsidP="008E3A9B">
      <w:pPr>
        <w:pStyle w:val="Rubrik3"/>
        <w:rPr>
          <w:rFonts w:eastAsia="Times New Roman"/>
          <w:b/>
          <w:color w:val="000000"/>
          <w:sz w:val="24"/>
        </w:rPr>
      </w:pPr>
      <w:r w:rsidRPr="00414294">
        <w:t>Kombination av NK-1- och 5-HT-3-receptorblockerare</w:t>
      </w:r>
      <w:r w:rsidRPr="00DD64A7">
        <w:rPr>
          <w:rFonts w:eastAsia="Times New Roman"/>
          <w:b/>
          <w:color w:val="000000"/>
          <w:sz w:val="24"/>
        </w:rPr>
        <w:t xml:space="preserve"> </w:t>
      </w:r>
    </w:p>
    <w:p w14:paraId="6D33E80A" w14:textId="77777777" w:rsidR="00613C08" w:rsidRPr="00613C08" w:rsidRDefault="00613C08" w:rsidP="00613C08">
      <w:pPr>
        <w:rPr>
          <w:b/>
          <w:bCs/>
        </w:rPr>
      </w:pPr>
      <w:r w:rsidRPr="00613C08">
        <w:rPr>
          <w:b/>
          <w:bCs/>
        </w:rPr>
        <w:t>Netupitant/palonosetron</w:t>
      </w:r>
    </w:p>
    <w:p w14:paraId="7B59BEEA" w14:textId="77777777" w:rsidR="00613C08" w:rsidRDefault="00613C08" w:rsidP="00613C08">
      <w:pPr>
        <w:rPr>
          <w:color w:val="000000" w:themeColor="text2"/>
        </w:rPr>
      </w:pPr>
      <w:r w:rsidRPr="0219CBE1">
        <w:rPr>
          <w:color w:val="000000" w:themeColor="text2"/>
        </w:rPr>
        <w:t>Akynzeo</w:t>
      </w:r>
      <w:r w:rsidRPr="0219CBE1">
        <w:rPr>
          <w:color w:val="000000" w:themeColor="text2"/>
          <w:vertAlign w:val="superscript"/>
        </w:rPr>
        <w:t>®</w:t>
      </w:r>
      <w:r w:rsidRPr="0219CBE1">
        <w:rPr>
          <w:color w:val="000000" w:themeColor="text2"/>
        </w:rPr>
        <w:t xml:space="preserve"> är en kombination av netupitant och palonosetron. Akynzeo</w:t>
      </w:r>
      <w:r w:rsidRPr="0219CBE1">
        <w:rPr>
          <w:color w:val="000000" w:themeColor="text2"/>
          <w:vertAlign w:val="superscript"/>
        </w:rPr>
        <w:t>®</w:t>
      </w:r>
      <w:r w:rsidRPr="0219CBE1">
        <w:rPr>
          <w:color w:val="000000" w:themeColor="text2"/>
        </w:rPr>
        <w:t xml:space="preserve"> är ett dubbelverkande antiemetikum som blockerar NK-1-receptorer och är samtidigt en långtidsverkande 5-HT-3-receptorblockerare. Under behandling och dagarna efter Akynzeo</w:t>
      </w:r>
      <w:r w:rsidRPr="0219CBE1">
        <w:rPr>
          <w:color w:val="000000" w:themeColor="text2"/>
          <w:vertAlign w:val="superscript"/>
        </w:rPr>
        <w:t>®</w:t>
      </w:r>
      <w:r w:rsidRPr="0219CBE1">
        <w:rPr>
          <w:color w:val="000000" w:themeColor="text2"/>
        </w:rPr>
        <w:t xml:space="preserve"> skall man inte ge 5-HT-3-receptorblockerare eller NK-1-receptor</w:t>
      </w:r>
      <w:r>
        <w:rPr>
          <w:color w:val="000000" w:themeColor="text2"/>
        </w:rPr>
        <w:t>blockerare</w:t>
      </w:r>
      <w:r w:rsidRPr="0219CBE1">
        <w:rPr>
          <w:color w:val="000000" w:themeColor="text2"/>
        </w:rPr>
        <w:t>. Akynzeo</w:t>
      </w:r>
      <w:r w:rsidRPr="0219CBE1">
        <w:rPr>
          <w:color w:val="000000" w:themeColor="text2"/>
          <w:vertAlign w:val="superscript"/>
        </w:rPr>
        <w:t>®</w:t>
      </w:r>
      <w:r w:rsidRPr="0219CBE1">
        <w:rPr>
          <w:color w:val="000000" w:themeColor="text2"/>
        </w:rPr>
        <w:t xml:space="preserve"> bör kombineras med ett kortisonpreparat. Obs! Dosen av ev betametason-tillägg för att förbättra den antiemetiska effekten skall i vissa fall reduceras med 50%</w:t>
      </w:r>
      <w:r>
        <w:rPr>
          <w:color w:val="000000" w:themeColor="text2"/>
        </w:rPr>
        <w:t>.</w:t>
      </w:r>
    </w:p>
    <w:p w14:paraId="3CFE1DCE" w14:textId="77777777" w:rsidR="00613C08" w:rsidRPr="0061376F" w:rsidRDefault="00613C08" w:rsidP="00613C08">
      <w:pPr>
        <w:rPr>
          <w:u w:val="single"/>
        </w:rPr>
      </w:pPr>
      <w:r w:rsidRPr="0061376F">
        <w:rPr>
          <w:bCs/>
          <w:u w:val="single"/>
        </w:rPr>
        <w:t>Dosering och administrering:</w:t>
      </w:r>
    </w:p>
    <w:p w14:paraId="7BCA38FB" w14:textId="77777777" w:rsidR="00613C08" w:rsidRDefault="00613C08" w:rsidP="00613C08">
      <w:r w:rsidRPr="00DD64A7">
        <w:t>Akynzeo</w:t>
      </w:r>
      <w:r w:rsidRPr="00DD64A7">
        <w:rPr>
          <w:vertAlign w:val="superscript"/>
        </w:rPr>
        <w:t>®</w:t>
      </w:r>
      <w:r w:rsidRPr="00DD64A7">
        <w:t xml:space="preserve"> finns endast som oral behandling i form av kapsel. En kapsel Akynzeo</w:t>
      </w:r>
      <w:r w:rsidRPr="00DD64A7">
        <w:rPr>
          <w:vertAlign w:val="superscript"/>
        </w:rPr>
        <w:t>®</w:t>
      </w:r>
      <w:r w:rsidRPr="00DD64A7">
        <w:t xml:space="preserve"> 300 mg Netupitant/0,5 mg Palonosetron ges minst 1 timme före behandling dag 1. Maximal dos </w:t>
      </w:r>
      <w:r>
        <w:t>betametason (B</w:t>
      </w:r>
      <w:r w:rsidRPr="00DD64A7">
        <w:t>etapred</w:t>
      </w:r>
      <w:r w:rsidRPr="0061376F">
        <w:rPr>
          <w:vertAlign w:val="superscript"/>
        </w:rPr>
        <w:t>®</w:t>
      </w:r>
      <w:r>
        <w:t>) ä</w:t>
      </w:r>
      <w:r w:rsidRPr="00DD64A7">
        <w:t>r 12 mg om det ges samtidigt på grund av att nedbrytningen av kortisonet kan hämmas av Akynzeo</w:t>
      </w:r>
      <w:r w:rsidRPr="00DD64A7">
        <w:rPr>
          <w:vertAlign w:val="superscript"/>
        </w:rPr>
        <w:t>®</w:t>
      </w:r>
      <w:r w:rsidRPr="00DD64A7">
        <w:t xml:space="preserve">. </w:t>
      </w:r>
      <w:r>
        <w:t xml:space="preserve">Observera: vid cytostatikabehandling som ges &gt;3 dagar eller samtidig strålbehandling kan </w:t>
      </w:r>
      <w:r w:rsidRPr="73AB52CD">
        <w:rPr>
          <w:color w:val="000000" w:themeColor="text2"/>
        </w:rPr>
        <w:t>Akynzeo</w:t>
      </w:r>
      <w:r w:rsidRPr="73AB52CD">
        <w:rPr>
          <w:color w:val="000000" w:themeColor="text2"/>
          <w:vertAlign w:val="superscript"/>
        </w:rPr>
        <w:t>®</w:t>
      </w:r>
      <w:r>
        <w:t xml:space="preserve"> ges dag 1 och 4, </w:t>
      </w:r>
      <w:r>
        <w:rPr>
          <w:bCs/>
        </w:rPr>
        <w:t xml:space="preserve">vilket motsvarar ny dos när </w:t>
      </w:r>
      <w:r>
        <w:rPr>
          <w:bCs/>
        </w:rPr>
        <w:lastRenderedPageBreak/>
        <w:t>halveringstiden uppnåtts.</w:t>
      </w:r>
      <w:r w:rsidRPr="73AB52CD">
        <w:rPr>
          <w:bCs/>
        </w:rPr>
        <w:t xml:space="preserve"> </w:t>
      </w:r>
      <w:r>
        <w:t xml:space="preserve">Annan 5-HT-3-receptorblockerare, till exempel ondansetron, kan ges tidigast 48 timmar efter senaste dos palonosetron. </w:t>
      </w:r>
    </w:p>
    <w:p w14:paraId="17F8EA86" w14:textId="77777777" w:rsidR="00613C08" w:rsidRDefault="00613C08" w:rsidP="00613C08">
      <w:r w:rsidRPr="0061376F">
        <w:rPr>
          <w:bCs/>
          <w:u w:val="single"/>
        </w:rPr>
        <w:t>Biverkningar:</w:t>
      </w:r>
      <w:r>
        <w:br/>
      </w:r>
      <w:r w:rsidRPr="00DD64A7">
        <w:t>Vanliga biverkningar huvudvärk</w:t>
      </w:r>
      <w:r>
        <w:t xml:space="preserve"> och </w:t>
      </w:r>
      <w:r w:rsidRPr="00DD64A7">
        <w:t>förstoppning</w:t>
      </w:r>
      <w:r>
        <w:t xml:space="preserve">. Yrsel och </w:t>
      </w:r>
      <w:r w:rsidRPr="00DD64A7">
        <w:t>trötthet</w:t>
      </w:r>
      <w:r>
        <w:t xml:space="preserve"> kan förekomma, i så fall skall patienten inte framföra fordon eller använda maskiner</w:t>
      </w:r>
      <w:r w:rsidRPr="00DD64A7">
        <w:t xml:space="preserve">. Mindre vanlig biverkan är neutropeni.  </w:t>
      </w:r>
    </w:p>
    <w:p w14:paraId="4349DB64" w14:textId="77777777" w:rsidR="00613C08" w:rsidRDefault="00613C08" w:rsidP="00613C08">
      <w:pPr>
        <w:rPr>
          <w:u w:val="single"/>
        </w:rPr>
      </w:pPr>
      <w:r w:rsidRPr="0061376F">
        <w:rPr>
          <w:u w:val="single"/>
        </w:rPr>
        <w:t>Graviditet och amning</w:t>
      </w:r>
      <w:r>
        <w:rPr>
          <w:u w:val="single"/>
        </w:rPr>
        <w:t>:</w:t>
      </w:r>
    </w:p>
    <w:p w14:paraId="03725476" w14:textId="77777777" w:rsidR="00613C08" w:rsidRDefault="00613C08" w:rsidP="00613C08">
      <w:r>
        <w:rPr>
          <w:u w:val="single"/>
        </w:rPr>
        <w:t>Graviditet är en kontraindikation för Akynzeo</w:t>
      </w:r>
      <w:r w:rsidRPr="00DF6B44">
        <w:rPr>
          <w:u w:val="single"/>
          <w:vertAlign w:val="superscript"/>
        </w:rPr>
        <w:t>®</w:t>
      </w:r>
      <w:r>
        <w:rPr>
          <w:u w:val="single"/>
        </w:rPr>
        <w:t xml:space="preserve"> </w:t>
      </w:r>
      <w:r>
        <w:br/>
        <w:t xml:space="preserve">Graviditetstest skall göras före behandling. Effektiv preventivmetod skall användas t.o.m. en månad efter avslutad behandling. Netupitant/palonosetron skall inte användas under amning.  </w:t>
      </w:r>
    </w:p>
    <w:p w14:paraId="541EF122" w14:textId="77777777" w:rsidR="00613C08" w:rsidRDefault="00613C08" w:rsidP="00613C08">
      <w:pPr>
        <w:rPr>
          <w:color w:val="000000" w:themeColor="text2"/>
        </w:rPr>
      </w:pPr>
      <w:r w:rsidRPr="6140246D">
        <w:rPr>
          <w:color w:val="000000" w:themeColor="text2"/>
          <w:u w:val="single"/>
        </w:rPr>
        <w:t>Interaktioner:</w:t>
      </w:r>
      <w:r>
        <w:br/>
        <w:t>Se ovan vad gäller antiemetika av typ 5-HT-3-receptorblockerare</w:t>
      </w:r>
      <w:r w:rsidRPr="6140246D">
        <w:rPr>
          <w:color w:val="000000" w:themeColor="text2"/>
        </w:rPr>
        <w:t>. När Akynzeo</w:t>
      </w:r>
      <w:r w:rsidRPr="6140246D">
        <w:rPr>
          <w:color w:val="000000" w:themeColor="text2"/>
          <w:vertAlign w:val="superscript"/>
        </w:rPr>
        <w:t>®</w:t>
      </w:r>
      <w:r w:rsidRPr="6140246D">
        <w:rPr>
          <w:color w:val="000000" w:themeColor="text2"/>
        </w:rPr>
        <w:t xml:space="preserve"> används samtidigt med en annan CYP3A4-hämmare. kan plasmakoncentrationerna av netupitant öka. När Akynzeo</w:t>
      </w:r>
      <w:r w:rsidRPr="6140246D">
        <w:rPr>
          <w:color w:val="000000" w:themeColor="text2"/>
          <w:vertAlign w:val="superscript"/>
        </w:rPr>
        <w:t>®</w:t>
      </w:r>
      <w:r w:rsidRPr="6140246D">
        <w:rPr>
          <w:color w:val="000000" w:themeColor="text2"/>
        </w:rPr>
        <w:t xml:space="preserve"> används samtidigt med läkemedel som inducerar CYP3A4-aktivitet kan plasmakoncentrationerna av netupitant minska och detta kan resultera i nedsatt effekt. Vid behandling med CYP3A4-substrat (t.ex.docetaxel, etoposid, cyklofosfamid) ökar expositionen för dessa något av Akynzeo</w:t>
      </w:r>
      <w:r w:rsidRPr="6140246D">
        <w:rPr>
          <w:color w:val="000000" w:themeColor="text2"/>
          <w:vertAlign w:val="superscript"/>
        </w:rPr>
        <w:t>®</w:t>
      </w:r>
      <w:r w:rsidRPr="6140246D">
        <w:rPr>
          <w:color w:val="000000" w:themeColor="text2"/>
        </w:rPr>
        <w:t xml:space="preserve"> . Vissa perorala läkemedel som metaboliseras via CYP3A4 och har ett smalt terapeutiskt intervall (t.ex. ciklosporin, takrolimus m.fl.) behöver monitoreras vid samtidig behandling med Akynzeo</w:t>
      </w:r>
      <w:r w:rsidRPr="6140246D">
        <w:rPr>
          <w:color w:val="000000" w:themeColor="text2"/>
          <w:vertAlign w:val="superscript"/>
        </w:rPr>
        <w:t>®</w:t>
      </w:r>
      <w:r w:rsidRPr="6140246D">
        <w:rPr>
          <w:color w:val="000000" w:themeColor="text2"/>
        </w:rPr>
        <w:t>.</w:t>
      </w:r>
    </w:p>
    <w:p w14:paraId="0C584F94" w14:textId="77777777" w:rsidR="008E3A9B" w:rsidRDefault="008E3A9B" w:rsidP="008E3A9B">
      <w:pPr>
        <w:pStyle w:val="Rubrik3"/>
      </w:pPr>
      <w:r w:rsidRPr="005A194F">
        <w:t>Vanliga läkemedel att övervaka vid användning av NK-1 receptor</w:t>
      </w:r>
      <w:r>
        <w:t>blockerare</w:t>
      </w:r>
    </w:p>
    <w:tbl>
      <w:tblPr>
        <w:tblStyle w:val="Tabellrutnt"/>
        <w:tblW w:w="8533" w:type="dxa"/>
        <w:tblInd w:w="1186" w:type="dxa"/>
        <w:tblLayout w:type="fixed"/>
        <w:tblLook w:val="04A0" w:firstRow="1" w:lastRow="0" w:firstColumn="1" w:lastColumn="0" w:noHBand="0" w:noVBand="1"/>
      </w:tblPr>
      <w:tblGrid>
        <w:gridCol w:w="2967"/>
        <w:gridCol w:w="5566"/>
      </w:tblGrid>
      <w:tr w:rsidR="006C301A" w14:paraId="4C7E35A1"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49A2BF42" w14:textId="77777777" w:rsidR="006C301A" w:rsidRPr="005801AB" w:rsidRDefault="006C301A" w:rsidP="00D13347">
            <w:pPr>
              <w:spacing w:after="0"/>
              <w:ind w:left="22"/>
              <w:rPr>
                <w:b/>
                <w:bCs/>
              </w:rPr>
            </w:pPr>
            <w:r w:rsidRPr="005801AB">
              <w:rPr>
                <w:b/>
                <w:bCs/>
              </w:rPr>
              <w:t>Läkemedelsgrupp</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tcPr>
          <w:p w14:paraId="039028E9" w14:textId="77777777" w:rsidR="006C301A" w:rsidRDefault="006C301A" w:rsidP="00D13347">
            <w:pPr>
              <w:spacing w:after="0"/>
              <w:ind w:left="0"/>
              <w:rPr>
                <w:b/>
                <w:bCs/>
              </w:rPr>
            </w:pPr>
            <w:r w:rsidRPr="4AB91102">
              <w:rPr>
                <w:b/>
                <w:bCs/>
              </w:rPr>
              <w:t>Effekt av interaktion med NK1-antagonist</w:t>
            </w:r>
          </w:p>
        </w:tc>
      </w:tr>
      <w:tr w:rsidR="006C301A" w14:paraId="6CAE0C2D"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20DC4A2A" w14:textId="77777777" w:rsidR="006C301A" w:rsidRPr="005801AB" w:rsidRDefault="006C301A" w:rsidP="00D13347">
            <w:pPr>
              <w:spacing w:after="0"/>
              <w:ind w:left="22"/>
              <w:rPr>
                <w:bCs/>
              </w:rPr>
            </w:pPr>
            <w:r w:rsidRPr="005801AB">
              <w:rPr>
                <w:bCs/>
              </w:rPr>
              <w:t>Kortikosteroider</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tcPr>
          <w:p w14:paraId="3E15FD95" w14:textId="77777777" w:rsidR="006C301A" w:rsidRDefault="006C301A" w:rsidP="00D13347">
            <w:pPr>
              <w:spacing w:after="0"/>
              <w:ind w:left="0" w:right="0"/>
            </w:pPr>
            <w:r w:rsidRPr="4AB91102">
              <w:t>Ökad plasmanivå (reducera dos av dexa</w:t>
            </w:r>
            <w:r>
              <w:t>/beta</w:t>
            </w:r>
            <w:r w:rsidRPr="4AB91102">
              <w:t>metason)</w:t>
            </w:r>
          </w:p>
        </w:tc>
      </w:tr>
      <w:tr w:rsidR="006C301A" w14:paraId="2B005152"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6C160C63" w14:textId="77777777" w:rsidR="006C301A" w:rsidRPr="005801AB" w:rsidRDefault="006C301A" w:rsidP="00D13347">
            <w:pPr>
              <w:spacing w:after="0"/>
              <w:ind w:left="22" w:right="-246"/>
              <w:rPr>
                <w:bCs/>
              </w:rPr>
            </w:pPr>
            <w:r w:rsidRPr="005801AB">
              <w:rPr>
                <w:bCs/>
              </w:rPr>
              <w:t>Orala preventivmedel</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tcPr>
          <w:p w14:paraId="24E61D57" w14:textId="77777777" w:rsidR="006C301A" w:rsidRDefault="006C301A" w:rsidP="00D13347">
            <w:pPr>
              <w:spacing w:after="0"/>
              <w:ind w:left="0"/>
            </w:pPr>
            <w:r w:rsidRPr="4AB91102">
              <w:t>Minskad effekt (använd backup-metoder)</w:t>
            </w:r>
          </w:p>
        </w:tc>
      </w:tr>
      <w:tr w:rsidR="006C301A" w14:paraId="11F5006E"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463C91E7" w14:textId="77777777" w:rsidR="006C301A" w:rsidRPr="005801AB" w:rsidRDefault="006C301A" w:rsidP="00D13347">
            <w:pPr>
              <w:spacing w:after="0"/>
              <w:ind w:left="22"/>
              <w:rPr>
                <w:bCs/>
              </w:rPr>
            </w:pPr>
            <w:r w:rsidRPr="005801AB">
              <w:rPr>
                <w:bCs/>
              </w:rPr>
              <w:t>Midazolam</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1CB61FF7" w14:textId="77777777" w:rsidR="006C301A" w:rsidRDefault="006C301A" w:rsidP="00D13347">
            <w:pPr>
              <w:spacing w:after="0"/>
              <w:ind w:left="35"/>
            </w:pPr>
            <w:r w:rsidRPr="4AB91102">
              <w:t>Förstärkt sederande effekt</w:t>
            </w:r>
          </w:p>
        </w:tc>
      </w:tr>
      <w:tr w:rsidR="006C301A" w14:paraId="5ADC8777"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7F1E2A30" w14:textId="77777777" w:rsidR="006C301A" w:rsidRPr="005801AB" w:rsidRDefault="006C301A" w:rsidP="00D13347">
            <w:pPr>
              <w:spacing w:after="0"/>
              <w:ind w:left="0"/>
              <w:rPr>
                <w:bCs/>
              </w:rPr>
            </w:pPr>
            <w:r w:rsidRPr="005801AB">
              <w:rPr>
                <w:bCs/>
              </w:rPr>
              <w:t>Warfarin</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4345766A" w14:textId="77777777" w:rsidR="006C301A" w:rsidRDefault="006C301A" w:rsidP="00D13347">
            <w:pPr>
              <w:spacing w:after="0"/>
              <w:ind w:left="35"/>
            </w:pPr>
            <w:r w:rsidRPr="4AB91102">
              <w:t>Minskad INR (övervaka noggrant)</w:t>
            </w:r>
          </w:p>
        </w:tc>
      </w:tr>
      <w:tr w:rsidR="006C301A" w14:paraId="194DD43E"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5945BA98" w14:textId="77777777" w:rsidR="006C301A" w:rsidRPr="005801AB" w:rsidRDefault="006C301A" w:rsidP="00D13347">
            <w:pPr>
              <w:spacing w:after="0"/>
              <w:ind w:left="22" w:right="-110"/>
              <w:rPr>
                <w:bCs/>
              </w:rPr>
            </w:pPr>
            <w:r w:rsidRPr="005801AB">
              <w:rPr>
                <w:bCs/>
              </w:rPr>
              <w:t>Takrolimus/Ciklosporin</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vAlign w:val="center"/>
          </w:tcPr>
          <w:p w14:paraId="6314354E" w14:textId="77777777" w:rsidR="006C301A" w:rsidRDefault="006C301A" w:rsidP="00D13347">
            <w:pPr>
              <w:spacing w:after="0"/>
              <w:ind w:left="0"/>
            </w:pPr>
            <w:r w:rsidRPr="4AB91102">
              <w:t>Risk för toxicitet (öka nivåövervakning</w:t>
            </w:r>
            <w:r>
              <w:t>en</w:t>
            </w:r>
            <w:r w:rsidRPr="4AB91102">
              <w:t>)</w:t>
            </w:r>
          </w:p>
        </w:tc>
      </w:tr>
      <w:tr w:rsidR="006C301A" w14:paraId="3C964404" w14:textId="77777777" w:rsidTr="006C301A">
        <w:trPr>
          <w:trHeight w:val="300"/>
        </w:trPr>
        <w:tc>
          <w:tcPr>
            <w:tcW w:w="2967" w:type="dxa"/>
            <w:tcBorders>
              <w:top w:val="single" w:sz="8" w:space="0" w:color="auto"/>
              <w:left w:val="single" w:sz="8" w:space="0" w:color="auto"/>
              <w:bottom w:val="single" w:sz="8" w:space="0" w:color="auto"/>
              <w:right w:val="single" w:sz="8" w:space="0" w:color="auto"/>
            </w:tcBorders>
            <w:tcMar>
              <w:left w:w="108" w:type="dxa"/>
              <w:right w:w="108" w:type="dxa"/>
            </w:tcMar>
          </w:tcPr>
          <w:p w14:paraId="59D41F5F" w14:textId="77777777" w:rsidR="006C301A" w:rsidRPr="005801AB" w:rsidRDefault="006C301A" w:rsidP="00D13347">
            <w:pPr>
              <w:spacing w:after="0"/>
              <w:ind w:left="0"/>
              <w:rPr>
                <w:bCs/>
              </w:rPr>
            </w:pPr>
            <w:r w:rsidRPr="005801AB">
              <w:rPr>
                <w:bCs/>
              </w:rPr>
              <w:t>Digoxin</w:t>
            </w:r>
          </w:p>
        </w:tc>
        <w:tc>
          <w:tcPr>
            <w:tcW w:w="5566" w:type="dxa"/>
            <w:tcBorders>
              <w:top w:val="single" w:sz="8" w:space="0" w:color="auto"/>
              <w:left w:val="single" w:sz="8" w:space="0" w:color="auto"/>
              <w:bottom w:val="single" w:sz="8" w:space="0" w:color="auto"/>
              <w:right w:val="single" w:sz="8" w:space="0" w:color="auto"/>
            </w:tcBorders>
            <w:tcMar>
              <w:left w:w="108" w:type="dxa"/>
              <w:right w:w="108" w:type="dxa"/>
            </w:tcMar>
          </w:tcPr>
          <w:p w14:paraId="39C458FA" w14:textId="77777777" w:rsidR="006C301A" w:rsidRPr="005A194F" w:rsidRDefault="006C301A" w:rsidP="00D13347">
            <w:pPr>
              <w:spacing w:after="0"/>
              <w:ind w:left="35" w:right="0"/>
              <w:rPr>
                <w:color w:val="000000" w:themeColor="text2"/>
              </w:rPr>
            </w:pPr>
            <w:r>
              <w:rPr>
                <w:color w:val="000000" w:themeColor="text2"/>
              </w:rPr>
              <w:t>Ökad</w:t>
            </w:r>
            <w:r w:rsidRPr="005A194F">
              <w:rPr>
                <w:color w:val="000000" w:themeColor="text2"/>
              </w:rPr>
              <w:t xml:space="preserve"> </w:t>
            </w:r>
            <w:r>
              <w:rPr>
                <w:color w:val="000000" w:themeColor="text2"/>
              </w:rPr>
              <w:t>serum</w:t>
            </w:r>
            <w:r w:rsidRPr="005A194F">
              <w:rPr>
                <w:color w:val="000000" w:themeColor="text2"/>
              </w:rPr>
              <w:t>nivå (risk för toxicitet</w:t>
            </w:r>
            <w:r>
              <w:rPr>
                <w:color w:val="000000" w:themeColor="text2"/>
              </w:rPr>
              <w:t>, mät S-digoxin</w:t>
            </w:r>
            <w:r w:rsidRPr="005A194F">
              <w:rPr>
                <w:color w:val="000000" w:themeColor="text2"/>
              </w:rPr>
              <w:t>)</w:t>
            </w:r>
          </w:p>
        </w:tc>
      </w:tr>
    </w:tbl>
    <w:p w14:paraId="0F4419EB" w14:textId="505680DB" w:rsidR="00F05C33" w:rsidRDefault="00F05C33" w:rsidP="006C301A">
      <w:pPr>
        <w:autoSpaceDE w:val="0"/>
        <w:autoSpaceDN w:val="0"/>
        <w:adjustRightInd w:val="0"/>
        <w:spacing w:line="240" w:lineRule="auto"/>
        <w:ind w:left="0"/>
        <w:rPr>
          <w:color w:val="000000"/>
        </w:rPr>
      </w:pPr>
    </w:p>
    <w:p w14:paraId="07DC4546" w14:textId="1B6B294F" w:rsidR="00DC3ADD" w:rsidRDefault="00B042D7" w:rsidP="006C301A">
      <w:pPr>
        <w:pStyle w:val="Rubrik3"/>
      </w:pPr>
      <w:r w:rsidRPr="006C301A">
        <w:t>Kortikosteroider</w:t>
      </w:r>
    </w:p>
    <w:p w14:paraId="34C96AAD" w14:textId="2E0E4B89" w:rsidR="00CC4A22" w:rsidRPr="00CC4A22" w:rsidRDefault="00CC4A22" w:rsidP="00CC4A22">
      <w:r w:rsidRPr="00F803F1">
        <w:rPr>
          <w:rStyle w:val="Formatmall2Char"/>
        </w:rPr>
        <w:t>Kortikosteroider för systemiskt bruk som används inom hematologi och onkologi</w:t>
      </w:r>
      <w:r w:rsidRPr="00F803F1" w:rsidDel="009E3465">
        <w:rPr>
          <w:rStyle w:val="Formatmall2Char"/>
        </w:rPr>
        <w:t xml:space="preserve"> </w:t>
      </w:r>
      <w:r w:rsidRPr="00F803F1">
        <w:rPr>
          <w:rStyle w:val="Formatmall2Char"/>
        </w:rPr>
        <w:t>är betametason (Betapred</w:t>
      </w:r>
      <w:r w:rsidRPr="00DF6B44">
        <w:rPr>
          <w:rStyle w:val="Formatmall2Char"/>
          <w:vertAlign w:val="superscript"/>
        </w:rPr>
        <w:t>®</w:t>
      </w:r>
      <w:r w:rsidRPr="00F803F1">
        <w:rPr>
          <w:rStyle w:val="Formatmall2Char"/>
        </w:rPr>
        <w:t>), dexametason (Dexametason</w:t>
      </w:r>
      <w:r w:rsidRPr="00DF6B44">
        <w:rPr>
          <w:rStyle w:val="Formatmall2Char"/>
          <w:vertAlign w:val="superscript"/>
        </w:rPr>
        <w:t>®</w:t>
      </w:r>
      <w:r w:rsidRPr="00F803F1">
        <w:rPr>
          <w:rStyle w:val="Formatmall2Char"/>
        </w:rPr>
        <w:t>, Neofordex</w:t>
      </w:r>
      <w:r w:rsidRPr="00DF6B44">
        <w:rPr>
          <w:rStyle w:val="Formatmall2Char"/>
          <w:vertAlign w:val="superscript"/>
        </w:rPr>
        <w:t>®</w:t>
      </w:r>
      <w:r w:rsidRPr="00F803F1">
        <w:rPr>
          <w:rStyle w:val="Formatmall2Char"/>
        </w:rPr>
        <w:t>), prednisolon (Prednisolon</w:t>
      </w:r>
      <w:r w:rsidRPr="00DF6B44">
        <w:rPr>
          <w:rStyle w:val="Formatmall2Char"/>
          <w:vertAlign w:val="superscript"/>
        </w:rPr>
        <w:t>®</w:t>
      </w:r>
      <w:r w:rsidRPr="00F803F1">
        <w:rPr>
          <w:rStyle w:val="Formatmall2Char"/>
        </w:rPr>
        <w:t>), prednison (Deltison</w:t>
      </w:r>
      <w:r w:rsidRPr="00DF6B44">
        <w:rPr>
          <w:rStyle w:val="Formatmall2Char"/>
          <w:vertAlign w:val="superscript"/>
        </w:rPr>
        <w:t>®</w:t>
      </w:r>
      <w:r w:rsidRPr="00F803F1">
        <w:rPr>
          <w:rStyle w:val="Formatmall2Char"/>
        </w:rPr>
        <w:t>), hydrokortison</w:t>
      </w:r>
      <w:r w:rsidRPr="00DD64A7">
        <w:t xml:space="preserve"> (Solu-Cortef</w:t>
      </w:r>
      <w:r w:rsidRPr="00DD64A7">
        <w:rPr>
          <w:vertAlign w:val="superscript"/>
        </w:rPr>
        <w:t>®</w:t>
      </w:r>
      <w:r w:rsidRPr="00DD64A7">
        <w:t>) och metylprednisolon (Solu-Medrol</w:t>
      </w:r>
      <w:r w:rsidRPr="00DD64A7">
        <w:rPr>
          <w:vertAlign w:val="superscript"/>
        </w:rPr>
        <w:t>®</w:t>
      </w:r>
      <w:r w:rsidRPr="00DD64A7">
        <w:t xml:space="preserve">). De har delvis olika verkningsmekanismer, varför nedanstående tabell över ekvipotenta doser får användas med viss </w:t>
      </w:r>
      <w:r>
        <w:t>försiktighet</w:t>
      </w:r>
      <w:r w:rsidRPr="00DD64A7">
        <w:t xml:space="preserve">.  </w:t>
      </w:r>
    </w:p>
    <w:tbl>
      <w:tblPr>
        <w:tblW w:w="8032" w:type="dxa"/>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0"/>
        <w:gridCol w:w="1740"/>
        <w:gridCol w:w="1665"/>
        <w:gridCol w:w="1308"/>
        <w:gridCol w:w="1729"/>
      </w:tblGrid>
      <w:tr w:rsidR="00A22250" w:rsidRPr="00BF511D" w14:paraId="0A79E990" w14:textId="77777777" w:rsidTr="00A22250">
        <w:trPr>
          <w:trHeight w:val="300"/>
        </w:trPr>
        <w:tc>
          <w:tcPr>
            <w:tcW w:w="1590" w:type="dxa"/>
            <w:shd w:val="clear" w:color="auto" w:fill="auto"/>
            <w:vAlign w:val="center"/>
          </w:tcPr>
          <w:p w14:paraId="22146E12"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lastRenderedPageBreak/>
              <w:t>Läkemedel, mg</w:t>
            </w:r>
          </w:p>
        </w:tc>
        <w:tc>
          <w:tcPr>
            <w:tcW w:w="1740" w:type="dxa"/>
            <w:shd w:val="clear" w:color="auto" w:fill="auto"/>
            <w:vAlign w:val="center"/>
          </w:tcPr>
          <w:p w14:paraId="04CF5DF8" w14:textId="77777777" w:rsidR="00A22250" w:rsidRPr="00BF511D" w:rsidRDefault="00A22250" w:rsidP="00D13347">
            <w:pPr>
              <w:autoSpaceDE w:val="0"/>
              <w:autoSpaceDN w:val="0"/>
              <w:adjustRightInd w:val="0"/>
              <w:spacing w:after="0" w:line="240" w:lineRule="auto"/>
              <w:ind w:left="0" w:right="0"/>
              <w:jc w:val="center"/>
              <w:rPr>
                <w:color w:val="000000"/>
              </w:rPr>
            </w:pPr>
          </w:p>
        </w:tc>
        <w:tc>
          <w:tcPr>
            <w:tcW w:w="1665" w:type="dxa"/>
            <w:shd w:val="clear" w:color="auto" w:fill="auto"/>
            <w:vAlign w:val="center"/>
          </w:tcPr>
          <w:p w14:paraId="225493C4" w14:textId="77777777" w:rsidR="00A22250" w:rsidRPr="00BF511D" w:rsidRDefault="00A22250" w:rsidP="00D13347">
            <w:pPr>
              <w:autoSpaceDE w:val="0"/>
              <w:autoSpaceDN w:val="0"/>
              <w:adjustRightInd w:val="0"/>
              <w:spacing w:after="0" w:line="240" w:lineRule="auto"/>
              <w:ind w:left="0" w:right="0"/>
              <w:jc w:val="center"/>
              <w:rPr>
                <w:color w:val="000000"/>
              </w:rPr>
            </w:pPr>
          </w:p>
        </w:tc>
        <w:tc>
          <w:tcPr>
            <w:tcW w:w="1308" w:type="dxa"/>
            <w:shd w:val="clear" w:color="auto" w:fill="auto"/>
            <w:vAlign w:val="center"/>
          </w:tcPr>
          <w:p w14:paraId="21B5812D" w14:textId="77777777" w:rsidR="00A22250" w:rsidRPr="00BF511D" w:rsidRDefault="00A22250" w:rsidP="00D13347">
            <w:pPr>
              <w:autoSpaceDE w:val="0"/>
              <w:autoSpaceDN w:val="0"/>
              <w:adjustRightInd w:val="0"/>
              <w:spacing w:after="0" w:line="240" w:lineRule="auto"/>
              <w:ind w:left="0" w:right="0"/>
              <w:jc w:val="center"/>
              <w:rPr>
                <w:color w:val="000000"/>
              </w:rPr>
            </w:pPr>
          </w:p>
        </w:tc>
        <w:tc>
          <w:tcPr>
            <w:tcW w:w="1729" w:type="dxa"/>
            <w:shd w:val="clear" w:color="auto" w:fill="auto"/>
            <w:vAlign w:val="center"/>
          </w:tcPr>
          <w:p w14:paraId="4B294CF3" w14:textId="77777777" w:rsidR="00A22250" w:rsidRPr="00BF511D" w:rsidRDefault="00A22250" w:rsidP="00D13347">
            <w:pPr>
              <w:autoSpaceDE w:val="0"/>
              <w:autoSpaceDN w:val="0"/>
              <w:adjustRightInd w:val="0"/>
              <w:spacing w:after="0" w:line="240" w:lineRule="auto"/>
              <w:ind w:left="0" w:right="0"/>
              <w:jc w:val="center"/>
              <w:rPr>
                <w:color w:val="000000"/>
              </w:rPr>
            </w:pPr>
          </w:p>
        </w:tc>
      </w:tr>
      <w:tr w:rsidR="00A22250" w:rsidRPr="00BF511D" w14:paraId="18C694BA" w14:textId="77777777" w:rsidTr="00A22250">
        <w:trPr>
          <w:trHeight w:val="300"/>
        </w:trPr>
        <w:tc>
          <w:tcPr>
            <w:tcW w:w="1590" w:type="dxa"/>
            <w:shd w:val="clear" w:color="auto" w:fill="auto"/>
            <w:vAlign w:val="center"/>
          </w:tcPr>
          <w:p w14:paraId="0201E048"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Betapred</w:t>
            </w:r>
            <w:r w:rsidRPr="00BF511D">
              <w:rPr>
                <w:color w:val="000000"/>
                <w:vertAlign w:val="superscript"/>
              </w:rPr>
              <w:t>®</w:t>
            </w:r>
          </w:p>
        </w:tc>
        <w:tc>
          <w:tcPr>
            <w:tcW w:w="1740" w:type="dxa"/>
            <w:shd w:val="clear" w:color="auto" w:fill="auto"/>
            <w:vAlign w:val="center"/>
          </w:tcPr>
          <w:p w14:paraId="1D05C8A8"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Dexametason</w:t>
            </w:r>
            <w:r w:rsidRPr="00BF511D">
              <w:rPr>
                <w:color w:val="000000"/>
                <w:vertAlign w:val="superscript"/>
              </w:rPr>
              <w:t>®</w:t>
            </w:r>
          </w:p>
        </w:tc>
        <w:tc>
          <w:tcPr>
            <w:tcW w:w="1665" w:type="dxa"/>
            <w:shd w:val="clear" w:color="auto" w:fill="auto"/>
            <w:vAlign w:val="center"/>
          </w:tcPr>
          <w:p w14:paraId="01EF85BE"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Prednisolon</w:t>
            </w:r>
            <w:r w:rsidRPr="00BF511D">
              <w:rPr>
                <w:color w:val="000000"/>
                <w:vertAlign w:val="superscript"/>
              </w:rPr>
              <w:t>®</w:t>
            </w:r>
          </w:p>
          <w:p w14:paraId="5CEA70AF"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Prednison</w:t>
            </w:r>
          </w:p>
        </w:tc>
        <w:tc>
          <w:tcPr>
            <w:tcW w:w="1308" w:type="dxa"/>
            <w:shd w:val="clear" w:color="auto" w:fill="auto"/>
            <w:vAlign w:val="center"/>
          </w:tcPr>
          <w:p w14:paraId="28F1DF4A"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Solu-Medrol</w:t>
            </w:r>
            <w:r w:rsidRPr="00BF511D">
              <w:rPr>
                <w:color w:val="000000"/>
                <w:vertAlign w:val="superscript"/>
              </w:rPr>
              <w:t>®</w:t>
            </w:r>
          </w:p>
        </w:tc>
        <w:tc>
          <w:tcPr>
            <w:tcW w:w="1729" w:type="dxa"/>
            <w:shd w:val="clear" w:color="auto" w:fill="auto"/>
            <w:vAlign w:val="center"/>
          </w:tcPr>
          <w:p w14:paraId="620FF212"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Solu-Cortef</w:t>
            </w:r>
            <w:r w:rsidRPr="00BF511D">
              <w:rPr>
                <w:color w:val="000000"/>
                <w:vertAlign w:val="superscript"/>
              </w:rPr>
              <w:t>®</w:t>
            </w:r>
          </w:p>
        </w:tc>
      </w:tr>
      <w:tr w:rsidR="00A22250" w:rsidRPr="00BF511D" w14:paraId="49E2D02A" w14:textId="77777777" w:rsidTr="00A22250">
        <w:trPr>
          <w:trHeight w:val="300"/>
        </w:trPr>
        <w:tc>
          <w:tcPr>
            <w:tcW w:w="1590" w:type="dxa"/>
            <w:shd w:val="clear" w:color="auto" w:fill="auto"/>
            <w:vAlign w:val="center"/>
          </w:tcPr>
          <w:p w14:paraId="1544648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w:t>
            </w:r>
          </w:p>
        </w:tc>
        <w:tc>
          <w:tcPr>
            <w:tcW w:w="1740" w:type="dxa"/>
            <w:shd w:val="clear" w:color="auto" w:fill="auto"/>
            <w:vAlign w:val="center"/>
          </w:tcPr>
          <w:p w14:paraId="7BD1A1C0"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1,25</w:t>
            </w:r>
          </w:p>
        </w:tc>
        <w:tc>
          <w:tcPr>
            <w:tcW w:w="1665" w:type="dxa"/>
            <w:shd w:val="clear" w:color="auto" w:fill="auto"/>
            <w:vAlign w:val="center"/>
          </w:tcPr>
          <w:p w14:paraId="3437359E"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5</w:t>
            </w:r>
          </w:p>
        </w:tc>
        <w:tc>
          <w:tcPr>
            <w:tcW w:w="1308" w:type="dxa"/>
            <w:shd w:val="clear" w:color="auto" w:fill="auto"/>
            <w:vAlign w:val="center"/>
          </w:tcPr>
          <w:p w14:paraId="4510B368"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4</w:t>
            </w:r>
          </w:p>
        </w:tc>
        <w:tc>
          <w:tcPr>
            <w:tcW w:w="1729" w:type="dxa"/>
            <w:shd w:val="clear" w:color="auto" w:fill="auto"/>
            <w:vAlign w:val="center"/>
          </w:tcPr>
          <w:p w14:paraId="2CBF81C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20</w:t>
            </w:r>
          </w:p>
        </w:tc>
      </w:tr>
      <w:tr w:rsidR="00A22250" w:rsidRPr="00BF511D" w14:paraId="11DF9EFF" w14:textId="77777777" w:rsidTr="00A22250">
        <w:trPr>
          <w:trHeight w:val="300"/>
        </w:trPr>
        <w:tc>
          <w:tcPr>
            <w:tcW w:w="1590" w:type="dxa"/>
            <w:shd w:val="clear" w:color="auto" w:fill="auto"/>
            <w:vAlign w:val="center"/>
          </w:tcPr>
          <w:p w14:paraId="1D58B46D"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4</w:t>
            </w:r>
          </w:p>
        </w:tc>
        <w:tc>
          <w:tcPr>
            <w:tcW w:w="1740" w:type="dxa"/>
            <w:shd w:val="clear" w:color="auto" w:fill="auto"/>
            <w:vAlign w:val="center"/>
          </w:tcPr>
          <w:p w14:paraId="6F0E72EA"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5</w:t>
            </w:r>
          </w:p>
        </w:tc>
        <w:tc>
          <w:tcPr>
            <w:tcW w:w="1665" w:type="dxa"/>
            <w:shd w:val="clear" w:color="auto" w:fill="auto"/>
            <w:vAlign w:val="center"/>
          </w:tcPr>
          <w:p w14:paraId="185B797D"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20</w:t>
            </w:r>
          </w:p>
        </w:tc>
        <w:tc>
          <w:tcPr>
            <w:tcW w:w="1308" w:type="dxa"/>
            <w:shd w:val="clear" w:color="auto" w:fill="auto"/>
            <w:vAlign w:val="center"/>
          </w:tcPr>
          <w:p w14:paraId="08507B44"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16</w:t>
            </w:r>
          </w:p>
        </w:tc>
        <w:tc>
          <w:tcPr>
            <w:tcW w:w="1729" w:type="dxa"/>
            <w:shd w:val="clear" w:color="auto" w:fill="auto"/>
            <w:vAlign w:val="center"/>
          </w:tcPr>
          <w:p w14:paraId="1295A4CA"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80</w:t>
            </w:r>
          </w:p>
        </w:tc>
      </w:tr>
      <w:tr w:rsidR="00A22250" w:rsidRPr="00BF511D" w14:paraId="65042F1B" w14:textId="77777777" w:rsidTr="00A22250">
        <w:trPr>
          <w:trHeight w:val="300"/>
        </w:trPr>
        <w:tc>
          <w:tcPr>
            <w:tcW w:w="1590" w:type="dxa"/>
            <w:shd w:val="clear" w:color="auto" w:fill="auto"/>
            <w:vAlign w:val="center"/>
          </w:tcPr>
          <w:p w14:paraId="4AE3464C"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8</w:t>
            </w:r>
          </w:p>
        </w:tc>
        <w:tc>
          <w:tcPr>
            <w:tcW w:w="1740" w:type="dxa"/>
            <w:shd w:val="clear" w:color="auto" w:fill="auto"/>
            <w:vAlign w:val="center"/>
          </w:tcPr>
          <w:p w14:paraId="0C0CAB2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10</w:t>
            </w:r>
          </w:p>
        </w:tc>
        <w:tc>
          <w:tcPr>
            <w:tcW w:w="1665" w:type="dxa"/>
            <w:shd w:val="clear" w:color="auto" w:fill="auto"/>
            <w:vAlign w:val="center"/>
          </w:tcPr>
          <w:p w14:paraId="5D0EACF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40</w:t>
            </w:r>
          </w:p>
        </w:tc>
        <w:tc>
          <w:tcPr>
            <w:tcW w:w="1308" w:type="dxa"/>
            <w:shd w:val="clear" w:color="auto" w:fill="auto"/>
            <w:vAlign w:val="center"/>
          </w:tcPr>
          <w:p w14:paraId="170E699B"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32</w:t>
            </w:r>
          </w:p>
        </w:tc>
        <w:tc>
          <w:tcPr>
            <w:tcW w:w="1729" w:type="dxa"/>
            <w:shd w:val="clear" w:color="auto" w:fill="auto"/>
            <w:vAlign w:val="center"/>
          </w:tcPr>
          <w:p w14:paraId="1EF62C0A"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160</w:t>
            </w:r>
          </w:p>
        </w:tc>
      </w:tr>
      <w:tr w:rsidR="00A22250" w:rsidRPr="00BF511D" w14:paraId="2AA11C13" w14:textId="77777777" w:rsidTr="00A22250">
        <w:trPr>
          <w:trHeight w:val="300"/>
        </w:trPr>
        <w:tc>
          <w:tcPr>
            <w:tcW w:w="1590" w:type="dxa"/>
            <w:shd w:val="clear" w:color="auto" w:fill="auto"/>
            <w:vAlign w:val="center"/>
          </w:tcPr>
          <w:p w14:paraId="6C9016D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15</w:t>
            </w:r>
          </w:p>
        </w:tc>
        <w:tc>
          <w:tcPr>
            <w:tcW w:w="1740" w:type="dxa"/>
            <w:shd w:val="clear" w:color="auto" w:fill="auto"/>
            <w:vAlign w:val="center"/>
          </w:tcPr>
          <w:p w14:paraId="6EC935DB"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18,75</w:t>
            </w:r>
          </w:p>
        </w:tc>
        <w:tc>
          <w:tcPr>
            <w:tcW w:w="1665" w:type="dxa"/>
            <w:shd w:val="clear" w:color="auto" w:fill="auto"/>
            <w:vAlign w:val="center"/>
          </w:tcPr>
          <w:p w14:paraId="3824073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75</w:t>
            </w:r>
          </w:p>
        </w:tc>
        <w:tc>
          <w:tcPr>
            <w:tcW w:w="1308" w:type="dxa"/>
            <w:shd w:val="clear" w:color="auto" w:fill="auto"/>
            <w:vAlign w:val="center"/>
          </w:tcPr>
          <w:p w14:paraId="5935E880"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60</w:t>
            </w:r>
          </w:p>
        </w:tc>
        <w:tc>
          <w:tcPr>
            <w:tcW w:w="1729" w:type="dxa"/>
            <w:shd w:val="clear" w:color="auto" w:fill="auto"/>
            <w:vAlign w:val="center"/>
          </w:tcPr>
          <w:p w14:paraId="04256BB1"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300</w:t>
            </w:r>
          </w:p>
        </w:tc>
      </w:tr>
      <w:tr w:rsidR="00A22250" w:rsidRPr="00BF511D" w14:paraId="131526E9" w14:textId="77777777" w:rsidTr="00A22250">
        <w:trPr>
          <w:trHeight w:val="300"/>
        </w:trPr>
        <w:tc>
          <w:tcPr>
            <w:tcW w:w="1590" w:type="dxa"/>
            <w:shd w:val="clear" w:color="auto" w:fill="auto"/>
            <w:vAlign w:val="center"/>
          </w:tcPr>
          <w:p w14:paraId="01BED64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20</w:t>
            </w:r>
          </w:p>
        </w:tc>
        <w:tc>
          <w:tcPr>
            <w:tcW w:w="1740" w:type="dxa"/>
            <w:shd w:val="clear" w:color="auto" w:fill="auto"/>
            <w:vAlign w:val="center"/>
          </w:tcPr>
          <w:p w14:paraId="112F1F50"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25</w:t>
            </w:r>
          </w:p>
        </w:tc>
        <w:tc>
          <w:tcPr>
            <w:tcW w:w="1665" w:type="dxa"/>
            <w:shd w:val="clear" w:color="auto" w:fill="auto"/>
            <w:vAlign w:val="center"/>
          </w:tcPr>
          <w:p w14:paraId="57D0F86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100</w:t>
            </w:r>
          </w:p>
        </w:tc>
        <w:tc>
          <w:tcPr>
            <w:tcW w:w="1308" w:type="dxa"/>
            <w:shd w:val="clear" w:color="auto" w:fill="auto"/>
            <w:vAlign w:val="center"/>
          </w:tcPr>
          <w:p w14:paraId="06D6B568"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80</w:t>
            </w:r>
          </w:p>
        </w:tc>
        <w:tc>
          <w:tcPr>
            <w:tcW w:w="1729" w:type="dxa"/>
            <w:shd w:val="clear" w:color="auto" w:fill="auto"/>
            <w:vAlign w:val="center"/>
          </w:tcPr>
          <w:p w14:paraId="75FA016A"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400</w:t>
            </w:r>
          </w:p>
        </w:tc>
      </w:tr>
      <w:tr w:rsidR="00A22250" w:rsidRPr="00BF511D" w14:paraId="4DD62631" w14:textId="77777777" w:rsidTr="00A22250">
        <w:trPr>
          <w:trHeight w:val="300"/>
        </w:trPr>
        <w:tc>
          <w:tcPr>
            <w:tcW w:w="1590" w:type="dxa"/>
            <w:shd w:val="clear" w:color="auto" w:fill="auto"/>
            <w:vAlign w:val="center"/>
          </w:tcPr>
          <w:p w14:paraId="2D82859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32</w:t>
            </w:r>
          </w:p>
        </w:tc>
        <w:tc>
          <w:tcPr>
            <w:tcW w:w="1740" w:type="dxa"/>
            <w:shd w:val="clear" w:color="auto" w:fill="auto"/>
            <w:vAlign w:val="center"/>
          </w:tcPr>
          <w:p w14:paraId="034C06F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40</w:t>
            </w:r>
          </w:p>
        </w:tc>
        <w:tc>
          <w:tcPr>
            <w:tcW w:w="1665" w:type="dxa"/>
            <w:shd w:val="clear" w:color="auto" w:fill="auto"/>
            <w:vAlign w:val="center"/>
          </w:tcPr>
          <w:p w14:paraId="16B3F70B"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160</w:t>
            </w:r>
          </w:p>
        </w:tc>
        <w:tc>
          <w:tcPr>
            <w:tcW w:w="1308" w:type="dxa"/>
            <w:shd w:val="clear" w:color="auto" w:fill="auto"/>
            <w:vAlign w:val="center"/>
          </w:tcPr>
          <w:p w14:paraId="1119152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128</w:t>
            </w:r>
          </w:p>
        </w:tc>
        <w:tc>
          <w:tcPr>
            <w:tcW w:w="1729" w:type="dxa"/>
            <w:shd w:val="clear" w:color="auto" w:fill="auto"/>
            <w:vAlign w:val="center"/>
          </w:tcPr>
          <w:p w14:paraId="0A4D2D7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640</w:t>
            </w:r>
          </w:p>
        </w:tc>
      </w:tr>
      <w:tr w:rsidR="00A22250" w:rsidRPr="00BF511D" w14:paraId="7DEFFC61" w14:textId="77777777" w:rsidTr="00A22250">
        <w:trPr>
          <w:trHeight w:val="300"/>
        </w:trPr>
        <w:tc>
          <w:tcPr>
            <w:tcW w:w="1590" w:type="dxa"/>
            <w:shd w:val="clear" w:color="auto" w:fill="auto"/>
            <w:vAlign w:val="center"/>
          </w:tcPr>
          <w:p w14:paraId="2B83F839"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40</w:t>
            </w:r>
          </w:p>
        </w:tc>
        <w:tc>
          <w:tcPr>
            <w:tcW w:w="1740" w:type="dxa"/>
            <w:shd w:val="clear" w:color="auto" w:fill="auto"/>
            <w:vAlign w:val="center"/>
          </w:tcPr>
          <w:p w14:paraId="00D6750F"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50</w:t>
            </w:r>
          </w:p>
        </w:tc>
        <w:tc>
          <w:tcPr>
            <w:tcW w:w="1665" w:type="dxa"/>
            <w:shd w:val="clear" w:color="auto" w:fill="auto"/>
            <w:vAlign w:val="center"/>
          </w:tcPr>
          <w:p w14:paraId="3E556577"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200</w:t>
            </w:r>
          </w:p>
        </w:tc>
        <w:tc>
          <w:tcPr>
            <w:tcW w:w="1308" w:type="dxa"/>
            <w:shd w:val="clear" w:color="auto" w:fill="auto"/>
            <w:vAlign w:val="center"/>
          </w:tcPr>
          <w:p w14:paraId="6D2255BA"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160</w:t>
            </w:r>
          </w:p>
        </w:tc>
        <w:tc>
          <w:tcPr>
            <w:tcW w:w="1729" w:type="dxa"/>
            <w:shd w:val="clear" w:color="auto" w:fill="auto"/>
            <w:vAlign w:val="center"/>
          </w:tcPr>
          <w:p w14:paraId="593FC185" w14:textId="77777777" w:rsidR="00A22250" w:rsidRPr="00BF511D" w:rsidRDefault="00A22250" w:rsidP="00D13347">
            <w:pPr>
              <w:autoSpaceDE w:val="0"/>
              <w:autoSpaceDN w:val="0"/>
              <w:adjustRightInd w:val="0"/>
              <w:spacing w:after="0" w:line="240" w:lineRule="auto"/>
              <w:ind w:left="0" w:right="0"/>
              <w:jc w:val="center"/>
              <w:rPr>
                <w:color w:val="000000"/>
              </w:rPr>
            </w:pPr>
            <w:r w:rsidRPr="00BF511D">
              <w:rPr>
                <w:color w:val="000000"/>
              </w:rPr>
              <w:t>800</w:t>
            </w:r>
          </w:p>
        </w:tc>
      </w:tr>
    </w:tbl>
    <w:p w14:paraId="66C5DB60" w14:textId="77777777" w:rsidR="007352A4" w:rsidRDefault="007352A4" w:rsidP="007352A4">
      <w:pPr>
        <w:rPr>
          <w:rFonts w:eastAsiaTheme="majorEastAsia"/>
        </w:rPr>
      </w:pPr>
    </w:p>
    <w:p w14:paraId="282C63A3" w14:textId="509E5F96" w:rsidR="00DC3ADD" w:rsidRDefault="007352A4" w:rsidP="007352A4">
      <w:pPr>
        <w:rPr>
          <w:rStyle w:val="Formatmall2Char"/>
        </w:rPr>
      </w:pPr>
      <w:r w:rsidRPr="00626555">
        <w:rPr>
          <w:rFonts w:eastAsiaTheme="majorEastAsia"/>
        </w:rPr>
        <w:t xml:space="preserve">Hur kortison verkar mot illamående är inte fullständigt klarlagt. Högdos kortikosteroider ingår i åtskilliga </w:t>
      </w:r>
      <w:r>
        <w:rPr>
          <w:rFonts w:eastAsiaTheme="majorEastAsia"/>
        </w:rPr>
        <w:t>antitumorala regimer</w:t>
      </w:r>
      <w:r w:rsidRPr="00626555">
        <w:rPr>
          <w:rFonts w:eastAsiaTheme="majorEastAsia"/>
        </w:rPr>
        <w:t xml:space="preserve">, ibland för att minska tumörödem. Kortikosteroider i lägre doser kan även förebygga och behandla både </w:t>
      </w:r>
      <w:r>
        <w:rPr>
          <w:rFonts w:eastAsiaTheme="majorEastAsia"/>
        </w:rPr>
        <w:t>medicinskt</w:t>
      </w:r>
      <w:r w:rsidRPr="00626555">
        <w:rPr>
          <w:rFonts w:eastAsiaTheme="majorEastAsia"/>
        </w:rPr>
        <w:t>- och strålbehandlingsorsakat akut eller fördröjt illamående. Det ges ofta som tillägg till andra antiemetika (se ovan). Betapred i låg dos kan skydda blodkärl när vävnadstoxiska läkemedel ges perifert.</w:t>
      </w:r>
    </w:p>
    <w:p w14:paraId="34C4CB32" w14:textId="3E77CA67" w:rsidR="00B6618F" w:rsidRDefault="00B042D7" w:rsidP="007352A4">
      <w:pPr>
        <w:pStyle w:val="Rubrik3"/>
      </w:pPr>
      <w:r w:rsidRPr="00F803F1">
        <w:t xml:space="preserve">Betametason </w:t>
      </w:r>
    </w:p>
    <w:p w14:paraId="0F9F00C8" w14:textId="77777777" w:rsidR="000B63CA" w:rsidRDefault="000B63CA" w:rsidP="000B63CA">
      <w:pPr>
        <w:rPr>
          <w:b/>
        </w:rPr>
      </w:pPr>
      <w:r w:rsidRPr="00DD64A7">
        <w:t>Dosering</w:t>
      </w:r>
      <w:r>
        <w:t xml:space="preserve"> </w:t>
      </w:r>
      <w:r w:rsidRPr="00DD64A7">
        <w:t>Betapred</w:t>
      </w:r>
      <w:r w:rsidRPr="00DD64A7">
        <w:rPr>
          <w:vertAlign w:val="superscript"/>
        </w:rPr>
        <w:t>®</w:t>
      </w:r>
      <w:r w:rsidRPr="00DD64A7">
        <w:t xml:space="preserve"> </w:t>
      </w:r>
      <w:r>
        <w:t>:</w:t>
      </w:r>
      <w:r>
        <w:br/>
      </w:r>
      <w:r w:rsidRPr="00DD64A7">
        <w:t>Lämplig dos är 4–12 mg mot akut illamående. Lägsta möjliga dos ska eftersträvas.</w:t>
      </w:r>
      <w:r>
        <w:br/>
      </w:r>
      <w:r w:rsidRPr="00DD64A7">
        <w:rPr>
          <w:b/>
        </w:rPr>
        <w:t>Observera</w:t>
      </w:r>
      <w:r w:rsidRPr="00DD64A7">
        <w:t xml:space="preserve"> att i de behandlingar där Betapred</w:t>
      </w:r>
      <w:r w:rsidRPr="00DD64A7">
        <w:rPr>
          <w:vertAlign w:val="superscript"/>
        </w:rPr>
        <w:t>®</w:t>
      </w:r>
      <w:r w:rsidRPr="00DD64A7">
        <w:t xml:space="preserve"> ingår, till exempel som både premedicinering och antiemetikum, ska den högsta angivna dosen i behandlingen eller antiemetika riktlinjen ges.</w:t>
      </w:r>
      <w:r w:rsidRPr="00DD64A7">
        <w:rPr>
          <w:b/>
        </w:rPr>
        <w:t xml:space="preserve"> </w:t>
      </w:r>
    </w:p>
    <w:p w14:paraId="61EDBD10" w14:textId="77777777" w:rsidR="000B63CA" w:rsidRPr="00DD64A7" w:rsidRDefault="000B63CA" w:rsidP="000B63CA">
      <w:r w:rsidRPr="000C0ECF">
        <w:rPr>
          <w:u w:val="single"/>
        </w:rPr>
        <w:t>Vanliga biverkningar:</w:t>
      </w:r>
      <w:r>
        <w:br/>
      </w:r>
      <w:r w:rsidRPr="00DD64A7">
        <w:t>Betametason ska inte tas på fastande mage på grund av ökad risk för magsår. Överväg magskydd med PPI-läkemedel fr.a. vid höga doser kortikosteroider, eftersom den antiinflammatoriska effekten kan maskera buksmärtor vid magsår. Andra biverkningar är; ökad psykisk aktivitet/sömnbesvär</w:t>
      </w:r>
      <w:r>
        <w:t xml:space="preserve"> (undvik kvällsdoser om möjligt)</w:t>
      </w:r>
      <w:r w:rsidRPr="00DD64A7">
        <w:t xml:space="preserve">, aktivering av psykisk sjukdom, aktivering eller försämring av diabetes mellitus, ökad matlust, hudrodnad/flush i ansiktet, acne och ökad risk för svampinfektion i munnen. Risk för osteoporos finns men är mindre om kortikosteroider ges intermittent.   </w:t>
      </w:r>
    </w:p>
    <w:p w14:paraId="395975C4" w14:textId="7CAD8B2C" w:rsidR="00B042D7" w:rsidRDefault="00B042D7" w:rsidP="000B63CA">
      <w:pPr>
        <w:pStyle w:val="Rubrik3"/>
      </w:pPr>
      <w:r w:rsidRPr="005104F8">
        <w:t>Neuroleptikum</w:t>
      </w:r>
    </w:p>
    <w:p w14:paraId="2851C205" w14:textId="77777777" w:rsidR="006F5ABC" w:rsidRDefault="006F5ABC" w:rsidP="006F5ABC">
      <w:r w:rsidRPr="00DD64A7">
        <w:rPr>
          <w:b/>
        </w:rPr>
        <w:t xml:space="preserve">Olanzapine </w:t>
      </w:r>
      <w:r>
        <w:t>(Olanzapin</w:t>
      </w:r>
      <w:r w:rsidRPr="00990EF1">
        <w:rPr>
          <w:vertAlign w:val="superscript"/>
        </w:rPr>
        <w:t>®</w:t>
      </w:r>
      <w:r>
        <w:t>, Zyprexa</w:t>
      </w:r>
      <w:r w:rsidRPr="00990EF1">
        <w:rPr>
          <w:vertAlign w:val="superscript"/>
        </w:rPr>
        <w:t>®</w:t>
      </w:r>
      <w:r>
        <w:t>, Zalasta</w:t>
      </w:r>
      <w:r w:rsidRPr="00990EF1">
        <w:rPr>
          <w:vertAlign w:val="superscript"/>
        </w:rPr>
        <w:t>®</w:t>
      </w:r>
      <w:r>
        <w:t>)</w:t>
      </w:r>
      <w:r>
        <w:br/>
      </w:r>
      <w:r w:rsidRPr="00DD64A7">
        <w:t xml:space="preserve">är ett atypiskt neuroleptikum </w:t>
      </w:r>
      <w:r w:rsidRPr="00DD64A7">
        <w:rPr>
          <w:rFonts w:eastAsia="+mn-ea"/>
          <w:kern w:val="24"/>
        </w:rPr>
        <w:t>som blockerar dopaminreceptorer, 5</w:t>
      </w:r>
      <w:r>
        <w:rPr>
          <w:rFonts w:eastAsia="+mn-ea"/>
          <w:kern w:val="24"/>
        </w:rPr>
        <w:t>-</w:t>
      </w:r>
      <w:r w:rsidRPr="00DD64A7">
        <w:rPr>
          <w:rFonts w:eastAsia="+mn-ea"/>
          <w:kern w:val="24"/>
        </w:rPr>
        <w:t>HT-2, 5</w:t>
      </w:r>
      <w:r>
        <w:rPr>
          <w:rFonts w:eastAsia="+mn-ea"/>
          <w:kern w:val="24"/>
        </w:rPr>
        <w:t>-</w:t>
      </w:r>
      <w:r w:rsidRPr="00DD64A7">
        <w:rPr>
          <w:rFonts w:eastAsia="+mn-ea"/>
          <w:kern w:val="24"/>
        </w:rPr>
        <w:t>HT-3, 5</w:t>
      </w:r>
      <w:r>
        <w:rPr>
          <w:rFonts w:eastAsia="+mn-ea"/>
          <w:kern w:val="24"/>
        </w:rPr>
        <w:t>-</w:t>
      </w:r>
      <w:r w:rsidRPr="00DD64A7">
        <w:rPr>
          <w:rFonts w:eastAsia="+mn-ea"/>
          <w:kern w:val="24"/>
        </w:rPr>
        <w:t>HT-6, muskarina, alfa-adrenerga och histaminreceptorer.</w:t>
      </w:r>
      <w:r w:rsidRPr="00DD64A7">
        <w:t xml:space="preserve"> </w:t>
      </w:r>
      <w:r>
        <w:t>Huvudindikationerna är psykiatrisk sjukdom (psykos) men det h</w:t>
      </w:r>
      <w:r w:rsidRPr="00DD64A7">
        <w:t xml:space="preserve">ar </w:t>
      </w:r>
      <w:r>
        <w:t xml:space="preserve">i låga doser </w:t>
      </w:r>
      <w:r w:rsidRPr="00DD64A7">
        <w:t>god effekt på både akut och fördröjt illamående.</w:t>
      </w:r>
      <w:r>
        <w:t xml:space="preserve"> Viktigt att denna indikation framgår av ev. recept och att informera patienten.</w:t>
      </w:r>
    </w:p>
    <w:p w14:paraId="32EDAB99" w14:textId="4B57F2E0" w:rsidR="006F5ABC" w:rsidRPr="006F5ABC" w:rsidRDefault="006F5ABC" w:rsidP="006F5ABC">
      <w:r w:rsidRPr="0219CBE1">
        <w:rPr>
          <w:color w:val="000000" w:themeColor="text2"/>
          <w:u w:val="single"/>
        </w:rPr>
        <w:lastRenderedPageBreak/>
        <w:t>Dosering</w:t>
      </w:r>
      <w:r w:rsidRPr="0219CBE1">
        <w:rPr>
          <w:color w:val="000000" w:themeColor="text2"/>
        </w:rPr>
        <w:t>:</w:t>
      </w:r>
      <w:r>
        <w:br/>
        <w:t>Olanzapin</w:t>
      </w:r>
      <w:r w:rsidRPr="0219CBE1">
        <w:rPr>
          <w:vertAlign w:val="superscript"/>
        </w:rPr>
        <w:t>®</w:t>
      </w:r>
      <w:r>
        <w:t xml:space="preserve"> har lång halveringstid (längre hos patienter &gt; 65 år) och i en del antiemetikasteg rekommenderas 2,5-5 mg till natten (se </w:t>
      </w:r>
      <w:hyperlink r:id="rId25" w:history="1">
        <w:r w:rsidRPr="0219CBE1">
          <w:rPr>
            <w:rStyle w:val="Hyperlnk"/>
          </w:rPr>
          <w:t xml:space="preserve">Antiemetika vuxen </w:t>
        </w:r>
        <w:r>
          <w:t xml:space="preserve"> –</w:t>
        </w:r>
        <w:r w:rsidRPr="0219CBE1">
          <w:rPr>
            <w:rStyle w:val="Hyperlnk"/>
          </w:rPr>
          <w:t xml:space="preserve"> RCC Kunskapsbanken</w:t>
        </w:r>
      </w:hyperlink>
      <w:r>
        <w:t xml:space="preserve"> ). Det kan även ges dagtid, lämplig startdos 2,5 mg 1-4 gånger dagligen. Maximal rekommenderad dos är 10 mg/dygn. Bör inte ges samtidigt som metoklopramid (Primperan</w:t>
      </w:r>
      <w:r w:rsidRPr="0219CBE1">
        <w:rPr>
          <w:vertAlign w:val="superscript"/>
        </w:rPr>
        <w:t>®</w:t>
      </w:r>
      <w:r>
        <w:t xml:space="preserve">) då dessa har liknande verkningsmekanism. Försiktighet vid samtidig CNS-dämpande behandling. Bör ej kombineras med alkohol. </w:t>
      </w:r>
      <w:r>
        <w:br/>
      </w:r>
      <w:r w:rsidRPr="000C0ECF">
        <w:rPr>
          <w:bCs/>
          <w:u w:val="single"/>
        </w:rPr>
        <w:t>Kontraindikationer:</w:t>
      </w:r>
    </w:p>
    <w:p w14:paraId="62DCD1D0" w14:textId="77777777" w:rsidR="006F5ABC" w:rsidRPr="0061376F" w:rsidRDefault="006F5ABC" w:rsidP="006F5ABC">
      <w:pPr>
        <w:rPr>
          <w:bCs/>
        </w:rPr>
      </w:pPr>
      <w:r>
        <w:rPr>
          <w:bCs/>
        </w:rPr>
        <w:t>Överkänslighet mot jordnötter eller soja, trångvinkelglaukom (grön starr).</w:t>
      </w:r>
    </w:p>
    <w:p w14:paraId="4C6A1278" w14:textId="77777777" w:rsidR="006F5ABC" w:rsidRDefault="006F5ABC" w:rsidP="006F5ABC">
      <w:r w:rsidRPr="0061376F">
        <w:rPr>
          <w:bCs/>
          <w:u w:val="single"/>
        </w:rPr>
        <w:t>Vanliga biverkningar</w:t>
      </w:r>
      <w:r w:rsidRPr="00DD64A7">
        <w:rPr>
          <w:bCs/>
        </w:rPr>
        <w:t>:</w:t>
      </w:r>
      <w:r>
        <w:br/>
        <w:t>Trötthet</w:t>
      </w:r>
      <w:r w:rsidRPr="00DD64A7">
        <w:t>. Muntorrhet.</w:t>
      </w:r>
      <w:r>
        <w:t xml:space="preserve"> Yrsel och dyskinesi kan förekomma. Förhöjt B-glukos och blodfetter, viktuppgång. Eosinofili, leukopeni, neutropeni. </w:t>
      </w:r>
    </w:p>
    <w:p w14:paraId="1C5373BE" w14:textId="77777777" w:rsidR="006F5ABC" w:rsidRDefault="006F5ABC" w:rsidP="006F5ABC">
      <w:pPr>
        <w:rPr>
          <w:bCs/>
        </w:rPr>
      </w:pPr>
      <w:r w:rsidRPr="0061376F">
        <w:rPr>
          <w:bCs/>
          <w:u w:val="single"/>
        </w:rPr>
        <w:t>Trafik och maskiner</w:t>
      </w:r>
      <w:r>
        <w:rPr>
          <w:bCs/>
        </w:rPr>
        <w:t>:</w:t>
      </w:r>
      <w:r>
        <w:br/>
      </w:r>
      <w:r>
        <w:rPr>
          <w:bCs/>
        </w:rPr>
        <w:t xml:space="preserve">Patienten skall informeras om att avhålla sig från detta fr.a. vid trötthet/yrsel. </w:t>
      </w:r>
    </w:p>
    <w:p w14:paraId="488BF3F3" w14:textId="77777777" w:rsidR="006F5ABC" w:rsidRPr="00DD64A7" w:rsidRDefault="006F5ABC" w:rsidP="006F5ABC">
      <w:r w:rsidRPr="0061376F">
        <w:rPr>
          <w:bCs/>
          <w:u w:val="single"/>
        </w:rPr>
        <w:t>Graviditet och amning</w:t>
      </w:r>
      <w:r>
        <w:rPr>
          <w:bCs/>
        </w:rPr>
        <w:t xml:space="preserve">: </w:t>
      </w:r>
      <w:r>
        <w:br/>
      </w:r>
      <w:r>
        <w:rPr>
          <w:bCs/>
        </w:rPr>
        <w:t>Graviditet bör undvikas, det finns risk för påverkan av foster och nyfött barn. Amning bör undvikas.</w:t>
      </w:r>
    </w:p>
    <w:p w14:paraId="3D0B519F" w14:textId="77777777" w:rsidR="00EF3C90" w:rsidRDefault="00B042D7" w:rsidP="006F5ABC">
      <w:pPr>
        <w:pStyle w:val="Rubrik3"/>
      </w:pPr>
      <w:r w:rsidRPr="00D97F07">
        <w:t>D-2</w:t>
      </w:r>
      <w:r w:rsidR="008C7FE2">
        <w:t>-receptorblockerare</w:t>
      </w:r>
    </w:p>
    <w:p w14:paraId="3D0C7072" w14:textId="77777777" w:rsidR="00EF3C90" w:rsidRPr="00D97F07" w:rsidRDefault="00EF3C90" w:rsidP="00EF3C90">
      <w:r w:rsidRPr="00DD64A7">
        <w:rPr>
          <w:b/>
        </w:rPr>
        <w:t xml:space="preserve">Metoklopramid </w:t>
      </w:r>
      <w:r w:rsidRPr="00DD64A7">
        <w:t>(</w:t>
      </w:r>
      <w:r w:rsidRPr="0061376F">
        <w:t>Metoclopramide</w:t>
      </w:r>
      <w:r w:rsidRPr="0061376F">
        <w:rPr>
          <w:vertAlign w:val="superscript"/>
        </w:rPr>
        <w:t>®</w:t>
      </w:r>
      <w:r w:rsidRPr="0061376F">
        <w:t>, Primperan</w:t>
      </w:r>
      <w:r w:rsidRPr="0061376F">
        <w:rPr>
          <w:vertAlign w:val="superscript"/>
        </w:rPr>
        <w:t>®</w:t>
      </w:r>
      <w:r w:rsidRPr="0061376F">
        <w:t>)</w:t>
      </w:r>
    </w:p>
    <w:p w14:paraId="13EA1208" w14:textId="11EDA959" w:rsidR="00EF3C90" w:rsidRPr="00EF3C90" w:rsidRDefault="00EF3C90" w:rsidP="00EF3C90">
      <w:pPr>
        <w:rPr>
          <w:color w:val="000000"/>
          <w:kern w:val="24"/>
        </w:rPr>
      </w:pPr>
      <w:r>
        <w:rPr>
          <w:color w:val="000000"/>
          <w:kern w:val="24"/>
        </w:rPr>
        <w:t xml:space="preserve">Detta läkemedel finns inte längre med i internationella rekommendationer, men kan användas som ett komplement. </w:t>
      </w:r>
    </w:p>
    <w:p w14:paraId="15C267B1" w14:textId="45E59F2D" w:rsidR="00EF3C90" w:rsidRDefault="00EF3C90" w:rsidP="00EF3C90">
      <w:pPr>
        <w:rPr>
          <w:color w:val="000000"/>
          <w:kern w:val="24"/>
          <w:u w:val="single"/>
        </w:rPr>
      </w:pPr>
      <w:r w:rsidRPr="0061376F">
        <w:rPr>
          <w:color w:val="000000"/>
          <w:kern w:val="24"/>
          <w:u w:val="single"/>
        </w:rPr>
        <w:t>Vanliga biverkningar</w:t>
      </w:r>
      <w:r>
        <w:rPr>
          <w:color w:val="000000"/>
          <w:kern w:val="24"/>
        </w:rPr>
        <w:t>:</w:t>
      </w:r>
      <w:r>
        <w:rPr>
          <w:color w:val="000000"/>
          <w:kern w:val="24"/>
        </w:rPr>
        <w:br/>
      </w:r>
      <w:r w:rsidRPr="00DD64A7">
        <w:rPr>
          <w:color w:val="000000"/>
          <w:kern w:val="24"/>
        </w:rPr>
        <w:t>Extrapyramidala biverkningar framför allt hos yngre patienter (antidot</w:t>
      </w:r>
      <w:r>
        <w:rPr>
          <w:color w:val="000000"/>
          <w:kern w:val="24"/>
        </w:rPr>
        <w:t xml:space="preserve"> biperiden</w:t>
      </w:r>
      <w:r w:rsidRPr="00DD64A7">
        <w:rPr>
          <w:color w:val="000000"/>
          <w:kern w:val="24"/>
        </w:rPr>
        <w:t xml:space="preserve"> </w:t>
      </w:r>
      <w:r>
        <w:rPr>
          <w:color w:val="000000"/>
          <w:kern w:val="24"/>
        </w:rPr>
        <w:t>(</w:t>
      </w:r>
      <w:r w:rsidRPr="00DD64A7">
        <w:rPr>
          <w:color w:val="000000"/>
          <w:kern w:val="24"/>
        </w:rPr>
        <w:t>Akineton</w:t>
      </w:r>
      <w:r w:rsidRPr="0050393B">
        <w:rPr>
          <w:color w:val="000000"/>
          <w:kern w:val="24"/>
          <w:vertAlign w:val="superscript"/>
        </w:rPr>
        <w:t>®</w:t>
      </w:r>
      <w:r w:rsidRPr="00DD64A7">
        <w:rPr>
          <w:color w:val="000000"/>
          <w:kern w:val="24"/>
        </w:rPr>
        <w:t>)</w:t>
      </w:r>
      <w:r>
        <w:rPr>
          <w:color w:val="000000"/>
          <w:kern w:val="24"/>
        </w:rPr>
        <w:t>)</w:t>
      </w:r>
      <w:r w:rsidRPr="00DD64A7">
        <w:rPr>
          <w:color w:val="000000"/>
          <w:kern w:val="24"/>
        </w:rPr>
        <w:t>. Metoklopramid ökar peristaltiken och är därför kontraindicerat vid total stopp i magtarmkanalen.</w:t>
      </w:r>
    </w:p>
    <w:p w14:paraId="5E10C046" w14:textId="77777777" w:rsidR="00EF3C90" w:rsidRPr="00D97F07" w:rsidRDefault="00EF3C90" w:rsidP="00EF3C90">
      <w:pPr>
        <w:rPr>
          <w:color w:val="000000"/>
          <w:kern w:val="24"/>
        </w:rPr>
      </w:pPr>
      <w:r w:rsidRPr="0061376F">
        <w:rPr>
          <w:color w:val="000000"/>
          <w:kern w:val="24"/>
          <w:u w:val="single"/>
        </w:rPr>
        <w:t>Dosering</w:t>
      </w:r>
      <w:r>
        <w:rPr>
          <w:color w:val="000000"/>
          <w:kern w:val="24"/>
        </w:rPr>
        <w:t>:</w:t>
      </w:r>
      <w:r>
        <w:rPr>
          <w:color w:val="000000"/>
          <w:kern w:val="24"/>
        </w:rPr>
        <w:br/>
      </w:r>
      <w:r w:rsidRPr="00DD64A7">
        <w:t>Rekommenderad dos är 10 mg x 3. Maxdosen får inte överstiga 30 mg per dygn.</w:t>
      </w:r>
      <w:r w:rsidRPr="00DD64A7">
        <w:rPr>
          <w:color w:val="000000"/>
        </w:rPr>
        <w:t xml:space="preserve"> Bör inte ges samtidigt som olanzapin </w:t>
      </w:r>
      <w:r>
        <w:rPr>
          <w:color w:val="000000"/>
        </w:rPr>
        <w:t xml:space="preserve">(se ovan) </w:t>
      </w:r>
      <w:r w:rsidRPr="00DD64A7">
        <w:rPr>
          <w:bCs/>
        </w:rPr>
        <w:t>då dessa har liknande verkningsmekanism.</w:t>
      </w:r>
    </w:p>
    <w:p w14:paraId="6E08D6AF" w14:textId="77777777" w:rsidR="00D156AE" w:rsidRDefault="00B042D7" w:rsidP="0059129B">
      <w:pPr>
        <w:pStyle w:val="Rubrik3"/>
      </w:pPr>
      <w:r w:rsidRPr="0059129B">
        <w:t>Bensodiazepiner</w:t>
      </w:r>
    </w:p>
    <w:p w14:paraId="41606A92" w14:textId="26E1BCDD" w:rsidR="000F6864" w:rsidRDefault="000F6864" w:rsidP="000F6864">
      <w:pPr>
        <w:rPr>
          <w:color w:val="000000"/>
          <w:u w:val="single"/>
        </w:rPr>
      </w:pPr>
      <w:r w:rsidRPr="00DD64A7">
        <w:rPr>
          <w:b/>
        </w:rPr>
        <w:t xml:space="preserve">Lorazepam </w:t>
      </w:r>
      <w:r w:rsidRPr="00DD64A7">
        <w:t>(</w:t>
      </w:r>
      <w:r>
        <w:t>Lorazepam</w:t>
      </w:r>
      <w:r w:rsidRPr="005160F6">
        <w:rPr>
          <w:vertAlign w:val="superscript"/>
        </w:rPr>
        <w:t>®</w:t>
      </w:r>
      <w:r>
        <w:t>,</w:t>
      </w:r>
      <w:r w:rsidRPr="00DD64A7">
        <w:t>Temesta</w:t>
      </w:r>
      <w:r w:rsidRPr="00DD64A7">
        <w:rPr>
          <w:vertAlign w:val="superscript"/>
        </w:rPr>
        <w:t>®</w:t>
      </w:r>
      <w:r w:rsidRPr="00DD64A7">
        <w:t>) eller</w:t>
      </w:r>
      <w:r w:rsidRPr="00DD64A7">
        <w:rPr>
          <w:b/>
        </w:rPr>
        <w:t xml:space="preserve"> Alprazolam </w:t>
      </w:r>
      <w:r w:rsidRPr="00DD64A7">
        <w:t>(</w:t>
      </w:r>
      <w:r>
        <w:t>Alprazolam</w:t>
      </w:r>
      <w:r w:rsidRPr="005160F6">
        <w:rPr>
          <w:vertAlign w:val="superscript"/>
        </w:rPr>
        <w:t>®</w:t>
      </w:r>
      <w:r>
        <w:t xml:space="preserve">, </w:t>
      </w:r>
      <w:r w:rsidRPr="00DD64A7">
        <w:t>Xanor</w:t>
      </w:r>
      <w:r w:rsidRPr="00DD64A7">
        <w:rPr>
          <w:vertAlign w:val="superscript"/>
        </w:rPr>
        <w:t>®</w:t>
      </w:r>
      <w:r w:rsidRPr="00DD64A7">
        <w:t>)</w:t>
      </w:r>
      <w:r>
        <w:rPr>
          <w:rFonts w:asciiTheme="majorHAnsi" w:eastAsiaTheme="majorEastAsia" w:hAnsiTheme="majorHAnsi" w:cstheme="majorBidi"/>
          <w:color w:val="000000" w:themeColor="text1"/>
          <w:sz w:val="36"/>
        </w:rPr>
        <w:br/>
      </w:r>
      <w:r w:rsidRPr="00DD64A7">
        <w:t xml:space="preserve">Kan </w:t>
      </w:r>
      <w:r>
        <w:t xml:space="preserve">i enstaka fall, till patienter med svår ångest, </w:t>
      </w:r>
      <w:r w:rsidRPr="00DD64A7">
        <w:t>användas som tillägg till etablerade antiemetikaregimer</w:t>
      </w:r>
      <w:r>
        <w:t xml:space="preserve">. Eventuell amnesieffekt </w:t>
      </w:r>
      <w:r w:rsidRPr="00DD64A7">
        <w:rPr>
          <w:color w:val="000000"/>
          <w:kern w:val="24"/>
        </w:rPr>
        <w:t>kan förhindra uppkomsten av obehagliga minnen och</w:t>
      </w:r>
      <w:r>
        <w:rPr>
          <w:color w:val="000000"/>
          <w:kern w:val="24"/>
        </w:rPr>
        <w:t xml:space="preserve"> </w:t>
      </w:r>
      <w:r w:rsidRPr="00DD64A7">
        <w:rPr>
          <w:color w:val="000000"/>
          <w:kern w:val="24"/>
        </w:rPr>
        <w:t>betingat illamående.</w:t>
      </w:r>
      <w:r>
        <w:rPr>
          <w:color w:val="000000"/>
          <w:kern w:val="24"/>
        </w:rPr>
        <w:t xml:space="preserve"> Bensodiazepiner skall användas med stor försiktighet. </w:t>
      </w:r>
    </w:p>
    <w:p w14:paraId="2AE54340" w14:textId="3D17343D" w:rsidR="000F6864" w:rsidRDefault="000F6864" w:rsidP="000F6864">
      <w:pPr>
        <w:rPr>
          <w:u w:val="single"/>
        </w:rPr>
      </w:pPr>
      <w:r w:rsidRPr="0061376F">
        <w:rPr>
          <w:color w:val="000000"/>
          <w:u w:val="single"/>
        </w:rPr>
        <w:lastRenderedPageBreak/>
        <w:t>Dosering:</w:t>
      </w:r>
      <w:r w:rsidRPr="0061376F">
        <w:rPr>
          <w:rFonts w:asciiTheme="majorHAnsi" w:eastAsiaTheme="majorEastAsia" w:hAnsiTheme="majorHAnsi" w:cstheme="majorBidi"/>
          <w:color w:val="000000" w:themeColor="text1"/>
          <w:sz w:val="36"/>
          <w:u w:val="single"/>
        </w:rPr>
        <w:br/>
      </w:r>
      <w:r w:rsidRPr="00DD64A7">
        <w:rPr>
          <w:color w:val="000000"/>
        </w:rPr>
        <w:t>T</w:t>
      </w:r>
      <w:r>
        <w:rPr>
          <w:color w:val="000000"/>
        </w:rPr>
        <w:t>.</w:t>
      </w:r>
      <w:r w:rsidRPr="00DD64A7">
        <w:rPr>
          <w:color w:val="000000"/>
        </w:rPr>
        <w:t xml:space="preserve"> lorazepam</w:t>
      </w:r>
      <w:r>
        <w:rPr>
          <w:color w:val="000000"/>
        </w:rPr>
        <w:t xml:space="preserve"> (</w:t>
      </w:r>
      <w:r w:rsidRPr="00DD64A7">
        <w:rPr>
          <w:color w:val="000000"/>
        </w:rPr>
        <w:t>Temesta</w:t>
      </w:r>
      <w:r w:rsidRPr="00DD64A7">
        <w:rPr>
          <w:color w:val="000000"/>
          <w:vertAlign w:val="superscript"/>
        </w:rPr>
        <w:t>®</w:t>
      </w:r>
      <w:r>
        <w:rPr>
          <w:color w:val="000000"/>
        </w:rPr>
        <w:t xml:space="preserve">) 1mg. </w:t>
      </w:r>
      <w:r w:rsidRPr="00DD64A7">
        <w:rPr>
          <w:color w:val="000000"/>
        </w:rPr>
        <w:t>Dygnsdosen bör inte överstiga 2 mg.</w:t>
      </w:r>
      <w:r>
        <w:rPr>
          <w:rFonts w:asciiTheme="majorHAnsi" w:eastAsiaTheme="majorEastAsia" w:hAnsiTheme="majorHAnsi" w:cstheme="majorBidi"/>
          <w:color w:val="000000" w:themeColor="text1"/>
          <w:sz w:val="36"/>
        </w:rPr>
        <w:br/>
      </w:r>
      <w:r w:rsidRPr="00DD64A7">
        <w:rPr>
          <w:color w:val="000000"/>
        </w:rPr>
        <w:t>T</w:t>
      </w:r>
      <w:r>
        <w:rPr>
          <w:color w:val="000000"/>
        </w:rPr>
        <w:t>.</w:t>
      </w:r>
      <w:r w:rsidRPr="00DD64A7">
        <w:rPr>
          <w:color w:val="000000"/>
        </w:rPr>
        <w:t xml:space="preserve"> alprazolam</w:t>
      </w:r>
      <w:r w:rsidRPr="00DD64A7" w:rsidDel="003D72B1">
        <w:rPr>
          <w:color w:val="000000"/>
        </w:rPr>
        <w:t xml:space="preserve"> </w:t>
      </w:r>
      <w:r w:rsidRPr="00DD64A7">
        <w:rPr>
          <w:color w:val="000000"/>
        </w:rPr>
        <w:t>(Xanor</w:t>
      </w:r>
      <w:r w:rsidRPr="00DD64A7">
        <w:rPr>
          <w:color w:val="000000"/>
          <w:vertAlign w:val="superscript"/>
        </w:rPr>
        <w:t>®</w:t>
      </w:r>
      <w:r w:rsidRPr="00DD64A7">
        <w:rPr>
          <w:color w:val="000000"/>
        </w:rPr>
        <w:t>)</w:t>
      </w:r>
      <w:r>
        <w:rPr>
          <w:color w:val="000000"/>
        </w:rPr>
        <w:t xml:space="preserve"> </w:t>
      </w:r>
      <w:r w:rsidRPr="00DD64A7">
        <w:rPr>
          <w:color w:val="000000"/>
        </w:rPr>
        <w:t>0,25</w:t>
      </w:r>
      <w:r>
        <w:rPr>
          <w:color w:val="000000"/>
        </w:rPr>
        <w:t>-</w:t>
      </w:r>
      <w:r w:rsidRPr="00DD64A7">
        <w:rPr>
          <w:color w:val="000000"/>
        </w:rPr>
        <w:t>0,5 mg</w:t>
      </w:r>
      <w:r>
        <w:rPr>
          <w:color w:val="000000"/>
        </w:rPr>
        <w:t>.</w:t>
      </w:r>
      <w:r w:rsidRPr="00DD64A7">
        <w:rPr>
          <w:color w:val="000000"/>
        </w:rPr>
        <w:t xml:space="preserve"> Dygnsdosen bör inte överstiga 1 mg.</w:t>
      </w:r>
    </w:p>
    <w:p w14:paraId="3851AA6B" w14:textId="3E3BECB7" w:rsidR="000F6864" w:rsidRDefault="000F6864" w:rsidP="000F6864">
      <w:pPr>
        <w:rPr>
          <w:u w:val="single"/>
        </w:rPr>
      </w:pPr>
      <w:r w:rsidRPr="0061376F">
        <w:rPr>
          <w:u w:val="single"/>
        </w:rPr>
        <w:t>Vanliga biverkningar:</w:t>
      </w:r>
      <w:r>
        <w:rPr>
          <w:rFonts w:asciiTheme="majorHAnsi" w:eastAsiaTheme="majorEastAsia" w:hAnsiTheme="majorHAnsi" w:cstheme="majorBidi"/>
          <w:color w:val="000000" w:themeColor="text1"/>
          <w:sz w:val="36"/>
        </w:rPr>
        <w:br/>
      </w:r>
      <w:r w:rsidRPr="00DD64A7">
        <w:t>Hög risk att utveckla beroende, dåsighet, svaghet, ataxi, förvirring.</w:t>
      </w:r>
    </w:p>
    <w:p w14:paraId="30039F3E" w14:textId="1BF4F92E" w:rsidR="000F6864" w:rsidRDefault="000F6864" w:rsidP="000F6864">
      <w:pPr>
        <w:rPr>
          <w:u w:val="single"/>
        </w:rPr>
      </w:pPr>
      <w:r w:rsidRPr="0061376F">
        <w:rPr>
          <w:u w:val="single"/>
        </w:rPr>
        <w:t>Trafik och framföra maskiner:</w:t>
      </w:r>
      <w:r>
        <w:t xml:space="preserve"> </w:t>
      </w:r>
      <w:r>
        <w:rPr>
          <w:rFonts w:asciiTheme="majorHAnsi" w:eastAsiaTheme="majorEastAsia" w:hAnsiTheme="majorHAnsi" w:cstheme="majorBidi"/>
          <w:color w:val="000000" w:themeColor="text1"/>
          <w:sz w:val="36"/>
        </w:rPr>
        <w:br/>
      </w:r>
      <w:r>
        <w:t xml:space="preserve">Patienten skall avhålla sig från detta. </w:t>
      </w:r>
    </w:p>
    <w:p w14:paraId="2F1312B2" w14:textId="29F20A0C" w:rsidR="00713F31" w:rsidRDefault="000F6864" w:rsidP="00024A00">
      <w:r w:rsidRPr="0061376F">
        <w:rPr>
          <w:u w:val="single"/>
        </w:rPr>
        <w:t>Graviditet och amning</w:t>
      </w:r>
      <w:r>
        <w:t xml:space="preserve">: </w:t>
      </w:r>
      <w:r>
        <w:rPr>
          <w:color w:val="000000"/>
        </w:rPr>
        <w:br/>
      </w:r>
      <w:r>
        <w:t>Graviditet bör undvikas, det finns risk för påverkan av foster och nyfött barn. Amning bör undvikas.</w:t>
      </w:r>
    </w:p>
    <w:p w14:paraId="221BF95C" w14:textId="436DAD81" w:rsidR="00DF32F9" w:rsidRDefault="00DF32F9" w:rsidP="00DF32F9">
      <w:pPr>
        <w:pStyle w:val="Rubrik1"/>
      </w:pPr>
      <w:r>
        <w:t>Arbetsgrupp</w:t>
      </w:r>
    </w:p>
    <w:p w14:paraId="5411118F" w14:textId="6DF4A04A" w:rsidR="007C7636" w:rsidRDefault="00AD1BAC" w:rsidP="00AD1BAC">
      <w:r>
        <w:t>Den regionala rutinen har tagit</w:t>
      </w:r>
      <w:r w:rsidR="00483912">
        <w:t>s</w:t>
      </w:r>
      <w:r>
        <w:t xml:space="preserve"> fram </w:t>
      </w:r>
      <w:r w:rsidR="00483912">
        <w:t xml:space="preserve">av </w:t>
      </w:r>
      <w:r w:rsidR="007C7636">
        <w:t>arbetsgrupp</w:t>
      </w:r>
      <w:r w:rsidR="00483912">
        <w:t xml:space="preserve"> bestående av</w:t>
      </w:r>
      <w:r w:rsidR="007C7636">
        <w:t>:</w:t>
      </w:r>
    </w:p>
    <w:p w14:paraId="2F4A17E1" w14:textId="02DF857F" w:rsidR="00AD1BAC" w:rsidRDefault="00024A00" w:rsidP="00AD1BAC">
      <w:r w:rsidRPr="00DF32F9">
        <w:t>Karlman, Maria, specialistsjuksköterska SkaS, systemförvaltare Cytobase, Ordination och förskrivning läkemedel VGR</w:t>
      </w:r>
    </w:p>
    <w:p w14:paraId="29C21B34" w14:textId="77777777" w:rsidR="00AD1BAC" w:rsidRDefault="00024A00" w:rsidP="00AD1BAC">
      <w:r w:rsidRPr="00DF32F9">
        <w:t>Nilsson-Ehle, Herman, universitetssjukhusöverläkare, docent, Sektionen för Hematologi och Koagulation, Specialistmedicin, SU/Sahlgrenska samt Regionalt Cancercentrum Väst</w:t>
      </w:r>
    </w:p>
    <w:p w14:paraId="71FC4D13" w14:textId="711E12BF" w:rsidR="00DF32F9" w:rsidRDefault="00024A00" w:rsidP="00AD1BAC">
      <w:r w:rsidRPr="00DF32F9">
        <w:t>Solitander, Lena, specialistsjuksköterska, onkologi SU/Sahlgrenska</w:t>
      </w:r>
    </w:p>
    <w:p w14:paraId="75A8C5C6" w14:textId="2C5B48AA" w:rsidR="00024A00" w:rsidRDefault="00024A00" w:rsidP="007C7636">
      <w:r w:rsidRPr="00DF32F9">
        <w:t>Alwan, Ielaf, apotekare, Sektionen för Hematologi och Koagulation, Specialistmedicin, SU/Sahlgrenska</w:t>
      </w:r>
      <w:r w:rsidR="007C7636">
        <w:t>.</w:t>
      </w:r>
    </w:p>
    <w:p w14:paraId="45782AC0" w14:textId="77777777" w:rsidR="00713F31" w:rsidRDefault="00713F31">
      <w:pPr>
        <w:spacing w:after="0" w:line="240" w:lineRule="auto"/>
        <w:ind w:left="0" w:right="0"/>
      </w:pPr>
      <w:r>
        <w:br w:type="page"/>
      </w:r>
    </w:p>
    <w:p w14:paraId="2FEB4122" w14:textId="711C58AF" w:rsidR="003A4170" w:rsidRDefault="00713F31" w:rsidP="003A4170">
      <w:pPr>
        <w:pStyle w:val="Rubrik2"/>
      </w:pPr>
      <w:r>
        <w:lastRenderedPageBreak/>
        <w:t xml:space="preserve">Bilaga 1 </w:t>
      </w:r>
      <w:r w:rsidRPr="00DF6B44">
        <w:t>Riskbedömning inför val av antiemetik</w:t>
      </w:r>
      <w:r w:rsidR="003A4170">
        <w:t>a</w:t>
      </w:r>
    </w:p>
    <w:p w14:paraId="2D0E4894" w14:textId="77777777" w:rsidR="003A4170" w:rsidRDefault="003A4170" w:rsidP="003A4170"/>
    <w:p w14:paraId="418754E3" w14:textId="67832423" w:rsidR="00713F31" w:rsidRDefault="00713F31" w:rsidP="003A4170">
      <w:r>
        <w:t>Högrisk: 3 poäng eller mer</w:t>
      </w:r>
    </w:p>
    <w:p w14:paraId="77892551" w14:textId="7CCA3634" w:rsidR="00713F31" w:rsidRPr="003A4170" w:rsidRDefault="00713F31" w:rsidP="003A4170">
      <w:r>
        <w:t>Standard: 0-2 poäng</w:t>
      </w:r>
    </w:p>
    <w:tbl>
      <w:tblPr>
        <w:tblStyle w:val="Tabellrutnt"/>
        <w:tblW w:w="9498" w:type="dxa"/>
        <w:jc w:val="center"/>
        <w:tblLook w:val="04A0" w:firstRow="1" w:lastRow="0" w:firstColumn="1" w:lastColumn="0" w:noHBand="0" w:noVBand="1"/>
      </w:tblPr>
      <w:tblGrid>
        <w:gridCol w:w="3624"/>
        <w:gridCol w:w="2703"/>
        <w:gridCol w:w="3171"/>
      </w:tblGrid>
      <w:tr w:rsidR="00713F31" w14:paraId="69FFD7D7" w14:textId="77777777" w:rsidTr="003A4170">
        <w:trPr>
          <w:jc w:val="center"/>
        </w:trPr>
        <w:tc>
          <w:tcPr>
            <w:tcW w:w="5813" w:type="dxa"/>
            <w:shd w:val="clear" w:color="auto" w:fill="EBECEC" w:themeFill="accent4" w:themeFillTint="33"/>
          </w:tcPr>
          <w:p w14:paraId="636989FD" w14:textId="77777777" w:rsidR="00713F31" w:rsidRPr="00DB47B8" w:rsidRDefault="00713F31" w:rsidP="00D13347">
            <w:pPr>
              <w:autoSpaceDE w:val="0"/>
              <w:autoSpaceDN w:val="0"/>
              <w:adjustRightInd w:val="0"/>
              <w:ind w:left="0"/>
              <w:rPr>
                <w:b/>
                <w:bCs/>
              </w:rPr>
            </w:pPr>
            <w:r w:rsidRPr="00DB47B8">
              <w:rPr>
                <w:b/>
                <w:bCs/>
              </w:rPr>
              <w:t>RISKFAKTORER</w:t>
            </w:r>
          </w:p>
        </w:tc>
        <w:tc>
          <w:tcPr>
            <w:tcW w:w="1134" w:type="dxa"/>
            <w:shd w:val="clear" w:color="auto" w:fill="EBECEC" w:themeFill="accent4" w:themeFillTint="33"/>
          </w:tcPr>
          <w:p w14:paraId="62DF8899" w14:textId="77777777" w:rsidR="00713F31" w:rsidRPr="00DB47B8" w:rsidRDefault="00713F31" w:rsidP="00D13347">
            <w:pPr>
              <w:autoSpaceDE w:val="0"/>
              <w:autoSpaceDN w:val="0"/>
              <w:adjustRightInd w:val="0"/>
              <w:ind w:left="0"/>
              <w:rPr>
                <w:b/>
                <w:bCs/>
              </w:rPr>
            </w:pPr>
            <w:r w:rsidRPr="00DB47B8">
              <w:rPr>
                <w:b/>
                <w:bCs/>
              </w:rPr>
              <w:t>JA = 1 poäng</w:t>
            </w:r>
          </w:p>
        </w:tc>
        <w:tc>
          <w:tcPr>
            <w:tcW w:w="2551" w:type="dxa"/>
            <w:shd w:val="clear" w:color="auto" w:fill="EBECEC" w:themeFill="accent4" w:themeFillTint="33"/>
          </w:tcPr>
          <w:p w14:paraId="34883FAE" w14:textId="77777777" w:rsidR="00713F31" w:rsidRPr="00DB47B8" w:rsidRDefault="00713F31" w:rsidP="00D13347">
            <w:pPr>
              <w:autoSpaceDE w:val="0"/>
              <w:autoSpaceDN w:val="0"/>
              <w:adjustRightInd w:val="0"/>
              <w:ind w:left="0"/>
              <w:rPr>
                <w:b/>
                <w:bCs/>
              </w:rPr>
            </w:pPr>
            <w:r w:rsidRPr="00DB47B8">
              <w:rPr>
                <w:b/>
                <w:bCs/>
              </w:rPr>
              <w:t>Kommentar</w:t>
            </w:r>
          </w:p>
        </w:tc>
      </w:tr>
      <w:tr w:rsidR="00713F31" w14:paraId="7B5A4B4E" w14:textId="77777777" w:rsidTr="003A4170">
        <w:trPr>
          <w:trHeight w:val="361"/>
          <w:jc w:val="center"/>
        </w:trPr>
        <w:tc>
          <w:tcPr>
            <w:tcW w:w="5813" w:type="dxa"/>
          </w:tcPr>
          <w:p w14:paraId="170846F3" w14:textId="77777777" w:rsidR="00713F31" w:rsidRPr="00DB47B8" w:rsidRDefault="00713F31" w:rsidP="00D13347">
            <w:pPr>
              <w:autoSpaceDE w:val="0"/>
              <w:autoSpaceDN w:val="0"/>
              <w:adjustRightInd w:val="0"/>
              <w:ind w:left="0"/>
              <w:rPr>
                <w:b/>
                <w:bCs/>
              </w:rPr>
            </w:pPr>
            <w:r w:rsidRPr="00DB47B8">
              <w:rPr>
                <w:b/>
                <w:bCs/>
              </w:rPr>
              <w:t xml:space="preserve">Illamående vid tidigare cancerbehandling </w:t>
            </w:r>
          </w:p>
          <w:p w14:paraId="339684B6" w14:textId="77777777" w:rsidR="00713F31" w:rsidRPr="00DB47B8" w:rsidRDefault="00713F31" w:rsidP="00D13347">
            <w:pPr>
              <w:autoSpaceDE w:val="0"/>
              <w:autoSpaceDN w:val="0"/>
              <w:adjustRightInd w:val="0"/>
              <w:ind w:left="0"/>
              <w:rPr>
                <w:b/>
                <w:bCs/>
              </w:rPr>
            </w:pPr>
            <w:r w:rsidRPr="00DB47B8">
              <w:rPr>
                <w:b/>
                <w:bCs/>
              </w:rPr>
              <w:t xml:space="preserve"> JA= 3 p och högrisk</w:t>
            </w:r>
          </w:p>
        </w:tc>
        <w:tc>
          <w:tcPr>
            <w:tcW w:w="1134" w:type="dxa"/>
          </w:tcPr>
          <w:p w14:paraId="306E08F1" w14:textId="77777777" w:rsidR="00713F31" w:rsidRPr="00DB47B8" w:rsidRDefault="00713F31" w:rsidP="00D13347">
            <w:pPr>
              <w:autoSpaceDE w:val="0"/>
              <w:autoSpaceDN w:val="0"/>
              <w:adjustRightInd w:val="0"/>
              <w:rPr>
                <w:bCs/>
              </w:rPr>
            </w:pPr>
          </w:p>
        </w:tc>
        <w:tc>
          <w:tcPr>
            <w:tcW w:w="2551" w:type="dxa"/>
          </w:tcPr>
          <w:p w14:paraId="0859E2B1" w14:textId="77777777" w:rsidR="00713F31" w:rsidRPr="00DB47B8" w:rsidRDefault="00713F31" w:rsidP="00D13347">
            <w:pPr>
              <w:autoSpaceDE w:val="0"/>
              <w:autoSpaceDN w:val="0"/>
              <w:adjustRightInd w:val="0"/>
              <w:rPr>
                <w:bCs/>
              </w:rPr>
            </w:pPr>
            <w:r w:rsidRPr="00DB47B8">
              <w:rPr>
                <w:sz w:val="20"/>
                <w:szCs w:val="20"/>
              </w:rPr>
              <w:t>Automatisk högrisk vid ja.</w:t>
            </w:r>
          </w:p>
        </w:tc>
      </w:tr>
      <w:tr w:rsidR="00713F31" w14:paraId="326F1E5C" w14:textId="77777777" w:rsidTr="003A4170">
        <w:trPr>
          <w:trHeight w:val="361"/>
          <w:jc w:val="center"/>
        </w:trPr>
        <w:tc>
          <w:tcPr>
            <w:tcW w:w="5813" w:type="dxa"/>
          </w:tcPr>
          <w:p w14:paraId="5207F994" w14:textId="77777777" w:rsidR="00713F31" w:rsidRPr="00DB47B8" w:rsidRDefault="00713F31" w:rsidP="00D13347">
            <w:pPr>
              <w:autoSpaceDE w:val="0"/>
              <w:autoSpaceDN w:val="0"/>
              <w:adjustRightInd w:val="0"/>
              <w:ind w:left="0"/>
              <w:rPr>
                <w:b/>
                <w:bCs/>
              </w:rPr>
            </w:pPr>
            <w:r w:rsidRPr="00DB47B8">
              <w:rPr>
                <w:b/>
                <w:bCs/>
              </w:rPr>
              <w:t xml:space="preserve">Patient under 60 år </w:t>
            </w:r>
          </w:p>
        </w:tc>
        <w:tc>
          <w:tcPr>
            <w:tcW w:w="1134" w:type="dxa"/>
          </w:tcPr>
          <w:p w14:paraId="16FE818E" w14:textId="77777777" w:rsidR="00713F31" w:rsidRPr="00DB47B8" w:rsidRDefault="00713F31" w:rsidP="00D13347">
            <w:pPr>
              <w:autoSpaceDE w:val="0"/>
              <w:autoSpaceDN w:val="0"/>
              <w:adjustRightInd w:val="0"/>
              <w:rPr>
                <w:b/>
                <w:bCs/>
              </w:rPr>
            </w:pPr>
          </w:p>
        </w:tc>
        <w:tc>
          <w:tcPr>
            <w:tcW w:w="2551" w:type="dxa"/>
          </w:tcPr>
          <w:p w14:paraId="3CBCCF72" w14:textId="77777777" w:rsidR="00713F31" w:rsidRPr="00DB47B8" w:rsidRDefault="00713F31" w:rsidP="00D13347">
            <w:pPr>
              <w:autoSpaceDE w:val="0"/>
              <w:autoSpaceDN w:val="0"/>
              <w:adjustRightInd w:val="0"/>
              <w:rPr>
                <w:b/>
                <w:bCs/>
              </w:rPr>
            </w:pPr>
          </w:p>
        </w:tc>
      </w:tr>
      <w:tr w:rsidR="00713F31" w14:paraId="2BCE8D73" w14:textId="77777777" w:rsidTr="003A4170">
        <w:trPr>
          <w:trHeight w:val="208"/>
          <w:jc w:val="center"/>
        </w:trPr>
        <w:tc>
          <w:tcPr>
            <w:tcW w:w="5813" w:type="dxa"/>
          </w:tcPr>
          <w:p w14:paraId="6BEC7002" w14:textId="77777777" w:rsidR="00713F31" w:rsidRPr="00DB47B8" w:rsidRDefault="00713F31" w:rsidP="00D13347">
            <w:pPr>
              <w:autoSpaceDE w:val="0"/>
              <w:autoSpaceDN w:val="0"/>
              <w:adjustRightInd w:val="0"/>
              <w:ind w:left="0"/>
              <w:rPr>
                <w:b/>
                <w:bCs/>
              </w:rPr>
            </w:pPr>
            <w:r w:rsidRPr="00DB47B8">
              <w:rPr>
                <w:b/>
                <w:bCs/>
              </w:rPr>
              <w:t xml:space="preserve">Kvinna  </w:t>
            </w:r>
          </w:p>
        </w:tc>
        <w:tc>
          <w:tcPr>
            <w:tcW w:w="1134" w:type="dxa"/>
          </w:tcPr>
          <w:p w14:paraId="6891EC98" w14:textId="77777777" w:rsidR="00713F31" w:rsidRPr="00DB47B8" w:rsidRDefault="00713F31" w:rsidP="00D13347">
            <w:pPr>
              <w:autoSpaceDE w:val="0"/>
              <w:autoSpaceDN w:val="0"/>
              <w:adjustRightInd w:val="0"/>
              <w:rPr>
                <w:b/>
                <w:bCs/>
              </w:rPr>
            </w:pPr>
          </w:p>
        </w:tc>
        <w:tc>
          <w:tcPr>
            <w:tcW w:w="2551" w:type="dxa"/>
          </w:tcPr>
          <w:p w14:paraId="412E6467" w14:textId="77777777" w:rsidR="00713F31" w:rsidRPr="00DB47B8" w:rsidRDefault="00713F31" w:rsidP="00D13347">
            <w:pPr>
              <w:autoSpaceDE w:val="0"/>
              <w:autoSpaceDN w:val="0"/>
              <w:adjustRightInd w:val="0"/>
            </w:pPr>
            <w:r w:rsidRPr="00DB47B8">
              <w:t xml:space="preserve"> </w:t>
            </w:r>
          </w:p>
        </w:tc>
      </w:tr>
      <w:tr w:rsidR="00713F31" w14:paraId="07F6BCCD" w14:textId="77777777" w:rsidTr="003A4170">
        <w:trPr>
          <w:trHeight w:val="353"/>
          <w:jc w:val="center"/>
        </w:trPr>
        <w:tc>
          <w:tcPr>
            <w:tcW w:w="5813" w:type="dxa"/>
          </w:tcPr>
          <w:p w14:paraId="2E1539F0" w14:textId="77777777" w:rsidR="00713F31" w:rsidRPr="00DB47B8" w:rsidRDefault="00713F31" w:rsidP="00D13347">
            <w:pPr>
              <w:autoSpaceDE w:val="0"/>
              <w:autoSpaceDN w:val="0"/>
              <w:adjustRightInd w:val="0"/>
              <w:ind w:left="0"/>
              <w:rPr>
                <w:b/>
                <w:bCs/>
              </w:rPr>
            </w:pPr>
            <w:r w:rsidRPr="00DB47B8">
              <w:rPr>
                <w:b/>
                <w:bCs/>
              </w:rPr>
              <w:t>Tidigare graviditetsillamående /åksjuka/sjösjuka eller Illamående vid narkos</w:t>
            </w:r>
          </w:p>
        </w:tc>
        <w:tc>
          <w:tcPr>
            <w:tcW w:w="1134" w:type="dxa"/>
          </w:tcPr>
          <w:p w14:paraId="7F5C78C3" w14:textId="77777777" w:rsidR="00713F31" w:rsidRPr="00DB47B8" w:rsidRDefault="00713F31" w:rsidP="00D13347">
            <w:pPr>
              <w:autoSpaceDE w:val="0"/>
              <w:autoSpaceDN w:val="0"/>
              <w:adjustRightInd w:val="0"/>
              <w:rPr>
                <w:b/>
                <w:bCs/>
              </w:rPr>
            </w:pPr>
          </w:p>
        </w:tc>
        <w:tc>
          <w:tcPr>
            <w:tcW w:w="2551" w:type="dxa"/>
          </w:tcPr>
          <w:p w14:paraId="1991C31C" w14:textId="77777777" w:rsidR="00713F31" w:rsidRPr="00DB47B8" w:rsidRDefault="00713F31" w:rsidP="00D13347">
            <w:pPr>
              <w:autoSpaceDE w:val="0"/>
              <w:autoSpaceDN w:val="0"/>
              <w:adjustRightInd w:val="0"/>
              <w:rPr>
                <w:b/>
                <w:bCs/>
              </w:rPr>
            </w:pPr>
          </w:p>
        </w:tc>
      </w:tr>
      <w:tr w:rsidR="00713F31" w14:paraId="37B329D7" w14:textId="77777777" w:rsidTr="003A4170">
        <w:trPr>
          <w:trHeight w:val="2341"/>
          <w:jc w:val="center"/>
        </w:trPr>
        <w:tc>
          <w:tcPr>
            <w:tcW w:w="5813" w:type="dxa"/>
          </w:tcPr>
          <w:p w14:paraId="1FB5BDB8" w14:textId="77777777" w:rsidR="00713F31" w:rsidRPr="00DB47B8" w:rsidRDefault="00713F31" w:rsidP="00D13347">
            <w:pPr>
              <w:autoSpaceDE w:val="0"/>
              <w:autoSpaceDN w:val="0"/>
              <w:adjustRightInd w:val="0"/>
              <w:ind w:left="0"/>
              <w:rPr>
                <w:b/>
                <w:bCs/>
                <w:color w:val="004971" w:themeColor="accent1" w:themeShade="BF"/>
              </w:rPr>
            </w:pPr>
            <w:r w:rsidRPr="00DB47B8">
              <w:rPr>
                <w:b/>
                <w:bCs/>
              </w:rPr>
              <w:t>Funktionellt status ECOG/WHO</w:t>
            </w:r>
          </w:p>
          <w:p w14:paraId="1A3C0CFE" w14:textId="77777777" w:rsidR="00713F31" w:rsidRPr="00DB47B8" w:rsidRDefault="00713F31" w:rsidP="00D13347">
            <w:pPr>
              <w:autoSpaceDE w:val="0"/>
              <w:autoSpaceDN w:val="0"/>
              <w:adjustRightInd w:val="0"/>
              <w:ind w:left="0"/>
              <w:rPr>
                <w:color w:val="004971" w:themeColor="accent1" w:themeShade="BF"/>
                <w:sz w:val="32"/>
                <w:szCs w:val="32"/>
              </w:rPr>
            </w:pPr>
            <w:r w:rsidRPr="00DB47B8">
              <w:rPr>
                <w:color w:val="000000"/>
              </w:rPr>
              <w:t xml:space="preserve">0 - 1 = 0 p  </w:t>
            </w:r>
          </w:p>
          <w:p w14:paraId="0CCB3B40" w14:textId="77777777" w:rsidR="00713F31" w:rsidRPr="00DB47B8" w:rsidRDefault="00713F31" w:rsidP="00D13347">
            <w:pPr>
              <w:autoSpaceDE w:val="0"/>
              <w:autoSpaceDN w:val="0"/>
              <w:adjustRightInd w:val="0"/>
              <w:ind w:left="0"/>
              <w:rPr>
                <w:color w:val="000000"/>
              </w:rPr>
            </w:pPr>
            <w:r w:rsidRPr="00DB47B8">
              <w:rPr>
                <w:color w:val="000000"/>
              </w:rPr>
              <w:t>2 - 4 = 1 p</w:t>
            </w:r>
          </w:p>
          <w:p w14:paraId="6BACCAF5" w14:textId="77777777" w:rsidR="00713F31" w:rsidRPr="00DB47B8" w:rsidRDefault="00713F31" w:rsidP="00D13347">
            <w:pPr>
              <w:autoSpaceDE w:val="0"/>
              <w:autoSpaceDN w:val="0"/>
              <w:adjustRightInd w:val="0"/>
              <w:ind w:left="0"/>
              <w:rPr>
                <w:color w:val="000000"/>
              </w:rPr>
            </w:pPr>
            <w:r w:rsidRPr="00DB47B8">
              <w:rPr>
                <w:b/>
                <w:bCs/>
                <w:color w:val="000000"/>
              </w:rPr>
              <w:t>------------------------------------------------------</w:t>
            </w:r>
          </w:p>
          <w:p w14:paraId="5EF3087F" w14:textId="77777777" w:rsidR="00713F31" w:rsidRPr="00DB47B8" w:rsidRDefault="00713F31" w:rsidP="00D13347">
            <w:pPr>
              <w:autoSpaceDE w:val="0"/>
              <w:autoSpaceDN w:val="0"/>
              <w:adjustRightInd w:val="0"/>
              <w:ind w:left="0"/>
              <w:rPr>
                <w:color w:val="000000"/>
                <w:sz w:val="20"/>
                <w:szCs w:val="20"/>
              </w:rPr>
            </w:pPr>
            <w:r w:rsidRPr="00DB47B8">
              <w:rPr>
                <w:color w:val="000000"/>
                <w:sz w:val="20"/>
                <w:szCs w:val="20"/>
              </w:rPr>
              <w:t>0 = full daglig aktivitet</w:t>
            </w:r>
          </w:p>
          <w:p w14:paraId="2C99D4C4" w14:textId="77777777" w:rsidR="00713F31" w:rsidRPr="00DB47B8" w:rsidRDefault="00713F31" w:rsidP="00D13347">
            <w:pPr>
              <w:autoSpaceDE w:val="0"/>
              <w:autoSpaceDN w:val="0"/>
              <w:adjustRightInd w:val="0"/>
              <w:ind w:left="0"/>
              <w:rPr>
                <w:color w:val="000000"/>
                <w:sz w:val="20"/>
                <w:szCs w:val="20"/>
              </w:rPr>
            </w:pPr>
            <w:r w:rsidRPr="00DB47B8">
              <w:rPr>
                <w:color w:val="000000"/>
                <w:sz w:val="20"/>
                <w:szCs w:val="20"/>
              </w:rPr>
              <w:t>1 = uppegående, klarar endast lätt arbete</w:t>
            </w:r>
          </w:p>
          <w:p w14:paraId="24843ADF" w14:textId="77777777" w:rsidR="00713F31" w:rsidRPr="00DB47B8" w:rsidRDefault="00713F31" w:rsidP="00D13347">
            <w:pPr>
              <w:autoSpaceDE w:val="0"/>
              <w:autoSpaceDN w:val="0"/>
              <w:adjustRightInd w:val="0"/>
              <w:ind w:left="0"/>
              <w:rPr>
                <w:sz w:val="20"/>
                <w:szCs w:val="20"/>
              </w:rPr>
            </w:pPr>
            <w:r w:rsidRPr="00DB47B8">
              <w:rPr>
                <w:color w:val="000000"/>
                <w:sz w:val="20"/>
                <w:szCs w:val="20"/>
              </w:rPr>
              <w:t>2 = klarar ej arbete men ADL. Sängliggande mindre än 50%</w:t>
            </w:r>
          </w:p>
          <w:p w14:paraId="7FD3446A" w14:textId="77777777" w:rsidR="00713F31" w:rsidRPr="00DB47B8" w:rsidRDefault="00713F31" w:rsidP="00D13347">
            <w:pPr>
              <w:autoSpaceDE w:val="0"/>
              <w:autoSpaceDN w:val="0"/>
              <w:adjustRightInd w:val="0"/>
              <w:ind w:left="0"/>
              <w:rPr>
                <w:color w:val="000000"/>
                <w:sz w:val="20"/>
                <w:szCs w:val="20"/>
              </w:rPr>
            </w:pPr>
            <w:r w:rsidRPr="00DB47B8">
              <w:rPr>
                <w:color w:val="000000"/>
                <w:sz w:val="20"/>
                <w:szCs w:val="20"/>
              </w:rPr>
              <w:t xml:space="preserve">3 = begränsad ADL. Sängliggande mer än 50% </w:t>
            </w:r>
          </w:p>
          <w:p w14:paraId="66F49AAE" w14:textId="77777777" w:rsidR="00713F31" w:rsidRPr="00DB47B8" w:rsidRDefault="00713F31" w:rsidP="00D13347">
            <w:pPr>
              <w:autoSpaceDE w:val="0"/>
              <w:autoSpaceDN w:val="0"/>
              <w:adjustRightInd w:val="0"/>
              <w:ind w:left="0"/>
              <w:rPr>
                <w:sz w:val="20"/>
                <w:szCs w:val="20"/>
              </w:rPr>
            </w:pPr>
            <w:r w:rsidRPr="00DB47B8">
              <w:rPr>
                <w:sz w:val="20"/>
                <w:szCs w:val="20"/>
              </w:rPr>
              <w:t>4 = helt sängliggande. Hjälp med all ADL</w:t>
            </w:r>
          </w:p>
          <w:p w14:paraId="50DEEEEF" w14:textId="77777777" w:rsidR="00713F31" w:rsidRPr="00DB47B8" w:rsidRDefault="00713F31" w:rsidP="00D13347">
            <w:pPr>
              <w:autoSpaceDE w:val="0"/>
              <w:autoSpaceDN w:val="0"/>
              <w:adjustRightInd w:val="0"/>
              <w:ind w:left="0"/>
              <w:rPr>
                <w:sz w:val="6"/>
                <w:szCs w:val="6"/>
              </w:rPr>
            </w:pPr>
          </w:p>
        </w:tc>
        <w:tc>
          <w:tcPr>
            <w:tcW w:w="1134" w:type="dxa"/>
          </w:tcPr>
          <w:p w14:paraId="13812BFB" w14:textId="77777777" w:rsidR="00713F31" w:rsidRPr="00DB47B8" w:rsidRDefault="00713F31" w:rsidP="00D13347">
            <w:pPr>
              <w:autoSpaceDE w:val="0"/>
              <w:autoSpaceDN w:val="0"/>
              <w:adjustRightInd w:val="0"/>
              <w:rPr>
                <w:b/>
                <w:bCs/>
              </w:rPr>
            </w:pPr>
          </w:p>
        </w:tc>
        <w:tc>
          <w:tcPr>
            <w:tcW w:w="2551" w:type="dxa"/>
          </w:tcPr>
          <w:p w14:paraId="5D80F7E6" w14:textId="77777777" w:rsidR="00713F31" w:rsidRPr="00DB47B8" w:rsidRDefault="00713F31" w:rsidP="00D13347">
            <w:pPr>
              <w:autoSpaceDE w:val="0"/>
              <w:autoSpaceDN w:val="0"/>
              <w:adjustRightInd w:val="0"/>
              <w:rPr>
                <w:b/>
                <w:bCs/>
              </w:rPr>
            </w:pPr>
          </w:p>
        </w:tc>
      </w:tr>
      <w:tr w:rsidR="00713F31" w14:paraId="0788B02D" w14:textId="77777777" w:rsidTr="003A4170">
        <w:trPr>
          <w:trHeight w:val="378"/>
          <w:jc w:val="center"/>
        </w:trPr>
        <w:tc>
          <w:tcPr>
            <w:tcW w:w="5813" w:type="dxa"/>
          </w:tcPr>
          <w:p w14:paraId="6F58FD89" w14:textId="77777777" w:rsidR="00713F31" w:rsidRPr="00DB47B8" w:rsidRDefault="00713F31" w:rsidP="00D13347">
            <w:pPr>
              <w:autoSpaceDE w:val="0"/>
              <w:autoSpaceDN w:val="0"/>
              <w:adjustRightInd w:val="0"/>
              <w:ind w:left="0"/>
              <w:rPr>
                <w:b/>
                <w:bCs/>
              </w:rPr>
            </w:pPr>
            <w:r w:rsidRPr="00DB47B8">
              <w:rPr>
                <w:b/>
                <w:bCs/>
              </w:rPr>
              <w:t>Ångest/oro</w:t>
            </w:r>
          </w:p>
        </w:tc>
        <w:tc>
          <w:tcPr>
            <w:tcW w:w="1134" w:type="dxa"/>
          </w:tcPr>
          <w:p w14:paraId="44036835" w14:textId="77777777" w:rsidR="00713F31" w:rsidRPr="00DB47B8" w:rsidRDefault="00713F31" w:rsidP="00D13347">
            <w:pPr>
              <w:autoSpaceDE w:val="0"/>
              <w:autoSpaceDN w:val="0"/>
              <w:adjustRightInd w:val="0"/>
              <w:rPr>
                <w:b/>
                <w:bCs/>
              </w:rPr>
            </w:pPr>
          </w:p>
        </w:tc>
        <w:tc>
          <w:tcPr>
            <w:tcW w:w="2551" w:type="dxa"/>
          </w:tcPr>
          <w:p w14:paraId="51C18142" w14:textId="77777777" w:rsidR="00713F31" w:rsidRPr="00DB47B8" w:rsidRDefault="00713F31" w:rsidP="00D13347">
            <w:pPr>
              <w:autoSpaceDE w:val="0"/>
              <w:autoSpaceDN w:val="0"/>
              <w:adjustRightInd w:val="0"/>
              <w:rPr>
                <w:b/>
                <w:bCs/>
              </w:rPr>
            </w:pPr>
          </w:p>
        </w:tc>
      </w:tr>
      <w:tr w:rsidR="00713F31" w14:paraId="78D48E90" w14:textId="77777777" w:rsidTr="003A4170">
        <w:trPr>
          <w:trHeight w:val="270"/>
          <w:jc w:val="center"/>
        </w:trPr>
        <w:tc>
          <w:tcPr>
            <w:tcW w:w="5813" w:type="dxa"/>
            <w:tcBorders>
              <w:bottom w:val="single" w:sz="4" w:space="0" w:color="auto"/>
            </w:tcBorders>
          </w:tcPr>
          <w:p w14:paraId="21DB50BE" w14:textId="77777777" w:rsidR="00713F31" w:rsidRPr="00DB47B8" w:rsidRDefault="00713F31" w:rsidP="00D13347">
            <w:pPr>
              <w:autoSpaceDE w:val="0"/>
              <w:autoSpaceDN w:val="0"/>
              <w:adjustRightInd w:val="0"/>
              <w:ind w:left="0"/>
              <w:rPr>
                <w:b/>
                <w:bCs/>
              </w:rPr>
            </w:pPr>
            <w:r w:rsidRPr="00DB47B8">
              <w:rPr>
                <w:b/>
                <w:bCs/>
              </w:rPr>
              <w:t>Stor tumörbörda framför allt i buken</w:t>
            </w:r>
          </w:p>
        </w:tc>
        <w:tc>
          <w:tcPr>
            <w:tcW w:w="1134" w:type="dxa"/>
          </w:tcPr>
          <w:p w14:paraId="75B54ACF" w14:textId="77777777" w:rsidR="00713F31" w:rsidRPr="00DB47B8" w:rsidRDefault="00713F31" w:rsidP="00D13347">
            <w:pPr>
              <w:autoSpaceDE w:val="0"/>
              <w:autoSpaceDN w:val="0"/>
              <w:adjustRightInd w:val="0"/>
              <w:rPr>
                <w:b/>
                <w:bCs/>
              </w:rPr>
            </w:pPr>
          </w:p>
        </w:tc>
        <w:tc>
          <w:tcPr>
            <w:tcW w:w="2551" w:type="dxa"/>
          </w:tcPr>
          <w:p w14:paraId="4703D378" w14:textId="77777777" w:rsidR="00713F31" w:rsidRPr="00DB47B8" w:rsidRDefault="00713F31" w:rsidP="00D13347">
            <w:pPr>
              <w:autoSpaceDE w:val="0"/>
              <w:autoSpaceDN w:val="0"/>
              <w:adjustRightInd w:val="0"/>
            </w:pPr>
            <w:r w:rsidRPr="00DB47B8">
              <w:rPr>
                <w:sz w:val="20"/>
                <w:szCs w:val="20"/>
              </w:rPr>
              <w:t>Ex Gyn.patienter</w:t>
            </w:r>
          </w:p>
        </w:tc>
      </w:tr>
      <w:tr w:rsidR="00713F31" w14:paraId="354A259E" w14:textId="77777777" w:rsidTr="003A4170">
        <w:trPr>
          <w:trHeight w:val="270"/>
          <w:jc w:val="center"/>
        </w:trPr>
        <w:tc>
          <w:tcPr>
            <w:tcW w:w="5813" w:type="dxa"/>
            <w:tcBorders>
              <w:bottom w:val="single" w:sz="4" w:space="0" w:color="auto"/>
            </w:tcBorders>
          </w:tcPr>
          <w:p w14:paraId="0D6E20B4" w14:textId="77777777" w:rsidR="00713F31" w:rsidRPr="00DB47B8" w:rsidRDefault="00713F31" w:rsidP="00D13347">
            <w:pPr>
              <w:autoSpaceDE w:val="0"/>
              <w:autoSpaceDN w:val="0"/>
              <w:adjustRightInd w:val="0"/>
              <w:ind w:left="0"/>
              <w:rPr>
                <w:b/>
                <w:bCs/>
              </w:rPr>
            </w:pPr>
            <w:r w:rsidRPr="00DB47B8">
              <w:rPr>
                <w:b/>
                <w:bCs/>
              </w:rPr>
              <w:t>OBS! För alkohol gäller omvänt, ingen alkolholkonsumtion = ökad risk för illamående</w:t>
            </w:r>
          </w:p>
        </w:tc>
        <w:tc>
          <w:tcPr>
            <w:tcW w:w="1134" w:type="dxa"/>
            <w:tcBorders>
              <w:bottom w:val="single" w:sz="4" w:space="0" w:color="auto"/>
            </w:tcBorders>
          </w:tcPr>
          <w:p w14:paraId="54E94C91" w14:textId="77777777" w:rsidR="00713F31" w:rsidRPr="00DB47B8" w:rsidRDefault="00713F31" w:rsidP="00D13347">
            <w:pPr>
              <w:autoSpaceDE w:val="0"/>
              <w:autoSpaceDN w:val="0"/>
              <w:adjustRightInd w:val="0"/>
              <w:rPr>
                <w:b/>
                <w:bCs/>
              </w:rPr>
            </w:pPr>
            <w:r w:rsidRPr="00DB47B8">
              <w:rPr>
                <w:b/>
                <w:bCs/>
              </w:rPr>
              <w:t>NEJ = 1 poäng</w:t>
            </w:r>
          </w:p>
        </w:tc>
        <w:tc>
          <w:tcPr>
            <w:tcW w:w="2551" w:type="dxa"/>
            <w:tcBorders>
              <w:bottom w:val="single" w:sz="4" w:space="0" w:color="auto"/>
            </w:tcBorders>
          </w:tcPr>
          <w:p w14:paraId="152B32D7" w14:textId="77777777" w:rsidR="00713F31" w:rsidRPr="00DB47B8" w:rsidRDefault="00713F31" w:rsidP="00D13347">
            <w:pPr>
              <w:autoSpaceDE w:val="0"/>
              <w:autoSpaceDN w:val="0"/>
              <w:adjustRightInd w:val="0"/>
              <w:rPr>
                <w:sz w:val="20"/>
                <w:szCs w:val="20"/>
              </w:rPr>
            </w:pPr>
          </w:p>
        </w:tc>
      </w:tr>
      <w:tr w:rsidR="00713F31" w14:paraId="0ED3B3D1" w14:textId="77777777" w:rsidTr="003A4170">
        <w:trPr>
          <w:trHeight w:val="290"/>
          <w:jc w:val="center"/>
        </w:trPr>
        <w:tc>
          <w:tcPr>
            <w:tcW w:w="5813" w:type="dxa"/>
            <w:tcBorders>
              <w:bottom w:val="nil"/>
            </w:tcBorders>
          </w:tcPr>
          <w:p w14:paraId="7891EB1F" w14:textId="77777777" w:rsidR="00713F31" w:rsidRPr="00DB47B8" w:rsidRDefault="00713F31" w:rsidP="00D13347">
            <w:pPr>
              <w:autoSpaceDE w:val="0"/>
              <w:autoSpaceDN w:val="0"/>
              <w:adjustRightInd w:val="0"/>
              <w:ind w:left="0"/>
              <w:rPr>
                <w:b/>
                <w:bCs/>
                <w:color w:val="000000"/>
                <w:sz w:val="20"/>
                <w:szCs w:val="20"/>
              </w:rPr>
            </w:pPr>
            <w:r w:rsidRPr="00DB47B8">
              <w:rPr>
                <w:b/>
                <w:bCs/>
              </w:rPr>
              <w:lastRenderedPageBreak/>
              <w:t xml:space="preserve">Alkoholkonsumtion       </w:t>
            </w:r>
            <w:r w:rsidRPr="00DB47B8">
              <w:rPr>
                <w:b/>
                <w:bCs/>
                <w:color w:val="000000"/>
                <w:sz w:val="20"/>
                <w:szCs w:val="20"/>
              </w:rPr>
              <w:t xml:space="preserve"> Nej = 1p</w:t>
            </w:r>
          </w:p>
          <w:p w14:paraId="10F60478" w14:textId="77777777" w:rsidR="00713F31" w:rsidRPr="00DB47B8" w:rsidRDefault="00713F31" w:rsidP="00D13347">
            <w:pPr>
              <w:autoSpaceDE w:val="0"/>
              <w:autoSpaceDN w:val="0"/>
              <w:adjustRightInd w:val="0"/>
              <w:ind w:left="0"/>
              <w:rPr>
                <w:b/>
                <w:bCs/>
                <w:sz w:val="6"/>
                <w:szCs w:val="6"/>
              </w:rPr>
            </w:pPr>
          </w:p>
        </w:tc>
        <w:tc>
          <w:tcPr>
            <w:tcW w:w="1134" w:type="dxa"/>
            <w:tcBorders>
              <w:bottom w:val="nil"/>
            </w:tcBorders>
          </w:tcPr>
          <w:p w14:paraId="49161AFA" w14:textId="77777777" w:rsidR="00713F31" w:rsidRPr="00DB47B8" w:rsidRDefault="00713F31" w:rsidP="00D13347">
            <w:pPr>
              <w:autoSpaceDE w:val="0"/>
              <w:autoSpaceDN w:val="0"/>
              <w:adjustRightInd w:val="0"/>
              <w:rPr>
                <w:b/>
                <w:bCs/>
              </w:rPr>
            </w:pPr>
          </w:p>
        </w:tc>
        <w:tc>
          <w:tcPr>
            <w:tcW w:w="2551" w:type="dxa"/>
            <w:tcBorders>
              <w:bottom w:val="nil"/>
            </w:tcBorders>
          </w:tcPr>
          <w:p w14:paraId="7015C92D" w14:textId="77777777" w:rsidR="00713F31" w:rsidRPr="00DB47B8" w:rsidRDefault="00713F31" w:rsidP="00D13347">
            <w:pPr>
              <w:autoSpaceDE w:val="0"/>
              <w:autoSpaceDN w:val="0"/>
              <w:adjustRightInd w:val="0"/>
              <w:rPr>
                <w:b/>
                <w:bCs/>
              </w:rPr>
            </w:pPr>
          </w:p>
        </w:tc>
      </w:tr>
      <w:tr w:rsidR="00713F31" w14:paraId="72605486" w14:textId="77777777" w:rsidTr="003A4170">
        <w:trPr>
          <w:jc w:val="center"/>
        </w:trPr>
        <w:tc>
          <w:tcPr>
            <w:tcW w:w="5813" w:type="dxa"/>
            <w:tcBorders>
              <w:top w:val="nil"/>
              <w:bottom w:val="nil"/>
            </w:tcBorders>
          </w:tcPr>
          <w:p w14:paraId="6AA62520" w14:textId="77777777" w:rsidR="00713F31" w:rsidRPr="00DB47B8" w:rsidRDefault="00713F31" w:rsidP="00D13347">
            <w:pPr>
              <w:autoSpaceDE w:val="0"/>
              <w:autoSpaceDN w:val="0"/>
              <w:adjustRightInd w:val="0"/>
              <w:ind w:left="0"/>
              <w:rPr>
                <w:color w:val="000000"/>
              </w:rPr>
            </w:pPr>
            <w:r w:rsidRPr="00DB47B8">
              <w:rPr>
                <w:color w:val="000000"/>
              </w:rPr>
              <w:t xml:space="preserve">Män: mer än 210 g (3 flaskor vin) /vecka </w:t>
            </w:r>
          </w:p>
        </w:tc>
        <w:tc>
          <w:tcPr>
            <w:tcW w:w="1134" w:type="dxa"/>
            <w:tcBorders>
              <w:top w:val="nil"/>
              <w:bottom w:val="nil"/>
            </w:tcBorders>
          </w:tcPr>
          <w:p w14:paraId="02EB326B" w14:textId="77777777" w:rsidR="00713F31" w:rsidRPr="00DB47B8" w:rsidRDefault="00713F31" w:rsidP="00D13347">
            <w:pPr>
              <w:autoSpaceDE w:val="0"/>
              <w:autoSpaceDN w:val="0"/>
              <w:adjustRightInd w:val="0"/>
              <w:rPr>
                <w:b/>
                <w:bCs/>
              </w:rPr>
            </w:pPr>
          </w:p>
        </w:tc>
        <w:tc>
          <w:tcPr>
            <w:tcW w:w="2551" w:type="dxa"/>
            <w:tcBorders>
              <w:top w:val="nil"/>
              <w:bottom w:val="nil"/>
            </w:tcBorders>
          </w:tcPr>
          <w:p w14:paraId="13F9D4AB" w14:textId="77777777" w:rsidR="00713F31" w:rsidRPr="00DB47B8" w:rsidRDefault="00713F31" w:rsidP="00D13347">
            <w:pPr>
              <w:autoSpaceDE w:val="0"/>
              <w:autoSpaceDN w:val="0"/>
              <w:adjustRightInd w:val="0"/>
              <w:rPr>
                <w:b/>
                <w:bCs/>
              </w:rPr>
            </w:pPr>
          </w:p>
        </w:tc>
      </w:tr>
      <w:tr w:rsidR="00713F31" w14:paraId="409EF1AD" w14:textId="77777777" w:rsidTr="003A4170">
        <w:trPr>
          <w:jc w:val="center"/>
        </w:trPr>
        <w:tc>
          <w:tcPr>
            <w:tcW w:w="5813" w:type="dxa"/>
            <w:tcBorders>
              <w:top w:val="nil"/>
            </w:tcBorders>
          </w:tcPr>
          <w:p w14:paraId="7497968E" w14:textId="77777777" w:rsidR="00713F31" w:rsidRPr="00DB47B8" w:rsidRDefault="00713F31" w:rsidP="00D13347">
            <w:pPr>
              <w:autoSpaceDE w:val="0"/>
              <w:autoSpaceDN w:val="0"/>
              <w:adjustRightInd w:val="0"/>
              <w:ind w:left="0"/>
              <w:rPr>
                <w:sz w:val="32"/>
                <w:szCs w:val="32"/>
              </w:rPr>
            </w:pPr>
            <w:r w:rsidRPr="00DB47B8">
              <w:rPr>
                <w:color w:val="000000"/>
              </w:rPr>
              <w:t xml:space="preserve">Kvinnor: mer än 140 g (2 flaskor vin) /vecka </w:t>
            </w:r>
          </w:p>
        </w:tc>
        <w:tc>
          <w:tcPr>
            <w:tcW w:w="1134" w:type="dxa"/>
            <w:tcBorders>
              <w:top w:val="nil"/>
            </w:tcBorders>
          </w:tcPr>
          <w:p w14:paraId="7677CBC8" w14:textId="77777777" w:rsidR="00713F31" w:rsidRPr="00DB47B8" w:rsidRDefault="00713F31" w:rsidP="00D13347">
            <w:pPr>
              <w:autoSpaceDE w:val="0"/>
              <w:autoSpaceDN w:val="0"/>
              <w:adjustRightInd w:val="0"/>
              <w:rPr>
                <w:b/>
                <w:bCs/>
              </w:rPr>
            </w:pPr>
          </w:p>
        </w:tc>
        <w:tc>
          <w:tcPr>
            <w:tcW w:w="2551" w:type="dxa"/>
            <w:tcBorders>
              <w:top w:val="nil"/>
            </w:tcBorders>
          </w:tcPr>
          <w:p w14:paraId="6CD19DC8" w14:textId="77777777" w:rsidR="00713F31" w:rsidRPr="00DB47B8" w:rsidRDefault="00713F31" w:rsidP="00D13347">
            <w:pPr>
              <w:autoSpaceDE w:val="0"/>
              <w:autoSpaceDN w:val="0"/>
              <w:adjustRightInd w:val="0"/>
              <w:rPr>
                <w:b/>
                <w:bCs/>
              </w:rPr>
            </w:pPr>
          </w:p>
        </w:tc>
      </w:tr>
      <w:tr w:rsidR="00713F31" w14:paraId="05CEA142" w14:textId="77777777" w:rsidTr="003A4170">
        <w:trPr>
          <w:trHeight w:val="269"/>
          <w:jc w:val="center"/>
        </w:trPr>
        <w:tc>
          <w:tcPr>
            <w:tcW w:w="5813" w:type="dxa"/>
            <w:tcBorders>
              <w:bottom w:val="single" w:sz="4" w:space="0" w:color="auto"/>
            </w:tcBorders>
          </w:tcPr>
          <w:p w14:paraId="2CAA429B" w14:textId="77777777" w:rsidR="00713F31" w:rsidRPr="00DB47B8" w:rsidRDefault="00713F31" w:rsidP="00D13347">
            <w:pPr>
              <w:autoSpaceDE w:val="0"/>
              <w:autoSpaceDN w:val="0"/>
              <w:adjustRightInd w:val="0"/>
              <w:ind w:left="0"/>
              <w:rPr>
                <w:b/>
                <w:bCs/>
              </w:rPr>
            </w:pPr>
            <w:r w:rsidRPr="00DB47B8">
              <w:rPr>
                <w:b/>
                <w:bCs/>
              </w:rPr>
              <w:t>Summa:</w:t>
            </w:r>
          </w:p>
          <w:p w14:paraId="1AC9F619" w14:textId="77777777" w:rsidR="00713F31" w:rsidRPr="00DB47B8" w:rsidRDefault="00713F31" w:rsidP="00D13347">
            <w:pPr>
              <w:autoSpaceDE w:val="0"/>
              <w:autoSpaceDN w:val="0"/>
              <w:adjustRightInd w:val="0"/>
              <w:ind w:left="0"/>
              <w:rPr>
                <w:b/>
                <w:bCs/>
                <w:sz w:val="18"/>
                <w:szCs w:val="18"/>
              </w:rPr>
            </w:pPr>
          </w:p>
        </w:tc>
        <w:tc>
          <w:tcPr>
            <w:tcW w:w="1134" w:type="dxa"/>
          </w:tcPr>
          <w:p w14:paraId="50F2E2FD" w14:textId="77777777" w:rsidR="00713F31" w:rsidRPr="00DB47B8" w:rsidRDefault="00713F31" w:rsidP="00D13347">
            <w:pPr>
              <w:autoSpaceDE w:val="0"/>
              <w:autoSpaceDN w:val="0"/>
              <w:adjustRightInd w:val="0"/>
              <w:rPr>
                <w:b/>
                <w:bCs/>
              </w:rPr>
            </w:pPr>
          </w:p>
        </w:tc>
        <w:tc>
          <w:tcPr>
            <w:tcW w:w="2551" w:type="dxa"/>
          </w:tcPr>
          <w:p w14:paraId="10FAEFCF" w14:textId="77777777" w:rsidR="00713F31" w:rsidRPr="00DB47B8" w:rsidRDefault="00713F31" w:rsidP="00D13347">
            <w:pPr>
              <w:autoSpaceDE w:val="0"/>
              <w:autoSpaceDN w:val="0"/>
              <w:adjustRightInd w:val="0"/>
              <w:rPr>
                <w:b/>
                <w:bCs/>
              </w:rPr>
            </w:pPr>
          </w:p>
        </w:tc>
      </w:tr>
    </w:tbl>
    <w:p w14:paraId="1D587892" w14:textId="185ABB96" w:rsidR="003A4170" w:rsidRPr="000279A8" w:rsidRDefault="00713F31" w:rsidP="003A4170">
      <w:pPr>
        <w:pStyle w:val="Rubrik2"/>
      </w:pPr>
      <w:r>
        <w:br w:type="page"/>
      </w:r>
      <w:r w:rsidR="003A4170">
        <w:lastRenderedPageBreak/>
        <w:t>Bilaga 2 Andra möjliga</w:t>
      </w:r>
      <w:r w:rsidR="003A4170" w:rsidRPr="005A09D5">
        <w:t xml:space="preserve"> orsaker till illamående</w:t>
      </w:r>
    </w:p>
    <w:p w14:paraId="661633A2" w14:textId="77777777" w:rsidR="003A4170" w:rsidRDefault="003A4170" w:rsidP="003A4170">
      <w:r w:rsidRPr="00522BCF">
        <w:t>Det kan finnas flera orsake</w:t>
      </w:r>
      <w:r>
        <w:t>r till att vald antiemetikabehandling inte hjälper mot illamåendet. Dessa</w:t>
      </w:r>
      <w:r w:rsidRPr="00522BCF">
        <w:t xml:space="preserve"> </w:t>
      </w:r>
      <w:r>
        <w:t>behöver utredas och behandlas och tas hänsyn till i en sammanfattande bedömning.</w:t>
      </w:r>
    </w:p>
    <w:tbl>
      <w:tblPr>
        <w:tblStyle w:val="Tabellrutnt"/>
        <w:tblW w:w="9356" w:type="dxa"/>
        <w:jc w:val="center"/>
        <w:tblLook w:val="04A0" w:firstRow="1" w:lastRow="0" w:firstColumn="1" w:lastColumn="0" w:noHBand="0" w:noVBand="1"/>
      </w:tblPr>
      <w:tblGrid>
        <w:gridCol w:w="4743"/>
        <w:gridCol w:w="4613"/>
      </w:tblGrid>
      <w:tr w:rsidR="003A4170" w14:paraId="4180FD71" w14:textId="77777777" w:rsidTr="003A4170">
        <w:trPr>
          <w:jc w:val="center"/>
        </w:trPr>
        <w:tc>
          <w:tcPr>
            <w:tcW w:w="4679" w:type="dxa"/>
            <w:shd w:val="clear" w:color="auto" w:fill="EBECEC" w:themeFill="accent4" w:themeFillTint="33"/>
          </w:tcPr>
          <w:p w14:paraId="7CC7A956" w14:textId="77777777" w:rsidR="003A4170" w:rsidRPr="009C589D" w:rsidRDefault="003A4170" w:rsidP="003A4170">
            <w:r w:rsidRPr="009C589D">
              <w:t>RISKFAKTOR</w:t>
            </w:r>
            <w:r>
              <w:t>ER</w:t>
            </w:r>
          </w:p>
        </w:tc>
        <w:tc>
          <w:tcPr>
            <w:tcW w:w="4677" w:type="dxa"/>
            <w:shd w:val="clear" w:color="auto" w:fill="EBECEC" w:themeFill="accent4" w:themeFillTint="33"/>
          </w:tcPr>
          <w:p w14:paraId="12B84021" w14:textId="77777777" w:rsidR="003A4170" w:rsidRPr="009C589D" w:rsidRDefault="003A4170" w:rsidP="003A4170">
            <w:r w:rsidRPr="009C589D">
              <w:t>Kommentar</w:t>
            </w:r>
            <w:r>
              <w:t>/Åtgärd</w:t>
            </w:r>
          </w:p>
        </w:tc>
      </w:tr>
      <w:tr w:rsidR="003A4170" w14:paraId="524FBBEE" w14:textId="77777777" w:rsidTr="003A4170">
        <w:trPr>
          <w:trHeight w:val="470"/>
          <w:jc w:val="center"/>
        </w:trPr>
        <w:tc>
          <w:tcPr>
            <w:tcW w:w="4679" w:type="dxa"/>
          </w:tcPr>
          <w:p w14:paraId="0C87AE86" w14:textId="77777777" w:rsidR="003A4170" w:rsidRDefault="003A4170" w:rsidP="003A4170">
            <w:r>
              <w:t>Smärta</w:t>
            </w:r>
          </w:p>
          <w:p w14:paraId="4C3EEF52" w14:textId="77777777" w:rsidR="003A4170" w:rsidRPr="00987801" w:rsidRDefault="003A4170" w:rsidP="003A4170"/>
        </w:tc>
        <w:tc>
          <w:tcPr>
            <w:tcW w:w="4677" w:type="dxa"/>
          </w:tcPr>
          <w:p w14:paraId="256FEFD0" w14:textId="77777777" w:rsidR="003A4170" w:rsidRDefault="003A4170" w:rsidP="003A4170">
            <w:pPr>
              <w:rPr>
                <w:rFonts w:ascii="Georgia-Bold" w:hAnsi="Georgia-Bold" w:cs="Georgia-Bold"/>
              </w:rPr>
            </w:pPr>
          </w:p>
        </w:tc>
      </w:tr>
      <w:tr w:rsidR="003A4170" w14:paraId="0535BB93" w14:textId="77777777" w:rsidTr="003A4170">
        <w:trPr>
          <w:trHeight w:val="421"/>
          <w:jc w:val="center"/>
        </w:trPr>
        <w:tc>
          <w:tcPr>
            <w:tcW w:w="4679" w:type="dxa"/>
          </w:tcPr>
          <w:p w14:paraId="70F0DA73" w14:textId="77777777" w:rsidR="003A4170" w:rsidRDefault="003A4170" w:rsidP="00F83464">
            <w:r>
              <w:t xml:space="preserve">Dåligt vätskeintag/intorkad </w:t>
            </w:r>
          </w:p>
          <w:p w14:paraId="309D524B" w14:textId="725F44E8" w:rsidR="00F83464" w:rsidRPr="00987801" w:rsidRDefault="00F83464" w:rsidP="00F83464"/>
        </w:tc>
        <w:tc>
          <w:tcPr>
            <w:tcW w:w="4677" w:type="dxa"/>
          </w:tcPr>
          <w:p w14:paraId="1E6AE090" w14:textId="77777777" w:rsidR="003A4170" w:rsidRPr="009C589D" w:rsidRDefault="003A4170" w:rsidP="003A4170">
            <w:r>
              <w:t xml:space="preserve"> </w:t>
            </w:r>
          </w:p>
        </w:tc>
      </w:tr>
      <w:tr w:rsidR="003A4170" w14:paraId="1BC589E6" w14:textId="77777777" w:rsidTr="003A4170">
        <w:trPr>
          <w:trHeight w:val="421"/>
          <w:jc w:val="center"/>
        </w:trPr>
        <w:tc>
          <w:tcPr>
            <w:tcW w:w="4679" w:type="dxa"/>
          </w:tcPr>
          <w:p w14:paraId="79699FE9" w14:textId="77777777" w:rsidR="003A4170" w:rsidRDefault="003A4170" w:rsidP="003A4170">
            <w:r>
              <w:t>Gastrit</w:t>
            </w:r>
          </w:p>
          <w:p w14:paraId="64289F9C" w14:textId="77777777" w:rsidR="003A4170" w:rsidRDefault="003A4170" w:rsidP="003A4170"/>
        </w:tc>
        <w:tc>
          <w:tcPr>
            <w:tcW w:w="4677" w:type="dxa"/>
          </w:tcPr>
          <w:p w14:paraId="05800828" w14:textId="77777777" w:rsidR="003A4170" w:rsidRDefault="003A4170" w:rsidP="003A4170"/>
        </w:tc>
      </w:tr>
      <w:tr w:rsidR="003A4170" w14:paraId="2DC8F7FF" w14:textId="77777777" w:rsidTr="00F83464">
        <w:trPr>
          <w:trHeight w:val="679"/>
          <w:jc w:val="center"/>
        </w:trPr>
        <w:tc>
          <w:tcPr>
            <w:tcW w:w="4679" w:type="dxa"/>
          </w:tcPr>
          <w:p w14:paraId="04480C35" w14:textId="77777777" w:rsidR="003A4170" w:rsidRDefault="003A4170" w:rsidP="003A4170">
            <w:pPr>
              <w:rPr>
                <w:color w:val="202124"/>
                <w:shd w:val="clear" w:color="auto" w:fill="FFFFFF"/>
              </w:rPr>
            </w:pPr>
            <w:r w:rsidRPr="003F1337">
              <w:rPr>
                <w:color w:val="202124"/>
                <w:shd w:val="clear" w:color="auto" w:fill="FFFFFF"/>
              </w:rPr>
              <w:t>Fördröjd magsäckstömning</w:t>
            </w:r>
            <w:r>
              <w:rPr>
                <w:color w:val="202124"/>
                <w:shd w:val="clear" w:color="auto" w:fill="FFFFFF"/>
              </w:rPr>
              <w:t xml:space="preserve"> (Gastropares)</w:t>
            </w:r>
          </w:p>
          <w:p w14:paraId="5B0903F3" w14:textId="77777777" w:rsidR="003A4170" w:rsidRDefault="003A4170" w:rsidP="003A4170"/>
        </w:tc>
        <w:tc>
          <w:tcPr>
            <w:tcW w:w="4677" w:type="dxa"/>
          </w:tcPr>
          <w:p w14:paraId="03E9720C" w14:textId="77777777" w:rsidR="003A4170" w:rsidRDefault="003A4170" w:rsidP="003A4170"/>
        </w:tc>
      </w:tr>
      <w:tr w:rsidR="003A4170" w14:paraId="71EF5125" w14:textId="77777777" w:rsidTr="003A4170">
        <w:trPr>
          <w:trHeight w:val="421"/>
          <w:jc w:val="center"/>
        </w:trPr>
        <w:tc>
          <w:tcPr>
            <w:tcW w:w="4679" w:type="dxa"/>
          </w:tcPr>
          <w:p w14:paraId="11DECFF9" w14:textId="77777777" w:rsidR="003A4170" w:rsidRPr="00EF00E3" w:rsidRDefault="003A4170" w:rsidP="003A4170">
            <w:pPr>
              <w:rPr>
                <w:noProof/>
              </w:rPr>
            </w:pPr>
            <w:r w:rsidRPr="00EF00E3">
              <w:rPr>
                <w:noProof/>
              </w:rPr>
              <w:t>Metabola störningar</w:t>
            </w:r>
          </w:p>
          <w:p w14:paraId="2BDD513C" w14:textId="77777777" w:rsidR="003A4170" w:rsidRPr="003F1337" w:rsidRDefault="003A4170" w:rsidP="003A4170">
            <w:pPr>
              <w:rPr>
                <w:color w:val="202124"/>
                <w:shd w:val="clear" w:color="auto" w:fill="FFFFFF"/>
              </w:rPr>
            </w:pPr>
          </w:p>
        </w:tc>
        <w:tc>
          <w:tcPr>
            <w:tcW w:w="4677" w:type="dxa"/>
          </w:tcPr>
          <w:p w14:paraId="6482331A" w14:textId="77777777" w:rsidR="003A4170" w:rsidRDefault="003A4170" w:rsidP="003A4170"/>
        </w:tc>
      </w:tr>
      <w:tr w:rsidR="003A4170" w14:paraId="5EF475B0" w14:textId="77777777" w:rsidTr="003A4170">
        <w:trPr>
          <w:trHeight w:val="421"/>
          <w:jc w:val="center"/>
        </w:trPr>
        <w:tc>
          <w:tcPr>
            <w:tcW w:w="4679" w:type="dxa"/>
          </w:tcPr>
          <w:p w14:paraId="0508FD71" w14:textId="77777777" w:rsidR="003A4170" w:rsidRDefault="003A4170" w:rsidP="003A4170">
            <w:r>
              <w:t>Förstoppning</w:t>
            </w:r>
          </w:p>
          <w:p w14:paraId="44EF9B69" w14:textId="77777777" w:rsidR="003A4170" w:rsidRDefault="003A4170" w:rsidP="003A4170"/>
        </w:tc>
        <w:tc>
          <w:tcPr>
            <w:tcW w:w="4677" w:type="dxa"/>
          </w:tcPr>
          <w:p w14:paraId="3729F04C" w14:textId="77777777" w:rsidR="003A4170" w:rsidRDefault="003A4170" w:rsidP="003A4170"/>
        </w:tc>
      </w:tr>
      <w:tr w:rsidR="003A4170" w14:paraId="06E7792E" w14:textId="77777777" w:rsidTr="003A4170">
        <w:trPr>
          <w:trHeight w:val="421"/>
          <w:jc w:val="center"/>
        </w:trPr>
        <w:tc>
          <w:tcPr>
            <w:tcW w:w="4679" w:type="dxa"/>
          </w:tcPr>
          <w:p w14:paraId="6353D839" w14:textId="77777777" w:rsidR="003A4170" w:rsidRDefault="003A4170" w:rsidP="003A4170">
            <w:pPr>
              <w:rPr>
                <w:noProof/>
              </w:rPr>
            </w:pPr>
            <w:r w:rsidRPr="00EF00E3">
              <w:rPr>
                <w:noProof/>
              </w:rPr>
              <w:t>Mucosit</w:t>
            </w:r>
          </w:p>
          <w:p w14:paraId="229AE324" w14:textId="77777777" w:rsidR="003A4170" w:rsidRDefault="003A4170" w:rsidP="003A4170"/>
        </w:tc>
        <w:tc>
          <w:tcPr>
            <w:tcW w:w="4677" w:type="dxa"/>
          </w:tcPr>
          <w:p w14:paraId="2B08AD27" w14:textId="77777777" w:rsidR="003A4170" w:rsidRDefault="003A4170" w:rsidP="003A4170"/>
        </w:tc>
      </w:tr>
      <w:tr w:rsidR="003A4170" w14:paraId="54053F74" w14:textId="77777777" w:rsidTr="003A4170">
        <w:trPr>
          <w:trHeight w:val="421"/>
          <w:jc w:val="center"/>
        </w:trPr>
        <w:tc>
          <w:tcPr>
            <w:tcW w:w="4679" w:type="dxa"/>
          </w:tcPr>
          <w:p w14:paraId="5AD353B5" w14:textId="77777777" w:rsidR="003A4170" w:rsidRDefault="003A4170" w:rsidP="00F83464">
            <w:r w:rsidRPr="00EF00E3">
              <w:t>Infektioner</w:t>
            </w:r>
          </w:p>
          <w:p w14:paraId="6E48B977" w14:textId="1B1259ED" w:rsidR="00F83464" w:rsidRPr="00EF00E3" w:rsidRDefault="00F83464" w:rsidP="00F83464"/>
        </w:tc>
        <w:tc>
          <w:tcPr>
            <w:tcW w:w="4677" w:type="dxa"/>
          </w:tcPr>
          <w:p w14:paraId="76FFF274" w14:textId="77777777" w:rsidR="003A4170" w:rsidRDefault="003A4170" w:rsidP="003A4170"/>
        </w:tc>
      </w:tr>
      <w:tr w:rsidR="003A4170" w14:paraId="61750055" w14:textId="77777777" w:rsidTr="00F83464">
        <w:trPr>
          <w:trHeight w:val="748"/>
          <w:jc w:val="center"/>
        </w:trPr>
        <w:tc>
          <w:tcPr>
            <w:tcW w:w="4679" w:type="dxa"/>
          </w:tcPr>
          <w:p w14:paraId="686033F5" w14:textId="55DC0A9E" w:rsidR="003A4170" w:rsidRDefault="003A4170" w:rsidP="003A4170">
            <w:r>
              <w:t xml:space="preserve">Blodprov visar elektrolytrubbningar                                         </w:t>
            </w:r>
            <w:r w:rsidR="00F83464">
              <w:t xml:space="preserve">  (</w:t>
            </w:r>
            <w:r w:rsidRPr="00462B6C">
              <w:t xml:space="preserve">ex.  </w:t>
            </w:r>
            <w:r w:rsidRPr="00F83464">
              <w:t>↑</w:t>
            </w:r>
            <w:r w:rsidRPr="00462B6C">
              <w:t xml:space="preserve"> </w:t>
            </w:r>
            <w:r>
              <w:t>K</w:t>
            </w:r>
            <w:r w:rsidRPr="00462B6C">
              <w:t xml:space="preserve">alcium, Uremi, </w:t>
            </w:r>
            <w:r w:rsidRPr="00F83464">
              <w:t>↓</w:t>
            </w:r>
            <w:r>
              <w:t xml:space="preserve"> </w:t>
            </w:r>
            <w:r w:rsidRPr="00462B6C">
              <w:t>Albumin)</w:t>
            </w:r>
          </w:p>
        </w:tc>
        <w:tc>
          <w:tcPr>
            <w:tcW w:w="4677" w:type="dxa"/>
          </w:tcPr>
          <w:p w14:paraId="4DB630A5" w14:textId="77777777" w:rsidR="00F83464" w:rsidRPr="00F83464" w:rsidRDefault="00F83464" w:rsidP="00F83464">
            <w:pPr>
              <w:ind w:left="0"/>
            </w:pPr>
          </w:p>
        </w:tc>
      </w:tr>
      <w:tr w:rsidR="003A4170" w14:paraId="0E8C252F" w14:textId="77777777" w:rsidTr="003A4170">
        <w:trPr>
          <w:trHeight w:val="700"/>
          <w:jc w:val="center"/>
        </w:trPr>
        <w:tc>
          <w:tcPr>
            <w:tcW w:w="4679" w:type="dxa"/>
          </w:tcPr>
          <w:p w14:paraId="609AA747" w14:textId="77777777" w:rsidR="003A4170" w:rsidRPr="00EF00E3" w:rsidRDefault="003A4170" w:rsidP="003A4170">
            <w:pPr>
              <w:rPr>
                <w:noProof/>
              </w:rPr>
            </w:pPr>
            <w:r>
              <w:rPr>
                <w:noProof/>
              </w:rPr>
              <w:t>Högt intrakaraniellt tryck</w:t>
            </w:r>
          </w:p>
        </w:tc>
        <w:tc>
          <w:tcPr>
            <w:tcW w:w="4677" w:type="dxa"/>
          </w:tcPr>
          <w:p w14:paraId="281025F0" w14:textId="77777777" w:rsidR="003A4170" w:rsidRDefault="003A4170" w:rsidP="003A4170">
            <w:pPr>
              <w:rPr>
                <w:rFonts w:ascii="Georgia-Bold" w:hAnsi="Georgia-Bold" w:cs="Georgia-Bold"/>
              </w:rPr>
            </w:pPr>
          </w:p>
        </w:tc>
      </w:tr>
      <w:tr w:rsidR="003A4170" w14:paraId="7C805FAB" w14:textId="77777777" w:rsidTr="003A4170">
        <w:trPr>
          <w:trHeight w:val="700"/>
          <w:jc w:val="center"/>
        </w:trPr>
        <w:tc>
          <w:tcPr>
            <w:tcW w:w="4679" w:type="dxa"/>
          </w:tcPr>
          <w:p w14:paraId="317B2A02" w14:textId="77777777" w:rsidR="003A4170" w:rsidRPr="00EF00E3" w:rsidRDefault="003A4170" w:rsidP="003A4170">
            <w:pPr>
              <w:rPr>
                <w:noProof/>
              </w:rPr>
            </w:pPr>
            <w:r>
              <w:rPr>
                <w:noProof/>
              </w:rPr>
              <w:t xml:space="preserve">Annan medicinering som kan inverka på illamåendet </w:t>
            </w:r>
            <w:r w:rsidRPr="005863D2">
              <w:rPr>
                <w:noProof/>
              </w:rPr>
              <w:t>( t.ex. interaktioner, magbiverkan)</w:t>
            </w:r>
          </w:p>
        </w:tc>
        <w:tc>
          <w:tcPr>
            <w:tcW w:w="4677" w:type="dxa"/>
          </w:tcPr>
          <w:p w14:paraId="5D074F77" w14:textId="77777777" w:rsidR="003A4170" w:rsidRDefault="003A4170" w:rsidP="003A4170">
            <w:pPr>
              <w:rPr>
                <w:rFonts w:ascii="Georgia-Bold" w:hAnsi="Georgia-Bold" w:cs="Georgia-Bold"/>
              </w:rPr>
            </w:pPr>
          </w:p>
        </w:tc>
      </w:tr>
      <w:tr w:rsidR="003A4170" w14:paraId="54992F76" w14:textId="77777777" w:rsidTr="003A4170">
        <w:trPr>
          <w:trHeight w:val="700"/>
          <w:jc w:val="center"/>
        </w:trPr>
        <w:tc>
          <w:tcPr>
            <w:tcW w:w="4679" w:type="dxa"/>
          </w:tcPr>
          <w:p w14:paraId="63E32259" w14:textId="77777777" w:rsidR="003A4170" w:rsidRPr="0049757A" w:rsidRDefault="003A4170" w:rsidP="003A4170">
            <w:pPr>
              <w:rPr>
                <w:noProof/>
              </w:rPr>
            </w:pPr>
            <w:r>
              <w:rPr>
                <w:noProof/>
              </w:rPr>
              <w:t>Andra omständigheter som kan påverka (</w:t>
            </w:r>
            <w:r w:rsidRPr="0049757A">
              <w:rPr>
                <w:noProof/>
              </w:rPr>
              <w:t>t.ex.</w:t>
            </w:r>
            <w:r>
              <w:rPr>
                <w:noProof/>
              </w:rPr>
              <w:t xml:space="preserve"> </w:t>
            </w:r>
            <w:r w:rsidRPr="0049757A">
              <w:rPr>
                <w:noProof/>
              </w:rPr>
              <w:t xml:space="preserve">syn, lukt, </w:t>
            </w:r>
            <w:r w:rsidRPr="0049757A">
              <w:rPr>
                <w:noProof/>
              </w:rPr>
              <w:lastRenderedPageBreak/>
              <w:t>buller, rumstemperatur, nutritions tillstånd</w:t>
            </w:r>
            <w:r>
              <w:rPr>
                <w:noProof/>
              </w:rPr>
              <w:t>)</w:t>
            </w:r>
          </w:p>
        </w:tc>
        <w:tc>
          <w:tcPr>
            <w:tcW w:w="4677" w:type="dxa"/>
          </w:tcPr>
          <w:p w14:paraId="1BA99A82" w14:textId="77777777" w:rsidR="003A4170" w:rsidRDefault="003A4170" w:rsidP="003A4170">
            <w:pPr>
              <w:rPr>
                <w:rFonts w:ascii="Georgia-Bold" w:hAnsi="Georgia-Bold" w:cs="Georgia-Bold"/>
              </w:rPr>
            </w:pPr>
          </w:p>
        </w:tc>
      </w:tr>
      <w:tr w:rsidR="003A4170" w14:paraId="37C62958" w14:textId="77777777" w:rsidTr="003A4170">
        <w:trPr>
          <w:trHeight w:val="700"/>
          <w:jc w:val="center"/>
        </w:trPr>
        <w:tc>
          <w:tcPr>
            <w:tcW w:w="4679" w:type="dxa"/>
          </w:tcPr>
          <w:p w14:paraId="13BEB197" w14:textId="77777777" w:rsidR="003A4170" w:rsidRDefault="003A4170" w:rsidP="003A4170">
            <w:pPr>
              <w:rPr>
                <w:noProof/>
              </w:rPr>
            </w:pPr>
            <w:r>
              <w:rPr>
                <w:noProof/>
              </w:rPr>
              <w:t>Den kliniska situationen</w:t>
            </w:r>
          </w:p>
          <w:p w14:paraId="15AF9AAA" w14:textId="355BAEB3" w:rsidR="003A4170" w:rsidRDefault="003A4170" w:rsidP="003A4170">
            <w:pPr>
              <w:rPr>
                <w:rFonts w:cstheme="minorBidi"/>
                <w:noProof/>
              </w:rPr>
            </w:pPr>
            <w:r w:rsidRPr="6140246D">
              <w:rPr>
                <w:rFonts w:cstheme="minorBidi"/>
                <w:noProof/>
              </w:rPr>
              <w:t>(kurativ/remissionssyftande – palliativ)</w:t>
            </w:r>
            <w:r w:rsidRPr="6140246D">
              <w:rPr>
                <w:rFonts w:cstheme="minorBidi"/>
              </w:rPr>
              <w:t xml:space="preserve">                                     </w:t>
            </w:r>
          </w:p>
        </w:tc>
        <w:tc>
          <w:tcPr>
            <w:tcW w:w="4677" w:type="dxa"/>
          </w:tcPr>
          <w:p w14:paraId="0CCD3710" w14:textId="77777777" w:rsidR="003A4170" w:rsidRDefault="003A4170" w:rsidP="003A4170">
            <w:pPr>
              <w:rPr>
                <w:rFonts w:ascii="Georgia-Bold" w:hAnsi="Georgia-Bold" w:cs="Georgia-Bold"/>
              </w:rPr>
            </w:pPr>
          </w:p>
        </w:tc>
      </w:tr>
    </w:tbl>
    <w:p w14:paraId="482CE837" w14:textId="652D54A8" w:rsidR="00A96759" w:rsidRDefault="003A4170">
      <w:pPr>
        <w:spacing w:after="0" w:line="240" w:lineRule="auto"/>
        <w:ind w:left="0" w:right="0"/>
        <w:rPr>
          <w:b/>
        </w:rPr>
      </w:pPr>
      <w:r>
        <w:rPr>
          <w:b/>
        </w:rPr>
        <w:br w:type="page"/>
      </w:r>
    </w:p>
    <w:p w14:paraId="7564A26B" w14:textId="0C9E17FF" w:rsidR="003A4170" w:rsidRDefault="00A96759" w:rsidP="00A96759">
      <w:pPr>
        <w:pStyle w:val="Rubrik3"/>
      </w:pPr>
      <w:r>
        <w:lastRenderedPageBreak/>
        <w:t>Bilaga 3 Illamåendedagbok</w:t>
      </w:r>
    </w:p>
    <w:p w14:paraId="630D1846" w14:textId="3EE799DE" w:rsidR="00713F31" w:rsidRDefault="00CC4D0B" w:rsidP="00CC4D0B">
      <w:pPr>
        <w:pStyle w:val="Rubrik3"/>
        <w:ind w:left="0"/>
        <w:jc w:val="center"/>
      </w:pPr>
      <w:r w:rsidRPr="00A63787">
        <w:rPr>
          <w:b/>
          <w:noProof/>
        </w:rPr>
        <w:drawing>
          <wp:inline distT="0" distB="0" distL="0" distR="0" wp14:anchorId="5606A2A1" wp14:editId="69268155">
            <wp:extent cx="5908431" cy="3848100"/>
            <wp:effectExtent l="0" t="0" r="0" b="0"/>
            <wp:docPr id="1369895346" name="Bildobjekt 1369895346" descr="En bild som visar text, skärmbild, nummer&#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895346" name="Bildobjekt 1369895346" descr="En bild som visar text, skärmbild, nummer&#10;&#10;Automatiskt genererad beskrivning"/>
                    <pic:cNvPicPr/>
                  </pic:nvPicPr>
                  <pic:blipFill>
                    <a:blip r:embed="rId26"/>
                    <a:stretch>
                      <a:fillRect/>
                    </a:stretch>
                  </pic:blipFill>
                  <pic:spPr>
                    <a:xfrm>
                      <a:off x="0" y="0"/>
                      <a:ext cx="5913262" cy="3851247"/>
                    </a:xfrm>
                    <a:prstGeom prst="rect">
                      <a:avLst/>
                    </a:prstGeom>
                  </pic:spPr>
                </pic:pic>
              </a:graphicData>
            </a:graphic>
          </wp:inline>
        </w:drawing>
      </w:r>
    </w:p>
    <w:p w14:paraId="1E853EB6" w14:textId="52BA6089" w:rsidR="00030E94" w:rsidRDefault="00030E94" w:rsidP="00F83464">
      <w:pPr>
        <w:spacing w:after="0" w:line="240" w:lineRule="auto"/>
        <w:ind w:left="0" w:right="0"/>
        <w:rPr>
          <w:b/>
        </w:rPr>
      </w:pPr>
      <w:bookmarkStart w:id="1" w:name="_Bilaga_1:_Riskbedömning"/>
      <w:bookmarkEnd w:id="1"/>
    </w:p>
    <w:p w14:paraId="349201E3" w14:textId="3779BA33" w:rsidR="002D439E" w:rsidRPr="00F83464" w:rsidRDefault="002D439E" w:rsidP="00F83464">
      <w:pPr>
        <w:spacing w:after="0" w:line="240" w:lineRule="auto"/>
        <w:ind w:left="0" w:right="0"/>
        <w:rPr>
          <w:b/>
        </w:rPr>
      </w:pPr>
    </w:p>
    <w:sectPr w:rsidR="002D439E" w:rsidRPr="00F83464" w:rsidSect="00EB43C5">
      <w:headerReference w:type="default" r:id="rId27"/>
      <w:footerReference w:type="even" r:id="rId28"/>
      <w:footerReference w:type="default" r:id="rId29"/>
      <w:headerReference w:type="first" r:id="rId30"/>
      <w:footerReference w:type="first" r:id="rId31"/>
      <w:type w:val="continuous"/>
      <w:pgSz w:w="11900" w:h="16840"/>
      <w:pgMar w:top="1276" w:right="1080" w:bottom="568" w:left="1080"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6A2B49" w14:textId="77777777" w:rsidR="00512C20" w:rsidRDefault="00512C20">
      <w:r>
        <w:separator/>
      </w:r>
    </w:p>
  </w:endnote>
  <w:endnote w:type="continuationSeparator" w:id="0">
    <w:p w14:paraId="03D38E44" w14:textId="77777777" w:rsidR="00512C20" w:rsidRDefault="00512C20">
      <w:r>
        <w:continuationSeparator/>
      </w:r>
    </w:p>
  </w:endnote>
  <w:endnote w:type="continuationNotice" w:id="1">
    <w:p w14:paraId="7D1E5202" w14:textId="77777777" w:rsidR="00512C20" w:rsidRDefault="00512C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n-ea">
    <w:panose1 w:val="00000000000000000000"/>
    <w:charset w:val="00"/>
    <w:family w:val="roman"/>
    <w:notTrueType/>
    <w:pitch w:val="default"/>
  </w:font>
  <w:font w:name="Georgia-Bold">
    <w:altName w:val="Georg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3B0157F6"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0350A5">
          <w:rPr>
            <w:noProof/>
            <w:sz w:val="16"/>
            <w:szCs w:val="16"/>
          </w:rPr>
          <w:t>9</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76"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CEA4E" w14:textId="77777777" w:rsidR="00512C20" w:rsidRDefault="00512C20"/>
  </w:footnote>
  <w:footnote w:type="continuationSeparator" w:id="0">
    <w:p w14:paraId="4F65916F" w14:textId="77777777" w:rsidR="00512C20" w:rsidRDefault="00512C20">
      <w:r>
        <w:continuationSeparator/>
      </w:r>
    </w:p>
  </w:footnote>
  <w:footnote w:type="continuationNotice" w:id="1">
    <w:p w14:paraId="58DD0C55" w14:textId="77777777" w:rsidR="00512C20" w:rsidRDefault="00512C2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 Box 10" o:spid="_x0000_s1027"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2"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75"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0"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 Box 6" o:spid="_x0000_s1028"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20719"/>
    <w:multiLevelType w:val="hybridMultilevel"/>
    <w:tmpl w:val="1788FCC6"/>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4A34A6"/>
    <w:multiLevelType w:val="hybridMultilevel"/>
    <w:tmpl w:val="11682BBE"/>
    <w:lvl w:ilvl="0" w:tplc="041D0001">
      <w:start w:val="1"/>
      <w:numFmt w:val="bullet"/>
      <w:lvlText w:val=""/>
      <w:lvlJc w:val="left"/>
      <w:pPr>
        <w:ind w:left="1457" w:hanging="360"/>
      </w:pPr>
      <w:rPr>
        <w:rFonts w:ascii="Symbol" w:hAnsi="Symbol" w:hint="default"/>
      </w:rPr>
    </w:lvl>
    <w:lvl w:ilvl="1" w:tplc="041D0003" w:tentative="1">
      <w:start w:val="1"/>
      <w:numFmt w:val="bullet"/>
      <w:lvlText w:val="o"/>
      <w:lvlJc w:val="left"/>
      <w:pPr>
        <w:ind w:left="2177" w:hanging="360"/>
      </w:pPr>
      <w:rPr>
        <w:rFonts w:ascii="Courier New" w:hAnsi="Courier New" w:cs="Courier New" w:hint="default"/>
      </w:rPr>
    </w:lvl>
    <w:lvl w:ilvl="2" w:tplc="041D0005" w:tentative="1">
      <w:start w:val="1"/>
      <w:numFmt w:val="bullet"/>
      <w:lvlText w:val=""/>
      <w:lvlJc w:val="left"/>
      <w:pPr>
        <w:ind w:left="2897" w:hanging="360"/>
      </w:pPr>
      <w:rPr>
        <w:rFonts w:ascii="Wingdings" w:hAnsi="Wingdings" w:hint="default"/>
      </w:rPr>
    </w:lvl>
    <w:lvl w:ilvl="3" w:tplc="041D0001" w:tentative="1">
      <w:start w:val="1"/>
      <w:numFmt w:val="bullet"/>
      <w:lvlText w:val=""/>
      <w:lvlJc w:val="left"/>
      <w:pPr>
        <w:ind w:left="3617" w:hanging="360"/>
      </w:pPr>
      <w:rPr>
        <w:rFonts w:ascii="Symbol" w:hAnsi="Symbol" w:hint="default"/>
      </w:rPr>
    </w:lvl>
    <w:lvl w:ilvl="4" w:tplc="041D0003" w:tentative="1">
      <w:start w:val="1"/>
      <w:numFmt w:val="bullet"/>
      <w:lvlText w:val="o"/>
      <w:lvlJc w:val="left"/>
      <w:pPr>
        <w:ind w:left="4337" w:hanging="360"/>
      </w:pPr>
      <w:rPr>
        <w:rFonts w:ascii="Courier New" w:hAnsi="Courier New" w:cs="Courier New" w:hint="default"/>
      </w:rPr>
    </w:lvl>
    <w:lvl w:ilvl="5" w:tplc="041D0005" w:tentative="1">
      <w:start w:val="1"/>
      <w:numFmt w:val="bullet"/>
      <w:lvlText w:val=""/>
      <w:lvlJc w:val="left"/>
      <w:pPr>
        <w:ind w:left="5057" w:hanging="360"/>
      </w:pPr>
      <w:rPr>
        <w:rFonts w:ascii="Wingdings" w:hAnsi="Wingdings" w:hint="default"/>
      </w:rPr>
    </w:lvl>
    <w:lvl w:ilvl="6" w:tplc="041D0001" w:tentative="1">
      <w:start w:val="1"/>
      <w:numFmt w:val="bullet"/>
      <w:lvlText w:val=""/>
      <w:lvlJc w:val="left"/>
      <w:pPr>
        <w:ind w:left="5777" w:hanging="360"/>
      </w:pPr>
      <w:rPr>
        <w:rFonts w:ascii="Symbol" w:hAnsi="Symbol" w:hint="default"/>
      </w:rPr>
    </w:lvl>
    <w:lvl w:ilvl="7" w:tplc="041D0003" w:tentative="1">
      <w:start w:val="1"/>
      <w:numFmt w:val="bullet"/>
      <w:lvlText w:val="o"/>
      <w:lvlJc w:val="left"/>
      <w:pPr>
        <w:ind w:left="6497" w:hanging="360"/>
      </w:pPr>
      <w:rPr>
        <w:rFonts w:ascii="Courier New" w:hAnsi="Courier New" w:cs="Courier New" w:hint="default"/>
      </w:rPr>
    </w:lvl>
    <w:lvl w:ilvl="8" w:tplc="041D0005" w:tentative="1">
      <w:start w:val="1"/>
      <w:numFmt w:val="bullet"/>
      <w:lvlText w:val=""/>
      <w:lvlJc w:val="left"/>
      <w:pPr>
        <w:ind w:left="7217" w:hanging="360"/>
      </w:pPr>
      <w:rPr>
        <w:rFonts w:ascii="Wingdings" w:hAnsi="Wingdings" w:hint="default"/>
      </w:rPr>
    </w:lvl>
  </w:abstractNum>
  <w:abstractNum w:abstractNumId="6" w15:restartNumberingAfterBreak="0">
    <w:nsid w:val="13292FDE"/>
    <w:multiLevelType w:val="hybridMultilevel"/>
    <w:tmpl w:val="40C2C2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0E1663"/>
    <w:multiLevelType w:val="hybridMultilevel"/>
    <w:tmpl w:val="F008E55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2" w15:restartNumberingAfterBreak="0">
    <w:nsid w:val="201C01EA"/>
    <w:multiLevelType w:val="hybridMultilevel"/>
    <w:tmpl w:val="59CEC26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233E3805"/>
    <w:multiLevelType w:val="hybridMultilevel"/>
    <w:tmpl w:val="D4484496"/>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4" w15:restartNumberingAfterBreak="0">
    <w:nsid w:val="312E647F"/>
    <w:multiLevelType w:val="hybridMultilevel"/>
    <w:tmpl w:val="6F78E94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35CE65EA"/>
    <w:multiLevelType w:val="hybridMultilevel"/>
    <w:tmpl w:val="BCC41AFE"/>
    <w:lvl w:ilvl="0" w:tplc="9040944A">
      <w:start w:val="1"/>
      <w:numFmt w:val="decimal"/>
      <w:lvlText w:val="%1."/>
      <w:lvlJc w:val="left"/>
      <w:pPr>
        <w:ind w:left="1068" w:hanging="360"/>
      </w:pPr>
      <w:rPr>
        <w:strike w:val="0"/>
      </w:r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6"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64F1392"/>
    <w:multiLevelType w:val="hybridMultilevel"/>
    <w:tmpl w:val="D5DAC53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1" w15:restartNumberingAfterBreak="0">
    <w:nsid w:val="47C35026"/>
    <w:multiLevelType w:val="hybridMultilevel"/>
    <w:tmpl w:val="DB9467A8"/>
    <w:lvl w:ilvl="0" w:tplc="758CE9EE">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2" w15:restartNumberingAfterBreak="0">
    <w:nsid w:val="4F30251F"/>
    <w:multiLevelType w:val="hybridMultilevel"/>
    <w:tmpl w:val="A090621C"/>
    <w:lvl w:ilvl="0" w:tplc="FAD8BB94">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51F15C3E"/>
    <w:multiLevelType w:val="hybridMultilevel"/>
    <w:tmpl w:val="C2B639C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075221"/>
    <w:multiLevelType w:val="hybridMultilevel"/>
    <w:tmpl w:val="0EB0E53E"/>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9740E75"/>
    <w:multiLevelType w:val="hybridMultilevel"/>
    <w:tmpl w:val="4E64CDDC"/>
    <w:lvl w:ilvl="0" w:tplc="D96A7470">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29" w15:restartNumberingAfterBreak="0">
    <w:nsid w:val="5F68609D"/>
    <w:multiLevelType w:val="hybridMultilevel"/>
    <w:tmpl w:val="489E6C60"/>
    <w:lvl w:ilvl="0" w:tplc="C852ADDA">
      <w:start w:val="1"/>
      <w:numFmt w:val="bullet"/>
      <w:lvlText w:val=""/>
      <w:lvlJc w:val="left"/>
      <w:pPr>
        <w:ind w:left="144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4207DB3"/>
    <w:multiLevelType w:val="hybridMultilevel"/>
    <w:tmpl w:val="D860666E"/>
    <w:lvl w:ilvl="0" w:tplc="041D000F">
      <w:start w:val="1"/>
      <w:numFmt w:val="decimal"/>
      <w:lvlText w:val="%1."/>
      <w:lvlJc w:val="left"/>
      <w:pPr>
        <w:ind w:left="1077" w:hanging="360"/>
      </w:pPr>
    </w:lvl>
    <w:lvl w:ilvl="1" w:tplc="041D0019" w:tentative="1">
      <w:start w:val="1"/>
      <w:numFmt w:val="lowerLetter"/>
      <w:lvlText w:val="%2."/>
      <w:lvlJc w:val="left"/>
      <w:pPr>
        <w:ind w:left="1797" w:hanging="360"/>
      </w:pPr>
    </w:lvl>
    <w:lvl w:ilvl="2" w:tplc="041D001B" w:tentative="1">
      <w:start w:val="1"/>
      <w:numFmt w:val="lowerRoman"/>
      <w:lvlText w:val="%3."/>
      <w:lvlJc w:val="right"/>
      <w:pPr>
        <w:ind w:left="2517" w:hanging="180"/>
      </w:pPr>
    </w:lvl>
    <w:lvl w:ilvl="3" w:tplc="041D000F" w:tentative="1">
      <w:start w:val="1"/>
      <w:numFmt w:val="decimal"/>
      <w:lvlText w:val="%4."/>
      <w:lvlJc w:val="left"/>
      <w:pPr>
        <w:ind w:left="3237" w:hanging="360"/>
      </w:pPr>
    </w:lvl>
    <w:lvl w:ilvl="4" w:tplc="041D0019" w:tentative="1">
      <w:start w:val="1"/>
      <w:numFmt w:val="lowerLetter"/>
      <w:lvlText w:val="%5."/>
      <w:lvlJc w:val="left"/>
      <w:pPr>
        <w:ind w:left="3957" w:hanging="360"/>
      </w:pPr>
    </w:lvl>
    <w:lvl w:ilvl="5" w:tplc="041D001B" w:tentative="1">
      <w:start w:val="1"/>
      <w:numFmt w:val="lowerRoman"/>
      <w:lvlText w:val="%6."/>
      <w:lvlJc w:val="right"/>
      <w:pPr>
        <w:ind w:left="4677" w:hanging="180"/>
      </w:pPr>
    </w:lvl>
    <w:lvl w:ilvl="6" w:tplc="041D000F" w:tentative="1">
      <w:start w:val="1"/>
      <w:numFmt w:val="decimal"/>
      <w:lvlText w:val="%7."/>
      <w:lvlJc w:val="left"/>
      <w:pPr>
        <w:ind w:left="5397" w:hanging="360"/>
      </w:pPr>
    </w:lvl>
    <w:lvl w:ilvl="7" w:tplc="041D0019" w:tentative="1">
      <w:start w:val="1"/>
      <w:numFmt w:val="lowerLetter"/>
      <w:lvlText w:val="%8."/>
      <w:lvlJc w:val="left"/>
      <w:pPr>
        <w:ind w:left="6117" w:hanging="360"/>
      </w:pPr>
    </w:lvl>
    <w:lvl w:ilvl="8" w:tplc="041D001B" w:tentative="1">
      <w:start w:val="1"/>
      <w:numFmt w:val="lowerRoman"/>
      <w:lvlText w:val="%9."/>
      <w:lvlJc w:val="right"/>
      <w:pPr>
        <w:ind w:left="6837" w:hanging="180"/>
      </w:pPr>
    </w:lvl>
  </w:abstractNum>
  <w:abstractNum w:abstractNumId="31" w15:restartNumberingAfterBreak="0">
    <w:nsid w:val="661623F2"/>
    <w:multiLevelType w:val="hybridMultilevel"/>
    <w:tmpl w:val="8286C8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682B0DF8"/>
    <w:multiLevelType w:val="hybridMultilevel"/>
    <w:tmpl w:val="2412450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956470E"/>
    <w:multiLevelType w:val="hybridMultilevel"/>
    <w:tmpl w:val="3F16BE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4" w15:restartNumberingAfterBreak="0">
    <w:nsid w:val="6BE27910"/>
    <w:multiLevelType w:val="hybridMultilevel"/>
    <w:tmpl w:val="5A3AC87C"/>
    <w:lvl w:ilvl="0" w:tplc="041D0001">
      <w:start w:val="1"/>
      <w:numFmt w:val="bullet"/>
      <w:lvlText w:val=""/>
      <w:lvlJc w:val="left"/>
      <w:pPr>
        <w:ind w:left="1457" w:hanging="360"/>
      </w:pPr>
      <w:rPr>
        <w:rFonts w:ascii="Symbol" w:hAnsi="Symbol" w:hint="default"/>
      </w:rPr>
    </w:lvl>
    <w:lvl w:ilvl="1" w:tplc="041D0003" w:tentative="1">
      <w:start w:val="1"/>
      <w:numFmt w:val="bullet"/>
      <w:lvlText w:val="o"/>
      <w:lvlJc w:val="left"/>
      <w:pPr>
        <w:ind w:left="2177" w:hanging="360"/>
      </w:pPr>
      <w:rPr>
        <w:rFonts w:ascii="Courier New" w:hAnsi="Courier New" w:cs="Courier New" w:hint="default"/>
      </w:rPr>
    </w:lvl>
    <w:lvl w:ilvl="2" w:tplc="041D0005" w:tentative="1">
      <w:start w:val="1"/>
      <w:numFmt w:val="bullet"/>
      <w:lvlText w:val=""/>
      <w:lvlJc w:val="left"/>
      <w:pPr>
        <w:ind w:left="2897" w:hanging="360"/>
      </w:pPr>
      <w:rPr>
        <w:rFonts w:ascii="Wingdings" w:hAnsi="Wingdings" w:hint="default"/>
      </w:rPr>
    </w:lvl>
    <w:lvl w:ilvl="3" w:tplc="041D0001" w:tentative="1">
      <w:start w:val="1"/>
      <w:numFmt w:val="bullet"/>
      <w:lvlText w:val=""/>
      <w:lvlJc w:val="left"/>
      <w:pPr>
        <w:ind w:left="3617" w:hanging="360"/>
      </w:pPr>
      <w:rPr>
        <w:rFonts w:ascii="Symbol" w:hAnsi="Symbol" w:hint="default"/>
      </w:rPr>
    </w:lvl>
    <w:lvl w:ilvl="4" w:tplc="041D0003" w:tentative="1">
      <w:start w:val="1"/>
      <w:numFmt w:val="bullet"/>
      <w:lvlText w:val="o"/>
      <w:lvlJc w:val="left"/>
      <w:pPr>
        <w:ind w:left="4337" w:hanging="360"/>
      </w:pPr>
      <w:rPr>
        <w:rFonts w:ascii="Courier New" w:hAnsi="Courier New" w:cs="Courier New" w:hint="default"/>
      </w:rPr>
    </w:lvl>
    <w:lvl w:ilvl="5" w:tplc="041D0005" w:tentative="1">
      <w:start w:val="1"/>
      <w:numFmt w:val="bullet"/>
      <w:lvlText w:val=""/>
      <w:lvlJc w:val="left"/>
      <w:pPr>
        <w:ind w:left="5057" w:hanging="360"/>
      </w:pPr>
      <w:rPr>
        <w:rFonts w:ascii="Wingdings" w:hAnsi="Wingdings" w:hint="default"/>
      </w:rPr>
    </w:lvl>
    <w:lvl w:ilvl="6" w:tplc="041D0001" w:tentative="1">
      <w:start w:val="1"/>
      <w:numFmt w:val="bullet"/>
      <w:lvlText w:val=""/>
      <w:lvlJc w:val="left"/>
      <w:pPr>
        <w:ind w:left="5777" w:hanging="360"/>
      </w:pPr>
      <w:rPr>
        <w:rFonts w:ascii="Symbol" w:hAnsi="Symbol" w:hint="default"/>
      </w:rPr>
    </w:lvl>
    <w:lvl w:ilvl="7" w:tplc="041D0003" w:tentative="1">
      <w:start w:val="1"/>
      <w:numFmt w:val="bullet"/>
      <w:lvlText w:val="o"/>
      <w:lvlJc w:val="left"/>
      <w:pPr>
        <w:ind w:left="6497" w:hanging="360"/>
      </w:pPr>
      <w:rPr>
        <w:rFonts w:ascii="Courier New" w:hAnsi="Courier New" w:cs="Courier New" w:hint="default"/>
      </w:rPr>
    </w:lvl>
    <w:lvl w:ilvl="8" w:tplc="041D0005" w:tentative="1">
      <w:start w:val="1"/>
      <w:numFmt w:val="bullet"/>
      <w:lvlText w:val=""/>
      <w:lvlJc w:val="left"/>
      <w:pPr>
        <w:ind w:left="7217" w:hanging="360"/>
      </w:pPr>
      <w:rPr>
        <w:rFonts w:ascii="Wingdings" w:hAnsi="Wingdings" w:hint="default"/>
      </w:rPr>
    </w:lvl>
  </w:abstractNum>
  <w:abstractNum w:abstractNumId="35" w15:restartNumberingAfterBreak="0">
    <w:nsid w:val="6CD60BAA"/>
    <w:multiLevelType w:val="hybridMultilevel"/>
    <w:tmpl w:val="53B48936"/>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7" w15:restartNumberingAfterBreak="0">
    <w:nsid w:val="717C692F"/>
    <w:multiLevelType w:val="hybridMultilevel"/>
    <w:tmpl w:val="0F5C9D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78A2831"/>
    <w:multiLevelType w:val="hybridMultilevel"/>
    <w:tmpl w:val="2BA2462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EE8572C"/>
    <w:multiLevelType w:val="hybridMultilevel"/>
    <w:tmpl w:val="E48692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2123303102">
    <w:abstractNumId w:val="40"/>
  </w:num>
  <w:num w:numId="2" w16cid:durableId="227544118">
    <w:abstractNumId w:val="27"/>
  </w:num>
  <w:num w:numId="3" w16cid:durableId="85225334">
    <w:abstractNumId w:val="0"/>
  </w:num>
  <w:num w:numId="4" w16cid:durableId="1178810683">
    <w:abstractNumId w:val="9"/>
  </w:num>
  <w:num w:numId="5" w16cid:durableId="1563364193">
    <w:abstractNumId w:val="36"/>
  </w:num>
  <w:num w:numId="6" w16cid:durableId="1910840315">
    <w:abstractNumId w:val="3"/>
  </w:num>
  <w:num w:numId="7" w16cid:durableId="986710529">
    <w:abstractNumId w:val="19"/>
  </w:num>
  <w:num w:numId="8" w16cid:durableId="44641358">
    <w:abstractNumId w:val="16"/>
  </w:num>
  <w:num w:numId="9" w16cid:durableId="964695513">
    <w:abstractNumId w:val="1"/>
  </w:num>
  <w:num w:numId="10" w16cid:durableId="341708245">
    <w:abstractNumId w:val="1"/>
  </w:num>
  <w:num w:numId="11" w16cid:durableId="922952479">
    <w:abstractNumId w:val="4"/>
  </w:num>
  <w:num w:numId="12" w16cid:durableId="1218007318">
    <w:abstractNumId w:val="7"/>
  </w:num>
  <w:num w:numId="13" w16cid:durableId="8727905">
    <w:abstractNumId w:val="26"/>
  </w:num>
  <w:num w:numId="14" w16cid:durableId="91122783">
    <w:abstractNumId w:val="17"/>
  </w:num>
  <w:num w:numId="15" w16cid:durableId="1715890628">
    <w:abstractNumId w:val="10"/>
  </w:num>
  <w:num w:numId="16" w16cid:durableId="1081486382">
    <w:abstractNumId w:val="23"/>
  </w:num>
  <w:num w:numId="17" w16cid:durableId="1145245880">
    <w:abstractNumId w:val="8"/>
  </w:num>
  <w:num w:numId="18" w16cid:durableId="1367365482">
    <w:abstractNumId w:val="18"/>
  </w:num>
  <w:num w:numId="19" w16cid:durableId="361247238">
    <w:abstractNumId w:val="39"/>
  </w:num>
  <w:num w:numId="20" w16cid:durableId="1596865801">
    <w:abstractNumId w:val="2"/>
  </w:num>
  <w:num w:numId="21" w16cid:durableId="919290783">
    <w:abstractNumId w:val="32"/>
  </w:num>
  <w:num w:numId="22" w16cid:durableId="1704939880">
    <w:abstractNumId w:val="14"/>
  </w:num>
  <w:num w:numId="23" w16cid:durableId="1378508426">
    <w:abstractNumId w:val="37"/>
  </w:num>
  <w:num w:numId="24" w16cid:durableId="2144276117">
    <w:abstractNumId w:val="15"/>
  </w:num>
  <w:num w:numId="25" w16cid:durableId="5178726">
    <w:abstractNumId w:val="5"/>
  </w:num>
  <w:num w:numId="26" w16cid:durableId="337344349">
    <w:abstractNumId w:val="20"/>
  </w:num>
  <w:num w:numId="27" w16cid:durableId="338238394">
    <w:abstractNumId w:val="26"/>
  </w:num>
  <w:num w:numId="28" w16cid:durableId="1754355516">
    <w:abstractNumId w:val="11"/>
  </w:num>
  <w:num w:numId="29" w16cid:durableId="946617935">
    <w:abstractNumId w:val="30"/>
  </w:num>
  <w:num w:numId="30" w16cid:durableId="885920276">
    <w:abstractNumId w:val="33"/>
  </w:num>
  <w:num w:numId="31" w16cid:durableId="92896977">
    <w:abstractNumId w:val="31"/>
  </w:num>
  <w:num w:numId="32" w16cid:durableId="189295938">
    <w:abstractNumId w:val="35"/>
  </w:num>
  <w:num w:numId="33" w16cid:durableId="1954707298">
    <w:abstractNumId w:val="26"/>
  </w:num>
  <w:num w:numId="34" w16cid:durableId="1039355729">
    <w:abstractNumId w:val="26"/>
  </w:num>
  <w:num w:numId="35" w16cid:durableId="269356972">
    <w:abstractNumId w:val="26"/>
  </w:num>
  <w:num w:numId="36" w16cid:durableId="1277060269">
    <w:abstractNumId w:val="25"/>
  </w:num>
  <w:num w:numId="37" w16cid:durableId="1525821759">
    <w:abstractNumId w:val="13"/>
  </w:num>
  <w:num w:numId="38" w16cid:durableId="420958122">
    <w:abstractNumId w:val="34"/>
  </w:num>
  <w:num w:numId="39" w16cid:durableId="281351187">
    <w:abstractNumId w:val="26"/>
  </w:num>
  <w:num w:numId="40" w16cid:durableId="117185536">
    <w:abstractNumId w:val="29"/>
  </w:num>
  <w:num w:numId="41" w16cid:durableId="1140264037">
    <w:abstractNumId w:val="12"/>
  </w:num>
  <w:num w:numId="42" w16cid:durableId="1862544598">
    <w:abstractNumId w:val="24"/>
  </w:num>
  <w:num w:numId="43" w16cid:durableId="168444905">
    <w:abstractNumId w:val="38"/>
  </w:num>
  <w:num w:numId="44" w16cid:durableId="1392120005">
    <w:abstractNumId w:val="22"/>
  </w:num>
  <w:num w:numId="45" w16cid:durableId="1847742176">
    <w:abstractNumId w:val="21"/>
  </w:num>
  <w:num w:numId="46" w16cid:durableId="1346711807">
    <w:abstractNumId w:val="28"/>
  </w:num>
  <w:num w:numId="47" w16cid:durableId="435255155">
    <w:abstractNumId w:val="6"/>
  </w:num>
  <w:num w:numId="48" w16cid:durableId="444274608">
    <w:abstractNumId w:val="41"/>
  </w:num>
  <w:num w:numId="49" w16cid:durableId="22757139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5EDE"/>
    <w:rsid w:val="000022B7"/>
    <w:rsid w:val="000051D5"/>
    <w:rsid w:val="00006D2A"/>
    <w:rsid w:val="000077A7"/>
    <w:rsid w:val="00010D47"/>
    <w:rsid w:val="00013751"/>
    <w:rsid w:val="00016CF0"/>
    <w:rsid w:val="00020A56"/>
    <w:rsid w:val="00024A00"/>
    <w:rsid w:val="00025CA7"/>
    <w:rsid w:val="000306C9"/>
    <w:rsid w:val="00030DDD"/>
    <w:rsid w:val="00030E94"/>
    <w:rsid w:val="000313BB"/>
    <w:rsid w:val="00033ED5"/>
    <w:rsid w:val="000350A5"/>
    <w:rsid w:val="00042491"/>
    <w:rsid w:val="000465F1"/>
    <w:rsid w:val="00050500"/>
    <w:rsid w:val="0005302C"/>
    <w:rsid w:val="00055ED1"/>
    <w:rsid w:val="0005691C"/>
    <w:rsid w:val="00056ECB"/>
    <w:rsid w:val="00056ED5"/>
    <w:rsid w:val="00061969"/>
    <w:rsid w:val="000655CC"/>
    <w:rsid w:val="00065A26"/>
    <w:rsid w:val="000700AE"/>
    <w:rsid w:val="0007016C"/>
    <w:rsid w:val="00070CF5"/>
    <w:rsid w:val="0007291F"/>
    <w:rsid w:val="000748B3"/>
    <w:rsid w:val="00076CF3"/>
    <w:rsid w:val="000779D1"/>
    <w:rsid w:val="0008166B"/>
    <w:rsid w:val="0008327E"/>
    <w:rsid w:val="00084024"/>
    <w:rsid w:val="000854C3"/>
    <w:rsid w:val="000869CC"/>
    <w:rsid w:val="000870B2"/>
    <w:rsid w:val="0009062C"/>
    <w:rsid w:val="00095368"/>
    <w:rsid w:val="000954C4"/>
    <w:rsid w:val="000A611A"/>
    <w:rsid w:val="000B129F"/>
    <w:rsid w:val="000B12D9"/>
    <w:rsid w:val="000B4536"/>
    <w:rsid w:val="000B6178"/>
    <w:rsid w:val="000B63CA"/>
    <w:rsid w:val="000B7715"/>
    <w:rsid w:val="000C036B"/>
    <w:rsid w:val="000C5C90"/>
    <w:rsid w:val="000E463B"/>
    <w:rsid w:val="000E5A7E"/>
    <w:rsid w:val="000F15EF"/>
    <w:rsid w:val="000F43A3"/>
    <w:rsid w:val="000F6864"/>
    <w:rsid w:val="000F6947"/>
    <w:rsid w:val="000F7681"/>
    <w:rsid w:val="00103031"/>
    <w:rsid w:val="001044FE"/>
    <w:rsid w:val="001139D4"/>
    <w:rsid w:val="00131B08"/>
    <w:rsid w:val="00132A59"/>
    <w:rsid w:val="00133337"/>
    <w:rsid w:val="00133A0F"/>
    <w:rsid w:val="0013580F"/>
    <w:rsid w:val="00137B6D"/>
    <w:rsid w:val="0014070B"/>
    <w:rsid w:val="00141167"/>
    <w:rsid w:val="001422C1"/>
    <w:rsid w:val="001522AE"/>
    <w:rsid w:val="00153481"/>
    <w:rsid w:val="00157D5B"/>
    <w:rsid w:val="00161299"/>
    <w:rsid w:val="00161FE6"/>
    <w:rsid w:val="0016267B"/>
    <w:rsid w:val="00164C3D"/>
    <w:rsid w:val="00166BF8"/>
    <w:rsid w:val="00166D3A"/>
    <w:rsid w:val="0017508E"/>
    <w:rsid w:val="00176216"/>
    <w:rsid w:val="001775EA"/>
    <w:rsid w:val="00177E24"/>
    <w:rsid w:val="00181FDC"/>
    <w:rsid w:val="00183FC9"/>
    <w:rsid w:val="00184167"/>
    <w:rsid w:val="001860B9"/>
    <w:rsid w:val="00186F2B"/>
    <w:rsid w:val="001874D6"/>
    <w:rsid w:val="0019216D"/>
    <w:rsid w:val="00194D13"/>
    <w:rsid w:val="0019632A"/>
    <w:rsid w:val="001A0BE3"/>
    <w:rsid w:val="001A19BD"/>
    <w:rsid w:val="001A38F6"/>
    <w:rsid w:val="001A4E7C"/>
    <w:rsid w:val="001B3F52"/>
    <w:rsid w:val="001B762C"/>
    <w:rsid w:val="001C48D9"/>
    <w:rsid w:val="001C4D0A"/>
    <w:rsid w:val="001C5FEF"/>
    <w:rsid w:val="001C7015"/>
    <w:rsid w:val="001D01B3"/>
    <w:rsid w:val="001D560E"/>
    <w:rsid w:val="001D5C6D"/>
    <w:rsid w:val="001E1DD8"/>
    <w:rsid w:val="001E3789"/>
    <w:rsid w:val="001F1AF6"/>
    <w:rsid w:val="001F2362"/>
    <w:rsid w:val="001F39D5"/>
    <w:rsid w:val="00210C19"/>
    <w:rsid w:val="00211487"/>
    <w:rsid w:val="00211D91"/>
    <w:rsid w:val="00214FC7"/>
    <w:rsid w:val="00217C45"/>
    <w:rsid w:val="00217DEC"/>
    <w:rsid w:val="0023050E"/>
    <w:rsid w:val="00235B57"/>
    <w:rsid w:val="00237554"/>
    <w:rsid w:val="002406CC"/>
    <w:rsid w:val="0024473E"/>
    <w:rsid w:val="00246EAA"/>
    <w:rsid w:val="00250F24"/>
    <w:rsid w:val="002523C5"/>
    <w:rsid w:val="0025380B"/>
    <w:rsid w:val="002551E4"/>
    <w:rsid w:val="0025703A"/>
    <w:rsid w:val="00262F3D"/>
    <w:rsid w:val="00263281"/>
    <w:rsid w:val="002651D6"/>
    <w:rsid w:val="0026551F"/>
    <w:rsid w:val="00267961"/>
    <w:rsid w:val="00270FA8"/>
    <w:rsid w:val="002756D4"/>
    <w:rsid w:val="00275705"/>
    <w:rsid w:val="00280A85"/>
    <w:rsid w:val="00282D3A"/>
    <w:rsid w:val="00284119"/>
    <w:rsid w:val="002908FE"/>
    <w:rsid w:val="00290B5C"/>
    <w:rsid w:val="00294791"/>
    <w:rsid w:val="0029571E"/>
    <w:rsid w:val="002A07F2"/>
    <w:rsid w:val="002A1C4F"/>
    <w:rsid w:val="002A7450"/>
    <w:rsid w:val="002B0B30"/>
    <w:rsid w:val="002B0C78"/>
    <w:rsid w:val="002B1960"/>
    <w:rsid w:val="002B2C5E"/>
    <w:rsid w:val="002C0C02"/>
    <w:rsid w:val="002C1277"/>
    <w:rsid w:val="002C2A85"/>
    <w:rsid w:val="002C5DA5"/>
    <w:rsid w:val="002C60AD"/>
    <w:rsid w:val="002D0E0E"/>
    <w:rsid w:val="002D439E"/>
    <w:rsid w:val="002D4BD4"/>
    <w:rsid w:val="002D529D"/>
    <w:rsid w:val="002D591E"/>
    <w:rsid w:val="002D6023"/>
    <w:rsid w:val="002D7DA3"/>
    <w:rsid w:val="002E10D9"/>
    <w:rsid w:val="002E263F"/>
    <w:rsid w:val="002E3991"/>
    <w:rsid w:val="002E40B1"/>
    <w:rsid w:val="002E6F81"/>
    <w:rsid w:val="002F08BA"/>
    <w:rsid w:val="002F2AFD"/>
    <w:rsid w:val="002F2CFF"/>
    <w:rsid w:val="002F568B"/>
    <w:rsid w:val="002F7818"/>
    <w:rsid w:val="002F7D1B"/>
    <w:rsid w:val="003066D0"/>
    <w:rsid w:val="00311401"/>
    <w:rsid w:val="003154C7"/>
    <w:rsid w:val="003159DF"/>
    <w:rsid w:val="003203D7"/>
    <w:rsid w:val="00320F86"/>
    <w:rsid w:val="00324171"/>
    <w:rsid w:val="00326C24"/>
    <w:rsid w:val="003359EE"/>
    <w:rsid w:val="00337575"/>
    <w:rsid w:val="00337F99"/>
    <w:rsid w:val="003410BD"/>
    <w:rsid w:val="003424E9"/>
    <w:rsid w:val="0034307B"/>
    <w:rsid w:val="00345EB1"/>
    <w:rsid w:val="00350CC4"/>
    <w:rsid w:val="00356B50"/>
    <w:rsid w:val="00360E0D"/>
    <w:rsid w:val="003628FA"/>
    <w:rsid w:val="0036357D"/>
    <w:rsid w:val="0036594C"/>
    <w:rsid w:val="003677BA"/>
    <w:rsid w:val="00367D19"/>
    <w:rsid w:val="00371BED"/>
    <w:rsid w:val="0037221B"/>
    <w:rsid w:val="00377CC3"/>
    <w:rsid w:val="00384019"/>
    <w:rsid w:val="003854F1"/>
    <w:rsid w:val="003856A0"/>
    <w:rsid w:val="003866EA"/>
    <w:rsid w:val="00386AEB"/>
    <w:rsid w:val="00386D1B"/>
    <w:rsid w:val="0039118E"/>
    <w:rsid w:val="00397F54"/>
    <w:rsid w:val="003A0D43"/>
    <w:rsid w:val="003A389E"/>
    <w:rsid w:val="003A4170"/>
    <w:rsid w:val="003B058A"/>
    <w:rsid w:val="003B0DE2"/>
    <w:rsid w:val="003B1CAC"/>
    <w:rsid w:val="003B2A4B"/>
    <w:rsid w:val="003C0B6E"/>
    <w:rsid w:val="003C18AB"/>
    <w:rsid w:val="003C489B"/>
    <w:rsid w:val="003C5C73"/>
    <w:rsid w:val="003D099E"/>
    <w:rsid w:val="003D21A2"/>
    <w:rsid w:val="003D29D2"/>
    <w:rsid w:val="003D3DDB"/>
    <w:rsid w:val="003D6DF1"/>
    <w:rsid w:val="003E0705"/>
    <w:rsid w:val="003E2FF7"/>
    <w:rsid w:val="003E5387"/>
    <w:rsid w:val="003F1013"/>
    <w:rsid w:val="003F1ACF"/>
    <w:rsid w:val="003F3432"/>
    <w:rsid w:val="00402B7E"/>
    <w:rsid w:val="00404948"/>
    <w:rsid w:val="0040633B"/>
    <w:rsid w:val="00406BEA"/>
    <w:rsid w:val="00410E59"/>
    <w:rsid w:val="00413A60"/>
    <w:rsid w:val="00414294"/>
    <w:rsid w:val="004230F7"/>
    <w:rsid w:val="00431539"/>
    <w:rsid w:val="0043167E"/>
    <w:rsid w:val="0043409A"/>
    <w:rsid w:val="00436FAE"/>
    <w:rsid w:val="004459D4"/>
    <w:rsid w:val="00446255"/>
    <w:rsid w:val="004479AE"/>
    <w:rsid w:val="00451935"/>
    <w:rsid w:val="004546FF"/>
    <w:rsid w:val="0045705A"/>
    <w:rsid w:val="00460ED0"/>
    <w:rsid w:val="00465651"/>
    <w:rsid w:val="00470CE7"/>
    <w:rsid w:val="00470F4F"/>
    <w:rsid w:val="00472482"/>
    <w:rsid w:val="00472D0C"/>
    <w:rsid w:val="00480DC7"/>
    <w:rsid w:val="00483912"/>
    <w:rsid w:val="004876F6"/>
    <w:rsid w:val="0049236A"/>
    <w:rsid w:val="00492718"/>
    <w:rsid w:val="004940F1"/>
    <w:rsid w:val="00496800"/>
    <w:rsid w:val="004A00FF"/>
    <w:rsid w:val="004A355D"/>
    <w:rsid w:val="004A4970"/>
    <w:rsid w:val="004B2183"/>
    <w:rsid w:val="004B2A01"/>
    <w:rsid w:val="004C3536"/>
    <w:rsid w:val="004D18D2"/>
    <w:rsid w:val="004D3041"/>
    <w:rsid w:val="004D5B17"/>
    <w:rsid w:val="004D7BA3"/>
    <w:rsid w:val="004E2329"/>
    <w:rsid w:val="004F4518"/>
    <w:rsid w:val="004F4C62"/>
    <w:rsid w:val="004F7111"/>
    <w:rsid w:val="00501433"/>
    <w:rsid w:val="00505394"/>
    <w:rsid w:val="005104F8"/>
    <w:rsid w:val="00510809"/>
    <w:rsid w:val="00511CC4"/>
    <w:rsid w:val="00512C20"/>
    <w:rsid w:val="0052248A"/>
    <w:rsid w:val="00526206"/>
    <w:rsid w:val="0052655B"/>
    <w:rsid w:val="00531E60"/>
    <w:rsid w:val="00533183"/>
    <w:rsid w:val="00540C9A"/>
    <w:rsid w:val="00541D07"/>
    <w:rsid w:val="00542522"/>
    <w:rsid w:val="005449E0"/>
    <w:rsid w:val="00544BAB"/>
    <w:rsid w:val="00545F31"/>
    <w:rsid w:val="005501A4"/>
    <w:rsid w:val="00552653"/>
    <w:rsid w:val="0055425B"/>
    <w:rsid w:val="005578FA"/>
    <w:rsid w:val="00561A67"/>
    <w:rsid w:val="00561EFA"/>
    <w:rsid w:val="00565129"/>
    <w:rsid w:val="00565CD0"/>
    <w:rsid w:val="005664EF"/>
    <w:rsid w:val="00567820"/>
    <w:rsid w:val="005757BE"/>
    <w:rsid w:val="005770AD"/>
    <w:rsid w:val="00581414"/>
    <w:rsid w:val="00582490"/>
    <w:rsid w:val="0058484B"/>
    <w:rsid w:val="0059129B"/>
    <w:rsid w:val="00597E28"/>
    <w:rsid w:val="005A15EF"/>
    <w:rsid w:val="005A54ED"/>
    <w:rsid w:val="005A5D5B"/>
    <w:rsid w:val="005A6081"/>
    <w:rsid w:val="005A627D"/>
    <w:rsid w:val="005C0045"/>
    <w:rsid w:val="005C084E"/>
    <w:rsid w:val="005C4606"/>
    <w:rsid w:val="005C798F"/>
    <w:rsid w:val="005D0B0C"/>
    <w:rsid w:val="005D2CB1"/>
    <w:rsid w:val="005E02B3"/>
    <w:rsid w:val="005E1E24"/>
    <w:rsid w:val="005F102B"/>
    <w:rsid w:val="005F1229"/>
    <w:rsid w:val="0060596B"/>
    <w:rsid w:val="00606D97"/>
    <w:rsid w:val="006110CB"/>
    <w:rsid w:val="00613C08"/>
    <w:rsid w:val="00613DDB"/>
    <w:rsid w:val="00614E64"/>
    <w:rsid w:val="00617710"/>
    <w:rsid w:val="00617EE6"/>
    <w:rsid w:val="0062184C"/>
    <w:rsid w:val="0062270C"/>
    <w:rsid w:val="00623426"/>
    <w:rsid w:val="00623724"/>
    <w:rsid w:val="00625AB5"/>
    <w:rsid w:val="00626555"/>
    <w:rsid w:val="00627335"/>
    <w:rsid w:val="00627BEA"/>
    <w:rsid w:val="006319DB"/>
    <w:rsid w:val="00635744"/>
    <w:rsid w:val="006368E7"/>
    <w:rsid w:val="00641696"/>
    <w:rsid w:val="00642CD4"/>
    <w:rsid w:val="00644153"/>
    <w:rsid w:val="0065595B"/>
    <w:rsid w:val="00655FC9"/>
    <w:rsid w:val="00656DCD"/>
    <w:rsid w:val="0065754E"/>
    <w:rsid w:val="00660269"/>
    <w:rsid w:val="006629A1"/>
    <w:rsid w:val="00665F89"/>
    <w:rsid w:val="0067096C"/>
    <w:rsid w:val="00673C92"/>
    <w:rsid w:val="006753EC"/>
    <w:rsid w:val="006758B1"/>
    <w:rsid w:val="00677A01"/>
    <w:rsid w:val="00677A2B"/>
    <w:rsid w:val="00682403"/>
    <w:rsid w:val="0068428B"/>
    <w:rsid w:val="00685193"/>
    <w:rsid w:val="00687BFA"/>
    <w:rsid w:val="006A0316"/>
    <w:rsid w:val="006A2789"/>
    <w:rsid w:val="006A33F6"/>
    <w:rsid w:val="006A4978"/>
    <w:rsid w:val="006A7261"/>
    <w:rsid w:val="006B0D29"/>
    <w:rsid w:val="006B158B"/>
    <w:rsid w:val="006B1819"/>
    <w:rsid w:val="006C301A"/>
    <w:rsid w:val="006C5048"/>
    <w:rsid w:val="006C53A5"/>
    <w:rsid w:val="006C6A4B"/>
    <w:rsid w:val="006C779F"/>
    <w:rsid w:val="006D01F5"/>
    <w:rsid w:val="006D0CFB"/>
    <w:rsid w:val="006D30C0"/>
    <w:rsid w:val="006D5B78"/>
    <w:rsid w:val="006D7535"/>
    <w:rsid w:val="006E450B"/>
    <w:rsid w:val="006E6579"/>
    <w:rsid w:val="006E7912"/>
    <w:rsid w:val="006E7A04"/>
    <w:rsid w:val="006F0D7E"/>
    <w:rsid w:val="006F5ABC"/>
    <w:rsid w:val="00704264"/>
    <w:rsid w:val="00705474"/>
    <w:rsid w:val="00710B77"/>
    <w:rsid w:val="00712E6E"/>
    <w:rsid w:val="00713F31"/>
    <w:rsid w:val="007155D5"/>
    <w:rsid w:val="0072075B"/>
    <w:rsid w:val="007221C2"/>
    <w:rsid w:val="00725425"/>
    <w:rsid w:val="0072775C"/>
    <w:rsid w:val="00730955"/>
    <w:rsid w:val="0073318C"/>
    <w:rsid w:val="00733A9C"/>
    <w:rsid w:val="007352A4"/>
    <w:rsid w:val="00736574"/>
    <w:rsid w:val="007367E0"/>
    <w:rsid w:val="00737215"/>
    <w:rsid w:val="00741961"/>
    <w:rsid w:val="00750E95"/>
    <w:rsid w:val="0075272A"/>
    <w:rsid w:val="00754905"/>
    <w:rsid w:val="00760038"/>
    <w:rsid w:val="0076237B"/>
    <w:rsid w:val="00762CC2"/>
    <w:rsid w:val="00762EE0"/>
    <w:rsid w:val="00765C41"/>
    <w:rsid w:val="00770163"/>
    <w:rsid w:val="00771100"/>
    <w:rsid w:val="007759DD"/>
    <w:rsid w:val="007772E1"/>
    <w:rsid w:val="00783848"/>
    <w:rsid w:val="0078609F"/>
    <w:rsid w:val="007917BA"/>
    <w:rsid w:val="00792975"/>
    <w:rsid w:val="007A334E"/>
    <w:rsid w:val="007A5C6F"/>
    <w:rsid w:val="007B3643"/>
    <w:rsid w:val="007C0A44"/>
    <w:rsid w:val="007C7636"/>
    <w:rsid w:val="007D4241"/>
    <w:rsid w:val="007D4317"/>
    <w:rsid w:val="007D4EA3"/>
    <w:rsid w:val="007D7543"/>
    <w:rsid w:val="007F0331"/>
    <w:rsid w:val="007F1CFF"/>
    <w:rsid w:val="007F5876"/>
    <w:rsid w:val="007F5DD5"/>
    <w:rsid w:val="0080275E"/>
    <w:rsid w:val="00811161"/>
    <w:rsid w:val="00815810"/>
    <w:rsid w:val="00821A1B"/>
    <w:rsid w:val="008236DD"/>
    <w:rsid w:val="0082370D"/>
    <w:rsid w:val="00823F43"/>
    <w:rsid w:val="00824863"/>
    <w:rsid w:val="008262E9"/>
    <w:rsid w:val="00827E69"/>
    <w:rsid w:val="0083028B"/>
    <w:rsid w:val="00835C4D"/>
    <w:rsid w:val="00843F48"/>
    <w:rsid w:val="00844387"/>
    <w:rsid w:val="0084765A"/>
    <w:rsid w:val="00851423"/>
    <w:rsid w:val="008533A0"/>
    <w:rsid w:val="008569C6"/>
    <w:rsid w:val="00857848"/>
    <w:rsid w:val="0086134E"/>
    <w:rsid w:val="008654B6"/>
    <w:rsid w:val="0087139C"/>
    <w:rsid w:val="00873419"/>
    <w:rsid w:val="0087408D"/>
    <w:rsid w:val="00874FE3"/>
    <w:rsid w:val="00875533"/>
    <w:rsid w:val="00880E83"/>
    <w:rsid w:val="00881143"/>
    <w:rsid w:val="00882F28"/>
    <w:rsid w:val="00886537"/>
    <w:rsid w:val="00892868"/>
    <w:rsid w:val="00892F28"/>
    <w:rsid w:val="008945CA"/>
    <w:rsid w:val="008A04C2"/>
    <w:rsid w:val="008A0C5F"/>
    <w:rsid w:val="008A1E6B"/>
    <w:rsid w:val="008A3DEA"/>
    <w:rsid w:val="008A4EB9"/>
    <w:rsid w:val="008A74C0"/>
    <w:rsid w:val="008B1694"/>
    <w:rsid w:val="008B487A"/>
    <w:rsid w:val="008C4B27"/>
    <w:rsid w:val="008C7F0C"/>
    <w:rsid w:val="008C7F2A"/>
    <w:rsid w:val="008C7FE2"/>
    <w:rsid w:val="008D1A6E"/>
    <w:rsid w:val="008D4698"/>
    <w:rsid w:val="008D4B13"/>
    <w:rsid w:val="008D6F8E"/>
    <w:rsid w:val="008E36F8"/>
    <w:rsid w:val="008E3A9B"/>
    <w:rsid w:val="008E46B2"/>
    <w:rsid w:val="008E682C"/>
    <w:rsid w:val="008E78A1"/>
    <w:rsid w:val="008F1E94"/>
    <w:rsid w:val="008F589F"/>
    <w:rsid w:val="009011B9"/>
    <w:rsid w:val="009035D2"/>
    <w:rsid w:val="00906238"/>
    <w:rsid w:val="00907EF9"/>
    <w:rsid w:val="00911231"/>
    <w:rsid w:val="0091295C"/>
    <w:rsid w:val="00914D58"/>
    <w:rsid w:val="00916399"/>
    <w:rsid w:val="0091707D"/>
    <w:rsid w:val="00921F47"/>
    <w:rsid w:val="009228AB"/>
    <w:rsid w:val="0093085B"/>
    <w:rsid w:val="00931C57"/>
    <w:rsid w:val="00933DD5"/>
    <w:rsid w:val="009347A5"/>
    <w:rsid w:val="00937FFD"/>
    <w:rsid w:val="00940BC7"/>
    <w:rsid w:val="00942257"/>
    <w:rsid w:val="00945DCD"/>
    <w:rsid w:val="009471BF"/>
    <w:rsid w:val="00947970"/>
    <w:rsid w:val="00950E4E"/>
    <w:rsid w:val="009529BD"/>
    <w:rsid w:val="009533B4"/>
    <w:rsid w:val="00957D35"/>
    <w:rsid w:val="00960D79"/>
    <w:rsid w:val="00965831"/>
    <w:rsid w:val="00971D93"/>
    <w:rsid w:val="00981C02"/>
    <w:rsid w:val="009842A9"/>
    <w:rsid w:val="009909F8"/>
    <w:rsid w:val="009A04CB"/>
    <w:rsid w:val="009A07DC"/>
    <w:rsid w:val="009A2737"/>
    <w:rsid w:val="009A5C6E"/>
    <w:rsid w:val="009B1F6B"/>
    <w:rsid w:val="009B5D4E"/>
    <w:rsid w:val="009C0D12"/>
    <w:rsid w:val="009C192E"/>
    <w:rsid w:val="009C2E3E"/>
    <w:rsid w:val="009C6C0C"/>
    <w:rsid w:val="009D293E"/>
    <w:rsid w:val="009D6819"/>
    <w:rsid w:val="009D6D1C"/>
    <w:rsid w:val="009E0CF9"/>
    <w:rsid w:val="009E50C2"/>
    <w:rsid w:val="009E531B"/>
    <w:rsid w:val="009E6C56"/>
    <w:rsid w:val="009E7DCF"/>
    <w:rsid w:val="009F3BEC"/>
    <w:rsid w:val="009F4A56"/>
    <w:rsid w:val="009F4E65"/>
    <w:rsid w:val="009F70EB"/>
    <w:rsid w:val="00A006A5"/>
    <w:rsid w:val="00A02E02"/>
    <w:rsid w:val="00A05942"/>
    <w:rsid w:val="00A07BEC"/>
    <w:rsid w:val="00A1555B"/>
    <w:rsid w:val="00A15BFA"/>
    <w:rsid w:val="00A22250"/>
    <w:rsid w:val="00A2550E"/>
    <w:rsid w:val="00A264BE"/>
    <w:rsid w:val="00A272CA"/>
    <w:rsid w:val="00A27627"/>
    <w:rsid w:val="00A33051"/>
    <w:rsid w:val="00A33F3A"/>
    <w:rsid w:val="00A37CA5"/>
    <w:rsid w:val="00A407AD"/>
    <w:rsid w:val="00A40923"/>
    <w:rsid w:val="00A41C05"/>
    <w:rsid w:val="00A42426"/>
    <w:rsid w:val="00A514B7"/>
    <w:rsid w:val="00A521F7"/>
    <w:rsid w:val="00A54A0B"/>
    <w:rsid w:val="00A56188"/>
    <w:rsid w:val="00A643C3"/>
    <w:rsid w:val="00A65FD4"/>
    <w:rsid w:val="00A67D18"/>
    <w:rsid w:val="00A709AF"/>
    <w:rsid w:val="00A7122F"/>
    <w:rsid w:val="00A72A7E"/>
    <w:rsid w:val="00A81198"/>
    <w:rsid w:val="00A81E48"/>
    <w:rsid w:val="00A82035"/>
    <w:rsid w:val="00A86885"/>
    <w:rsid w:val="00A876CC"/>
    <w:rsid w:val="00A87A29"/>
    <w:rsid w:val="00A90CEE"/>
    <w:rsid w:val="00A90D77"/>
    <w:rsid w:val="00A92E07"/>
    <w:rsid w:val="00A96759"/>
    <w:rsid w:val="00AA0B3A"/>
    <w:rsid w:val="00AA1B0C"/>
    <w:rsid w:val="00AA23CA"/>
    <w:rsid w:val="00AA6EB4"/>
    <w:rsid w:val="00AA767D"/>
    <w:rsid w:val="00AB0CC9"/>
    <w:rsid w:val="00AC3FF6"/>
    <w:rsid w:val="00AC45D3"/>
    <w:rsid w:val="00AD1BAC"/>
    <w:rsid w:val="00AD401D"/>
    <w:rsid w:val="00AD73EC"/>
    <w:rsid w:val="00AD7AD5"/>
    <w:rsid w:val="00AE5BC7"/>
    <w:rsid w:val="00AE6A1F"/>
    <w:rsid w:val="00AF5AAF"/>
    <w:rsid w:val="00B042D7"/>
    <w:rsid w:val="00B046D8"/>
    <w:rsid w:val="00B04FDF"/>
    <w:rsid w:val="00B10B11"/>
    <w:rsid w:val="00B13F4C"/>
    <w:rsid w:val="00B16219"/>
    <w:rsid w:val="00B16C59"/>
    <w:rsid w:val="00B24606"/>
    <w:rsid w:val="00B33FDD"/>
    <w:rsid w:val="00B359CC"/>
    <w:rsid w:val="00B35CC0"/>
    <w:rsid w:val="00B36107"/>
    <w:rsid w:val="00B41789"/>
    <w:rsid w:val="00B41976"/>
    <w:rsid w:val="00B46C03"/>
    <w:rsid w:val="00B60C6C"/>
    <w:rsid w:val="00B615BA"/>
    <w:rsid w:val="00B619A9"/>
    <w:rsid w:val="00B61C5A"/>
    <w:rsid w:val="00B64976"/>
    <w:rsid w:val="00B65A9D"/>
    <w:rsid w:val="00B65AA3"/>
    <w:rsid w:val="00B6618F"/>
    <w:rsid w:val="00B663F9"/>
    <w:rsid w:val="00B66D60"/>
    <w:rsid w:val="00B67223"/>
    <w:rsid w:val="00B75EDE"/>
    <w:rsid w:val="00B77D88"/>
    <w:rsid w:val="00B77FAF"/>
    <w:rsid w:val="00B84336"/>
    <w:rsid w:val="00B851B9"/>
    <w:rsid w:val="00B85C95"/>
    <w:rsid w:val="00B86453"/>
    <w:rsid w:val="00B90054"/>
    <w:rsid w:val="00B919C9"/>
    <w:rsid w:val="00B92C14"/>
    <w:rsid w:val="00B95612"/>
    <w:rsid w:val="00B96AFF"/>
    <w:rsid w:val="00BA0066"/>
    <w:rsid w:val="00BA1B8D"/>
    <w:rsid w:val="00BA289C"/>
    <w:rsid w:val="00BB69DB"/>
    <w:rsid w:val="00BC322E"/>
    <w:rsid w:val="00BC44CD"/>
    <w:rsid w:val="00BC48A6"/>
    <w:rsid w:val="00BD3965"/>
    <w:rsid w:val="00BE69D1"/>
    <w:rsid w:val="00BE7978"/>
    <w:rsid w:val="00BF01FF"/>
    <w:rsid w:val="00BF511D"/>
    <w:rsid w:val="00BF5587"/>
    <w:rsid w:val="00C01F0D"/>
    <w:rsid w:val="00C069D6"/>
    <w:rsid w:val="00C07DDB"/>
    <w:rsid w:val="00C17988"/>
    <w:rsid w:val="00C2422F"/>
    <w:rsid w:val="00C3134B"/>
    <w:rsid w:val="00C4115D"/>
    <w:rsid w:val="00C43BDD"/>
    <w:rsid w:val="00C46D9E"/>
    <w:rsid w:val="00C47170"/>
    <w:rsid w:val="00C47778"/>
    <w:rsid w:val="00C5011E"/>
    <w:rsid w:val="00C50EE5"/>
    <w:rsid w:val="00C5240A"/>
    <w:rsid w:val="00C5398F"/>
    <w:rsid w:val="00C556F5"/>
    <w:rsid w:val="00C70E19"/>
    <w:rsid w:val="00C72574"/>
    <w:rsid w:val="00C7430C"/>
    <w:rsid w:val="00C84989"/>
    <w:rsid w:val="00C85DA1"/>
    <w:rsid w:val="00C9071C"/>
    <w:rsid w:val="00C908FF"/>
    <w:rsid w:val="00C97BD3"/>
    <w:rsid w:val="00CA39EF"/>
    <w:rsid w:val="00CA4954"/>
    <w:rsid w:val="00CA521F"/>
    <w:rsid w:val="00CB0493"/>
    <w:rsid w:val="00CB04F1"/>
    <w:rsid w:val="00CB17FF"/>
    <w:rsid w:val="00CB1ED7"/>
    <w:rsid w:val="00CB50CD"/>
    <w:rsid w:val="00CC167C"/>
    <w:rsid w:val="00CC4A22"/>
    <w:rsid w:val="00CC4D0B"/>
    <w:rsid w:val="00CC52D9"/>
    <w:rsid w:val="00CD6647"/>
    <w:rsid w:val="00CE07CD"/>
    <w:rsid w:val="00CE4B73"/>
    <w:rsid w:val="00CE5382"/>
    <w:rsid w:val="00CF70BB"/>
    <w:rsid w:val="00D074DB"/>
    <w:rsid w:val="00D10D3E"/>
    <w:rsid w:val="00D139CF"/>
    <w:rsid w:val="00D156AE"/>
    <w:rsid w:val="00D20779"/>
    <w:rsid w:val="00D238A3"/>
    <w:rsid w:val="00D30BE7"/>
    <w:rsid w:val="00D33283"/>
    <w:rsid w:val="00D37E7F"/>
    <w:rsid w:val="00D46597"/>
    <w:rsid w:val="00D47AD7"/>
    <w:rsid w:val="00D51529"/>
    <w:rsid w:val="00D620F0"/>
    <w:rsid w:val="00D63718"/>
    <w:rsid w:val="00D76458"/>
    <w:rsid w:val="00D8125E"/>
    <w:rsid w:val="00D85218"/>
    <w:rsid w:val="00D85CBE"/>
    <w:rsid w:val="00D86C14"/>
    <w:rsid w:val="00D915B1"/>
    <w:rsid w:val="00D91C80"/>
    <w:rsid w:val="00D94E89"/>
    <w:rsid w:val="00D97F07"/>
    <w:rsid w:val="00DA0392"/>
    <w:rsid w:val="00DA299D"/>
    <w:rsid w:val="00DA3123"/>
    <w:rsid w:val="00DA65C4"/>
    <w:rsid w:val="00DB27A4"/>
    <w:rsid w:val="00DB47B8"/>
    <w:rsid w:val="00DB7726"/>
    <w:rsid w:val="00DC0AE1"/>
    <w:rsid w:val="00DC257D"/>
    <w:rsid w:val="00DC3ADD"/>
    <w:rsid w:val="00DE3B46"/>
    <w:rsid w:val="00DE4447"/>
    <w:rsid w:val="00DE5DA2"/>
    <w:rsid w:val="00DE63C6"/>
    <w:rsid w:val="00DF0033"/>
    <w:rsid w:val="00DF2CEB"/>
    <w:rsid w:val="00DF32F9"/>
    <w:rsid w:val="00DF7121"/>
    <w:rsid w:val="00E011E8"/>
    <w:rsid w:val="00E026BF"/>
    <w:rsid w:val="00E04659"/>
    <w:rsid w:val="00E07535"/>
    <w:rsid w:val="00E07887"/>
    <w:rsid w:val="00E07B1B"/>
    <w:rsid w:val="00E114BE"/>
    <w:rsid w:val="00E11853"/>
    <w:rsid w:val="00E1671C"/>
    <w:rsid w:val="00E253F7"/>
    <w:rsid w:val="00E267B5"/>
    <w:rsid w:val="00E50421"/>
    <w:rsid w:val="00E52A86"/>
    <w:rsid w:val="00E54B47"/>
    <w:rsid w:val="00E553BF"/>
    <w:rsid w:val="00E55D93"/>
    <w:rsid w:val="00E610A4"/>
    <w:rsid w:val="00E61294"/>
    <w:rsid w:val="00E7237C"/>
    <w:rsid w:val="00E77C46"/>
    <w:rsid w:val="00E858FD"/>
    <w:rsid w:val="00E8657B"/>
    <w:rsid w:val="00E8668F"/>
    <w:rsid w:val="00E86CE8"/>
    <w:rsid w:val="00E875F6"/>
    <w:rsid w:val="00E90E82"/>
    <w:rsid w:val="00EA00CB"/>
    <w:rsid w:val="00EA1BAA"/>
    <w:rsid w:val="00EA1BCB"/>
    <w:rsid w:val="00EA3120"/>
    <w:rsid w:val="00EA3FCD"/>
    <w:rsid w:val="00EA42A0"/>
    <w:rsid w:val="00EA5B21"/>
    <w:rsid w:val="00EB43C5"/>
    <w:rsid w:val="00EB6714"/>
    <w:rsid w:val="00EC0A68"/>
    <w:rsid w:val="00EC18F9"/>
    <w:rsid w:val="00EC3C32"/>
    <w:rsid w:val="00EC5006"/>
    <w:rsid w:val="00ED1A46"/>
    <w:rsid w:val="00ED49C3"/>
    <w:rsid w:val="00ED6CE8"/>
    <w:rsid w:val="00ED7AA6"/>
    <w:rsid w:val="00EE2A56"/>
    <w:rsid w:val="00EE3818"/>
    <w:rsid w:val="00EE3961"/>
    <w:rsid w:val="00EF2519"/>
    <w:rsid w:val="00EF3C90"/>
    <w:rsid w:val="00F05C33"/>
    <w:rsid w:val="00F13138"/>
    <w:rsid w:val="00F15CCA"/>
    <w:rsid w:val="00F22264"/>
    <w:rsid w:val="00F2564D"/>
    <w:rsid w:val="00F256DB"/>
    <w:rsid w:val="00F35B05"/>
    <w:rsid w:val="00F413D9"/>
    <w:rsid w:val="00F43B6C"/>
    <w:rsid w:val="00F4766D"/>
    <w:rsid w:val="00F5135F"/>
    <w:rsid w:val="00F51F78"/>
    <w:rsid w:val="00F54D4A"/>
    <w:rsid w:val="00F57385"/>
    <w:rsid w:val="00F71E37"/>
    <w:rsid w:val="00F77B4E"/>
    <w:rsid w:val="00F803F1"/>
    <w:rsid w:val="00F83464"/>
    <w:rsid w:val="00F83B16"/>
    <w:rsid w:val="00F845DF"/>
    <w:rsid w:val="00F86F47"/>
    <w:rsid w:val="00F9009C"/>
    <w:rsid w:val="00F90B64"/>
    <w:rsid w:val="00F91EB5"/>
    <w:rsid w:val="00FA0E81"/>
    <w:rsid w:val="00FA3FEC"/>
    <w:rsid w:val="00FB2F0F"/>
    <w:rsid w:val="00FB44EF"/>
    <w:rsid w:val="00FB5086"/>
    <w:rsid w:val="00FB5411"/>
    <w:rsid w:val="00FB6392"/>
    <w:rsid w:val="00FB6F37"/>
    <w:rsid w:val="00FC2F15"/>
    <w:rsid w:val="00FC4F36"/>
    <w:rsid w:val="00FC6251"/>
    <w:rsid w:val="00FD1EF3"/>
    <w:rsid w:val="00FD2E02"/>
    <w:rsid w:val="00FD3C70"/>
    <w:rsid w:val="00FD6820"/>
    <w:rsid w:val="00FD6E20"/>
    <w:rsid w:val="00FE12D8"/>
    <w:rsid w:val="00FF1A62"/>
    <w:rsid w:val="00FF627F"/>
    <w:rsid w:val="00FF7C02"/>
    <w:rsid w:val="024801E3"/>
    <w:rsid w:val="040E3464"/>
    <w:rsid w:val="0E2DCAF5"/>
    <w:rsid w:val="1328E15D"/>
    <w:rsid w:val="2238621D"/>
    <w:rsid w:val="254F5937"/>
    <w:rsid w:val="349B51D9"/>
    <w:rsid w:val="417CBB81"/>
    <w:rsid w:val="489F8DA5"/>
    <w:rsid w:val="5A4CC303"/>
    <w:rsid w:val="5F4F1E25"/>
    <w:rsid w:val="5FC37F29"/>
    <w:rsid w:val="62D2845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shapedefaults>
    <o:shapelayout v:ext="edit">
      <o:idmap v:ext="edit" data="2"/>
    </o:shapelayout>
  </w:shapeDefaults>
  <w:doNotEmbedSmartTags/>
  <w:decimalSymbol w:val=","/>
  <w:listSeparator w:val=";"/>
  <w14:docId w14:val="1FE2B7EB"/>
  <w14:defaultImageDpi w14:val="330"/>
  <w15:docId w15:val="{D781D1C9-31EF-4AFC-9810-05A489033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Olstomnmnande1">
    <w:name w:val="Olöst omnämnande1"/>
    <w:basedOn w:val="Standardstycketeckensnitt"/>
    <w:uiPriority w:val="99"/>
    <w:semiHidden/>
    <w:unhideWhenUsed/>
    <w:rsid w:val="00FD6E20"/>
    <w:rPr>
      <w:color w:val="605E5C"/>
      <w:shd w:val="clear" w:color="auto" w:fill="E1DFDD"/>
    </w:rPr>
  </w:style>
  <w:style w:type="paragraph" w:customStyle="1" w:styleId="Default">
    <w:name w:val="Default"/>
    <w:rsid w:val="00B042D7"/>
    <w:pPr>
      <w:autoSpaceDE w:val="0"/>
      <w:autoSpaceDN w:val="0"/>
      <w:adjustRightInd w:val="0"/>
    </w:pPr>
    <w:rPr>
      <w:rFonts w:eastAsiaTheme="minorHAnsi"/>
      <w:color w:val="000000"/>
      <w:sz w:val="24"/>
      <w:szCs w:val="24"/>
      <w:lang w:eastAsia="en-US"/>
    </w:rPr>
  </w:style>
  <w:style w:type="paragraph" w:customStyle="1" w:styleId="Formatmall2">
    <w:name w:val="Formatmall2"/>
    <w:basedOn w:val="Normal"/>
    <w:link w:val="Formatmall2Char"/>
    <w:qFormat/>
    <w:rsid w:val="00F803F1"/>
    <w:pPr>
      <w:autoSpaceDE w:val="0"/>
      <w:autoSpaceDN w:val="0"/>
      <w:adjustRightInd w:val="0"/>
      <w:ind w:left="720"/>
    </w:pPr>
    <w:rPr>
      <w:color w:val="000000"/>
      <w:kern w:val="24"/>
    </w:rPr>
  </w:style>
  <w:style w:type="character" w:customStyle="1" w:styleId="Formatmall2Char">
    <w:name w:val="Formatmall2 Char"/>
    <w:basedOn w:val="Standardstycketeckensnitt"/>
    <w:link w:val="Formatmall2"/>
    <w:rsid w:val="00F803F1"/>
    <w:rPr>
      <w:color w:val="000000"/>
      <w:kern w:val="24"/>
      <w:sz w:val="24"/>
      <w:szCs w:val="24"/>
    </w:rPr>
  </w:style>
  <w:style w:type="character" w:styleId="AnvndHyperlnk">
    <w:name w:val="FollowedHyperlink"/>
    <w:basedOn w:val="Standardstycketeckensnitt"/>
    <w:uiPriority w:val="99"/>
    <w:semiHidden/>
    <w:unhideWhenUsed/>
    <w:rsid w:val="00076CF3"/>
    <w:rPr>
      <w:color w:val="9EA2A2" w:themeColor="followedHyperlink"/>
      <w:u w:val="single"/>
    </w:rPr>
  </w:style>
  <w:style w:type="character" w:styleId="Kommentarsreferens">
    <w:name w:val="annotation reference"/>
    <w:basedOn w:val="Standardstycketeckensnitt"/>
    <w:uiPriority w:val="99"/>
    <w:semiHidden/>
    <w:unhideWhenUsed/>
    <w:rsid w:val="00076CF3"/>
    <w:rPr>
      <w:sz w:val="16"/>
      <w:szCs w:val="16"/>
    </w:rPr>
  </w:style>
  <w:style w:type="paragraph" w:styleId="Kommentarer">
    <w:name w:val="annotation text"/>
    <w:basedOn w:val="Normal"/>
    <w:link w:val="KommentarerChar"/>
    <w:uiPriority w:val="99"/>
    <w:semiHidden/>
    <w:unhideWhenUsed/>
    <w:rsid w:val="00076CF3"/>
    <w:pPr>
      <w:spacing w:line="240" w:lineRule="auto"/>
    </w:pPr>
    <w:rPr>
      <w:sz w:val="20"/>
      <w:szCs w:val="20"/>
    </w:rPr>
  </w:style>
  <w:style w:type="character" w:customStyle="1" w:styleId="KommentarerChar">
    <w:name w:val="Kommentarer Char"/>
    <w:basedOn w:val="Standardstycketeckensnitt"/>
    <w:link w:val="Kommentarer"/>
    <w:uiPriority w:val="99"/>
    <w:semiHidden/>
    <w:rsid w:val="00076CF3"/>
  </w:style>
  <w:style w:type="paragraph" w:styleId="Kommentarsmne">
    <w:name w:val="annotation subject"/>
    <w:basedOn w:val="Kommentarer"/>
    <w:next w:val="Kommentarer"/>
    <w:link w:val="KommentarsmneChar"/>
    <w:uiPriority w:val="99"/>
    <w:semiHidden/>
    <w:unhideWhenUsed/>
    <w:rsid w:val="00076CF3"/>
    <w:rPr>
      <w:b/>
      <w:bCs/>
    </w:rPr>
  </w:style>
  <w:style w:type="character" w:customStyle="1" w:styleId="KommentarsmneChar">
    <w:name w:val="Kommentarsämne Char"/>
    <w:basedOn w:val="KommentarerChar"/>
    <w:link w:val="Kommentarsmne"/>
    <w:uiPriority w:val="99"/>
    <w:semiHidden/>
    <w:rsid w:val="00076CF3"/>
    <w:rPr>
      <w:b/>
      <w:bCs/>
    </w:rPr>
  </w:style>
  <w:style w:type="paragraph" w:styleId="Revision">
    <w:name w:val="Revision"/>
    <w:hidden/>
    <w:uiPriority w:val="99"/>
    <w:semiHidden/>
    <w:rsid w:val="00CB04F1"/>
    <w:rPr>
      <w:sz w:val="24"/>
      <w:szCs w:val="24"/>
    </w:rPr>
  </w:style>
  <w:style w:type="character" w:styleId="Olstomnmnande">
    <w:name w:val="Unresolved Mention"/>
    <w:basedOn w:val="Standardstycketeckensnitt"/>
    <w:uiPriority w:val="99"/>
    <w:semiHidden/>
    <w:unhideWhenUsed/>
    <w:rsid w:val="00770163"/>
    <w:rPr>
      <w:color w:val="605E5C"/>
      <w:shd w:val="clear" w:color="auto" w:fill="E1DFDD"/>
    </w:rPr>
  </w:style>
  <w:style w:type="paragraph" w:styleId="Normalwebb">
    <w:name w:val="Normal (Web)"/>
    <w:basedOn w:val="Normal"/>
    <w:uiPriority w:val="99"/>
    <w:semiHidden/>
    <w:unhideWhenUsed/>
    <w:rsid w:val="0076237B"/>
    <w:pPr>
      <w:spacing w:before="100" w:beforeAutospacing="1" w:after="100" w:afterAutospacing="1" w:line="240" w:lineRule="auto"/>
      <w:ind w:left="0" w:right="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2153377">
      <w:bodyDiv w:val="1"/>
      <w:marLeft w:val="0"/>
      <w:marRight w:val="0"/>
      <w:marTop w:val="0"/>
      <w:marBottom w:val="0"/>
      <w:divBdr>
        <w:top w:val="none" w:sz="0" w:space="0" w:color="auto"/>
        <w:left w:val="none" w:sz="0" w:space="0" w:color="auto"/>
        <w:bottom w:val="none" w:sz="0" w:space="0" w:color="auto"/>
        <w:right w:val="none" w:sz="0" w:space="0" w:color="auto"/>
      </w:divBdr>
      <w:divsChild>
        <w:div w:id="391656360">
          <w:marLeft w:val="0"/>
          <w:marRight w:val="868"/>
          <w:marTop w:val="0"/>
          <w:marBottom w:val="0"/>
          <w:divBdr>
            <w:top w:val="none" w:sz="0" w:space="0" w:color="auto"/>
            <w:left w:val="none" w:sz="0" w:space="0" w:color="auto"/>
            <w:bottom w:val="none" w:sz="0" w:space="0" w:color="auto"/>
            <w:right w:val="none" w:sz="0" w:space="0" w:color="auto"/>
          </w:divBdr>
        </w:div>
        <w:div w:id="1521310745">
          <w:marLeft w:val="0"/>
          <w:marRight w:val="868"/>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kunskapsbanken.cancercentrum.se/stoddokument/antiemetika-vuxen/" TargetMode="External" Id="rId13" /><Relationship Type="http://schemas.openxmlformats.org/officeDocument/2006/relationships/hyperlink" Target="https://kunskapsbanken.cancercentrum.se/stoddokument/antiemetika-vuxen/" TargetMode="External" Id="rId18" /><Relationship Type="http://schemas.openxmlformats.org/officeDocument/2006/relationships/image" Target="media/image4.png" Id="rId26" /><Relationship Type="http://schemas.openxmlformats.org/officeDocument/2006/relationships/image" Target="media/image3.png" Id="rId21" /><Relationship Type="http://schemas.openxmlformats.org/officeDocument/2006/relationships/styles" Target="styles.xml" Id="rId7" /><Relationship Type="http://schemas.openxmlformats.org/officeDocument/2006/relationships/hyperlink" Target="https://kunskapsbanken.cancercentrum.se/stoddokument/antiemetika-vuxen/" TargetMode="External" Id="rId12" /><Relationship Type="http://schemas.openxmlformats.org/officeDocument/2006/relationships/image" Target="media/image2.png" Id="rId17" /><Relationship Type="http://schemas.openxmlformats.org/officeDocument/2006/relationships/hyperlink" Target="https://kunskapsbanken.cancercentrum.se/stoddokument/antiemetika-vuxen/" TargetMode="External" Id="rId25" /><Relationship Type="http://schemas.openxmlformats.org/officeDocument/2006/relationships/theme" Target="theme/theme1.xml" Id="rId33" /><Relationship Type="http://schemas.openxmlformats.org/officeDocument/2006/relationships/image" Target="media/image1.png" Id="rId16" /><Relationship Type="http://schemas.openxmlformats.org/officeDocument/2006/relationships/hyperlink" Target="https://kunskapsbanken.cancercentrum.se/lakemedelsregimer" TargetMode="External" Id="rId20" /><Relationship Type="http://schemas.openxmlformats.org/officeDocument/2006/relationships/footer" Target="foot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RS6722-486744593-243/SURROGATE/Gr%c3%a4nsdragning%20mellan%20Cytobase%20och%20huvudjournal.pdf" TargetMode="External" Id="rId24" /><Relationship Type="http://schemas.openxmlformats.org/officeDocument/2006/relationships/fontTable" Target="fontTable.xml" Id="rId32" /><Relationship Type="http://schemas.openxmlformats.org/officeDocument/2006/relationships/hyperlink" Target="https://alfresco-offentlig.vgregion.se/alfresco/service/vgr/storage/node/content/18084/Illam%c3%a5ende%20vid%20cancersjukdom.pdf?a=false&amp;guest=true" TargetMode="External" Id="rId15" /><Relationship Type="http://schemas.openxmlformats.org/officeDocument/2006/relationships/hyperlink" Target="https://insidan.vgregion.se/forvaltningar/su/stod-och-tjanster/system-a-o/cytobase/"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insidan.vgregion.se/forvaltningar/su/stod-och-tjanster/system-a-o/cytobase/" TargetMode="External" Id="rId19" /><Relationship Type="http://schemas.openxmlformats.org/officeDocument/2006/relationships/footer" Target="footer3.xml" Id="rId31" /><Relationship Type="http://schemas.openxmlformats.org/officeDocument/2006/relationships/webSettings" Target="webSettings.xml" Id="rId9" /><Relationship Type="http://schemas.openxmlformats.org/officeDocument/2006/relationships/hyperlink" Target="https://kunskapsbanken.cancercentrum.se/stoddokument/antiemetika-vuxen/" TargetMode="External" Id="rId14" /><Relationship Type="http://schemas.openxmlformats.org/officeDocument/2006/relationships/hyperlink" Target="https://insidan.vgregion.se/forvaltningar/su/stod-och-tjanster/system-a-o/cytobase/" TargetMode="External" Id="rId22" /><Relationship Type="http://schemas.openxmlformats.org/officeDocument/2006/relationships/header" Target="header1.xml" Id="rId27" /><Relationship Type="http://schemas.openxmlformats.org/officeDocument/2006/relationships/header" Target="header2.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6.wmf"/></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18</Pages>
  <Words>3407</Words>
  <Characters>23784</Characters>
  <Application>Microsoft Office Word</Application>
  <DocSecurity>0</DocSecurity>
  <Lines>198</Lines>
  <Paragraphs>54</Paragraphs>
  <ScaleCrop>false</ScaleCrop>
  <Manager/>
  <Company/>
  <LinksUpToDate>false</LinksUpToDate>
  <CharactersWithSpaces>27137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Antiemetika - administrering vid cytostatikabehandling, hematologi och onkologi vuxna</dc:title>
  <dc:subject/>
  <dc:creator>Anna Verdoes</dc:creator>
  <keywords/>
  <lastModifiedBy>Helena von Bahr</lastModifiedBy>
  <revision>295</revision>
  <lastPrinted>2016-03-30T16:56:00.0000000Z</lastPrinted>
  <dcterms:created xsi:type="dcterms:W3CDTF">2023-03-30T13:35:00.0000000Z</dcterms:created>
  <dcterms:modified xsi:type="dcterms:W3CDTF">2025-01-14T08:27:00.0000000Z</dcterms:modified>
</coreProperties>
</file>