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docProps/core.xml" ContentType="application/vnd.openxmlformats-package.core-properti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3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before="93"/>
        <w:ind w:left="882" w:right="0" w:firstLine="0"/>
        <w:jc w:val="left"/>
        <w:rPr>
          <w:rFonts w:ascii="Arial" w:hAnsi="Arial"/>
          <w:b/>
          <w:sz w:val="20"/>
        </w:rPr>
      </w:pPr>
      <w:r>
        <w:rPr/>
        <w:pict>
          <v:group style="position:absolute;margin-left:28.35pt;margin-top:-21.700096pt;width:538.6pt;height:99.05pt;mso-position-horizontal-relative:page;mso-position-vertical-relative:paragraph;z-index:-15790592" id="docshapegroup2" coordorigin="567,-434" coordsize="10772,1981">
            <v:shape style="position:absolute;left:567;top:-434;width:10772;height:1981" type="#_x0000_t75" id="docshape3" stroked="false">
              <v:imagedata r:id="rId6" o:title=""/>
            </v:shape>
            <v:shape style="position:absolute;left:8336;top:21;width:2550;height:518" type="#_x0000_t75" id="docshape4" stroked="false">
              <v:imagedata r:id="rId7" o:title=""/>
            </v:shape>
            <w10:wrap type="none"/>
          </v:group>
        </w:pict>
      </w:r>
      <w:r>
        <w:rPr>
          <w:rFonts w:ascii="Arial" w:hAnsi="Arial"/>
          <w:b/>
          <w:color w:val="FFFFFF"/>
          <w:sz w:val="20"/>
        </w:rPr>
        <w:t>Terapigrupp</w:t>
      </w:r>
      <w:r>
        <w:rPr>
          <w:rFonts w:ascii="Arial" w:hAnsi="Arial"/>
          <w:b/>
          <w:color w:val="FFFFFF"/>
          <w:spacing w:val="11"/>
          <w:sz w:val="20"/>
        </w:rPr>
        <w:t> </w:t>
      </w:r>
      <w:r>
        <w:rPr>
          <w:rFonts w:ascii="Arial" w:hAnsi="Arial"/>
          <w:b/>
          <w:color w:val="FFFFFF"/>
          <w:sz w:val="20"/>
        </w:rPr>
        <w:t>Gynekologi</w:t>
      </w:r>
      <w:r>
        <w:rPr>
          <w:rFonts w:ascii="Arial" w:hAnsi="Arial"/>
          <w:b/>
          <w:color w:val="FFFFFF"/>
          <w:spacing w:val="14"/>
          <w:sz w:val="20"/>
        </w:rPr>
        <w:t> </w:t>
      </w:r>
      <w:r>
        <w:rPr>
          <w:rFonts w:ascii="Arial" w:hAnsi="Arial"/>
          <w:b/>
          <w:color w:val="FFFFFF"/>
          <w:sz w:val="20"/>
        </w:rPr>
        <w:t>–</w:t>
      </w:r>
      <w:r>
        <w:rPr>
          <w:rFonts w:ascii="Arial" w:hAnsi="Arial"/>
          <w:b/>
          <w:color w:val="FFFFFF"/>
          <w:spacing w:val="11"/>
          <w:sz w:val="20"/>
        </w:rPr>
        <w:t> </w:t>
      </w:r>
      <w:r>
        <w:rPr>
          <w:rFonts w:ascii="Arial" w:hAnsi="Arial"/>
          <w:b/>
          <w:color w:val="FFFFFF"/>
          <w:sz w:val="20"/>
        </w:rPr>
        <w:t>Utvidgade</w:t>
      </w:r>
      <w:r>
        <w:rPr>
          <w:rFonts w:ascii="Arial" w:hAnsi="Arial"/>
          <w:b/>
          <w:color w:val="FFFFFF"/>
          <w:spacing w:val="11"/>
          <w:sz w:val="20"/>
        </w:rPr>
        <w:t> </w:t>
      </w:r>
      <w:r>
        <w:rPr>
          <w:rFonts w:ascii="Arial" w:hAnsi="Arial"/>
          <w:b/>
          <w:color w:val="FFFFFF"/>
          <w:sz w:val="20"/>
        </w:rPr>
        <w:t>terapiråd</w:t>
      </w:r>
    </w:p>
    <w:p>
      <w:pPr>
        <w:pStyle w:val="BodyText"/>
        <w:rPr>
          <w:rFonts w:ascii="Arial"/>
          <w:b/>
          <w:sz w:val="21"/>
        </w:rPr>
      </w:pPr>
    </w:p>
    <w:p>
      <w:pPr>
        <w:pStyle w:val="Title"/>
      </w:pPr>
      <w:r>
        <w:rPr>
          <w:color w:val="FFFFFF"/>
          <w:spacing w:val="-2"/>
          <w:w w:val="95"/>
        </w:rPr>
        <w:t>Akuta</w:t>
      </w:r>
      <w:r>
        <w:rPr>
          <w:color w:val="FFFFFF"/>
          <w:spacing w:val="-24"/>
          <w:w w:val="95"/>
        </w:rPr>
        <w:t> </w:t>
      </w:r>
      <w:r>
        <w:rPr>
          <w:color w:val="FFFFFF"/>
          <w:spacing w:val="-2"/>
          <w:w w:val="95"/>
        </w:rPr>
        <w:t>preventivmetoder</w:t>
      </w:r>
    </w:p>
    <w:p>
      <w:pPr>
        <w:spacing w:line="223" w:lineRule="exact" w:before="0"/>
        <w:ind w:left="0" w:right="714" w:firstLine="0"/>
        <w:jc w:val="right"/>
        <w:rPr>
          <w:rFonts w:ascii="Arial"/>
          <w:b/>
          <w:sz w:val="20"/>
        </w:rPr>
      </w:pPr>
      <w:r>
        <w:rPr>
          <w:rFonts w:ascii="Arial"/>
          <w:b/>
          <w:color w:val="FFFFFF"/>
          <w:sz w:val="20"/>
        </w:rPr>
        <w:t>Giltig</w:t>
      </w:r>
      <w:r>
        <w:rPr>
          <w:rFonts w:ascii="Arial"/>
          <w:b/>
          <w:color w:val="FFFFFF"/>
          <w:spacing w:val="-4"/>
          <w:sz w:val="20"/>
        </w:rPr>
        <w:t> </w:t>
      </w:r>
      <w:r>
        <w:rPr>
          <w:rFonts w:ascii="Arial"/>
          <w:b/>
          <w:color w:val="FFFFFF"/>
          <w:sz w:val="20"/>
        </w:rPr>
        <w:t>fr.o.m.</w:t>
      </w:r>
      <w:r>
        <w:rPr>
          <w:rFonts w:ascii="Arial"/>
          <w:b/>
          <w:color w:val="FFFFFF"/>
          <w:spacing w:val="-4"/>
          <w:sz w:val="20"/>
        </w:rPr>
        <w:t> </w:t>
      </w:r>
      <w:r>
        <w:rPr>
          <w:rFonts w:ascii="Arial"/>
          <w:b/>
          <w:color w:val="FFFFFF"/>
          <w:sz w:val="20"/>
        </w:rPr>
        <w:t>2020-04-21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</w:rPr>
      </w:pPr>
    </w:p>
    <w:p>
      <w:pPr>
        <w:spacing w:before="92"/>
        <w:ind w:left="932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sz w:val="28"/>
        </w:rPr>
        <w:t>Akutpreventivmedel</w:t>
      </w:r>
    </w:p>
    <w:p>
      <w:pPr>
        <w:pStyle w:val="Heading1"/>
        <w:spacing w:line="240" w:lineRule="auto" w:before="218"/>
        <w:ind w:left="932" w:right="1007"/>
        <w:rPr>
          <w:rFonts w:ascii="Times New Roman" w:hAnsi="Times New Roman"/>
        </w:rPr>
      </w:pPr>
      <w:r>
        <w:rPr>
          <w:rFonts w:ascii="Times New Roman" w:hAnsi="Times New Roman"/>
        </w:rPr>
        <w:t>Alla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kvinnor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som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söker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efter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oskyddat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samlag,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tablettglömska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eller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annat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misslyckande</w:t>
      </w:r>
      <w:r>
        <w:rPr>
          <w:rFonts w:ascii="Times New Roman" w:hAnsi="Times New Roman"/>
          <w:spacing w:val="-57"/>
        </w:rPr>
        <w:t> </w:t>
      </w:r>
      <w:r>
        <w:rPr>
          <w:rFonts w:ascii="Times New Roman" w:hAnsi="Times New Roman"/>
        </w:rPr>
        <w:t>med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aktuell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preventivmetod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bör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erbjudas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akutpreventivmedel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oavsett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tidpunkten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menstruationscykeln.</w:t>
      </w:r>
    </w:p>
    <w:p>
      <w:pPr>
        <w:pStyle w:val="BodyText"/>
        <w:rPr>
          <w:b/>
          <w:sz w:val="28"/>
        </w:rPr>
      </w:pPr>
    </w:p>
    <w:p>
      <w:pPr>
        <w:pStyle w:val="BodyText"/>
        <w:ind w:left="932" w:right="1059"/>
      </w:pPr>
      <w:r>
        <w:rPr/>
        <w:t>Spermier</w:t>
      </w:r>
      <w:r>
        <w:rPr>
          <w:spacing w:val="4"/>
        </w:rPr>
        <w:t> </w:t>
      </w:r>
      <w:r>
        <w:rPr/>
        <w:t>kan</w:t>
      </w:r>
      <w:r>
        <w:rPr>
          <w:spacing w:val="5"/>
        </w:rPr>
        <w:t> </w:t>
      </w:r>
      <w:r>
        <w:rPr/>
        <w:t>under</w:t>
      </w:r>
      <w:r>
        <w:rPr>
          <w:spacing w:val="4"/>
        </w:rPr>
        <w:t> </w:t>
      </w:r>
      <w:r>
        <w:rPr/>
        <w:t>gynnsamma</w:t>
      </w:r>
      <w:r>
        <w:rPr>
          <w:spacing w:val="4"/>
        </w:rPr>
        <w:t> </w:t>
      </w:r>
      <w:r>
        <w:rPr/>
        <w:t>förhållanden</w:t>
      </w:r>
      <w:r>
        <w:rPr>
          <w:spacing w:val="11"/>
        </w:rPr>
        <w:t> </w:t>
      </w:r>
      <w:r>
        <w:rPr/>
        <w:t>överleva</w:t>
      </w:r>
      <w:r>
        <w:rPr>
          <w:spacing w:val="4"/>
        </w:rPr>
        <w:t> </w:t>
      </w:r>
      <w:r>
        <w:rPr/>
        <w:t>i</w:t>
      </w:r>
      <w:r>
        <w:rPr>
          <w:spacing w:val="3"/>
        </w:rPr>
        <w:t> </w:t>
      </w:r>
      <w:r>
        <w:rPr/>
        <w:t>kvinnans</w:t>
      </w:r>
      <w:r>
        <w:rPr>
          <w:spacing w:val="5"/>
        </w:rPr>
        <w:t> </w:t>
      </w:r>
      <w:r>
        <w:rPr/>
        <w:t>genitalia</w:t>
      </w:r>
      <w:r>
        <w:rPr>
          <w:spacing w:val="4"/>
        </w:rPr>
        <w:t> </w:t>
      </w:r>
      <w:r>
        <w:rPr/>
        <w:t>i</w:t>
      </w:r>
      <w:r>
        <w:rPr>
          <w:spacing w:val="3"/>
        </w:rPr>
        <w:t> </w:t>
      </w:r>
      <w:r>
        <w:rPr/>
        <w:t>5</w:t>
      </w:r>
      <w:r>
        <w:rPr>
          <w:spacing w:val="5"/>
        </w:rPr>
        <w:t> </w:t>
      </w:r>
      <w:r>
        <w:rPr/>
        <w:t>dygn.</w:t>
      </w:r>
      <w:r>
        <w:rPr>
          <w:spacing w:val="6"/>
        </w:rPr>
        <w:t> </w:t>
      </w:r>
      <w:r>
        <w:rPr/>
        <w:t>Ägget</w:t>
      </w:r>
      <w:r>
        <w:rPr>
          <w:spacing w:val="1"/>
        </w:rPr>
        <w:t> </w:t>
      </w:r>
      <w:r>
        <w:rPr/>
        <w:t>är</w:t>
      </w:r>
      <w:r>
        <w:rPr>
          <w:spacing w:val="3"/>
        </w:rPr>
        <w:t> </w:t>
      </w:r>
      <w:r>
        <w:rPr/>
        <w:t>efter</w:t>
      </w:r>
      <w:r>
        <w:rPr>
          <w:spacing w:val="4"/>
        </w:rPr>
        <w:t> </w:t>
      </w:r>
      <w:r>
        <w:rPr/>
        <w:t>ägglossningen</w:t>
      </w:r>
      <w:r>
        <w:rPr>
          <w:spacing w:val="5"/>
        </w:rPr>
        <w:t> </w:t>
      </w:r>
      <w:r>
        <w:rPr/>
        <w:t>befruktningsbart</w:t>
      </w:r>
      <w:r>
        <w:rPr>
          <w:spacing w:val="4"/>
        </w:rPr>
        <w:t> </w:t>
      </w:r>
      <w:r>
        <w:rPr/>
        <w:t>i</w:t>
      </w:r>
      <w:r>
        <w:rPr>
          <w:spacing w:val="5"/>
        </w:rPr>
        <w:t> </w:t>
      </w:r>
      <w:r>
        <w:rPr/>
        <w:t>ca</w:t>
      </w:r>
      <w:r>
        <w:rPr>
          <w:spacing w:val="4"/>
        </w:rPr>
        <w:t> </w:t>
      </w:r>
      <w:r>
        <w:rPr/>
        <w:t>ett</w:t>
      </w:r>
      <w:r>
        <w:rPr>
          <w:spacing w:val="5"/>
        </w:rPr>
        <w:t> </w:t>
      </w:r>
      <w:r>
        <w:rPr/>
        <w:t>dygn.</w:t>
      </w:r>
      <w:r>
        <w:rPr>
          <w:spacing w:val="5"/>
        </w:rPr>
        <w:t> </w:t>
      </w:r>
      <w:r>
        <w:rPr/>
        <w:t>Därför</w:t>
      </w:r>
      <w:r>
        <w:rPr>
          <w:spacing w:val="4"/>
        </w:rPr>
        <w:t> </w:t>
      </w:r>
      <w:r>
        <w:rPr/>
        <w:t>är</w:t>
      </w:r>
      <w:r>
        <w:rPr>
          <w:spacing w:val="3"/>
        </w:rPr>
        <w:t> </w:t>
      </w:r>
      <w:r>
        <w:rPr/>
        <w:t>sannolikheten</w:t>
      </w:r>
      <w:r>
        <w:rPr>
          <w:spacing w:val="5"/>
        </w:rPr>
        <w:t> </w:t>
      </w:r>
      <w:r>
        <w:rPr/>
        <w:t>för</w:t>
      </w:r>
      <w:r>
        <w:rPr>
          <w:spacing w:val="3"/>
        </w:rPr>
        <w:t> </w:t>
      </w:r>
      <w:r>
        <w:rPr/>
        <w:t>graviditet</w:t>
      </w:r>
      <w:r>
        <w:rPr>
          <w:spacing w:val="1"/>
        </w:rPr>
        <w:t> </w:t>
      </w:r>
      <w:r>
        <w:rPr/>
        <w:t>störst</w:t>
      </w:r>
      <w:r>
        <w:rPr>
          <w:spacing w:val="4"/>
        </w:rPr>
        <w:t> </w:t>
      </w:r>
      <w:r>
        <w:rPr/>
        <w:t>om</w:t>
      </w:r>
      <w:r>
        <w:rPr>
          <w:spacing w:val="4"/>
        </w:rPr>
        <w:t> </w:t>
      </w:r>
      <w:r>
        <w:rPr/>
        <w:t>samlag</w:t>
      </w:r>
      <w:r>
        <w:rPr>
          <w:spacing w:val="4"/>
        </w:rPr>
        <w:t> </w:t>
      </w:r>
      <w:r>
        <w:rPr/>
        <w:t>sker</w:t>
      </w:r>
      <w:r>
        <w:rPr>
          <w:spacing w:val="5"/>
        </w:rPr>
        <w:t> </w:t>
      </w:r>
      <w:r>
        <w:rPr/>
        <w:t>5</w:t>
      </w:r>
      <w:r>
        <w:rPr>
          <w:spacing w:val="4"/>
        </w:rPr>
        <w:t> </w:t>
      </w:r>
      <w:r>
        <w:rPr/>
        <w:t>dagar</w:t>
      </w:r>
      <w:r>
        <w:rPr>
          <w:spacing w:val="6"/>
        </w:rPr>
        <w:t> </w:t>
      </w:r>
      <w:r>
        <w:rPr/>
        <w:t>före</w:t>
      </w:r>
      <w:r>
        <w:rPr>
          <w:spacing w:val="3"/>
        </w:rPr>
        <w:t> </w:t>
      </w:r>
      <w:r>
        <w:rPr/>
        <w:t>till</w:t>
      </w:r>
      <w:r>
        <w:rPr>
          <w:spacing w:val="5"/>
        </w:rPr>
        <w:t> </w:t>
      </w:r>
      <w:r>
        <w:rPr/>
        <w:t>1</w:t>
      </w:r>
      <w:r>
        <w:rPr>
          <w:spacing w:val="4"/>
        </w:rPr>
        <w:t> </w:t>
      </w:r>
      <w:r>
        <w:rPr/>
        <w:t>dag</w:t>
      </w:r>
      <w:r>
        <w:rPr>
          <w:spacing w:val="6"/>
        </w:rPr>
        <w:t> </w:t>
      </w:r>
      <w:r>
        <w:rPr/>
        <w:t>efter</w:t>
      </w:r>
      <w:r>
        <w:rPr>
          <w:spacing w:val="4"/>
        </w:rPr>
        <w:t> </w:t>
      </w:r>
      <w:r>
        <w:rPr/>
        <w:t>ovulation</w:t>
      </w:r>
      <w:r>
        <w:rPr>
          <w:spacing w:val="4"/>
        </w:rPr>
        <w:t> </w:t>
      </w:r>
      <w:r>
        <w:rPr/>
        <w:t>(”fertila</w:t>
      </w:r>
      <w:r>
        <w:rPr>
          <w:spacing w:val="3"/>
        </w:rPr>
        <w:t> </w:t>
      </w:r>
      <w:r>
        <w:rPr/>
        <w:t>fönstret”).</w:t>
      </w:r>
      <w:r>
        <w:rPr>
          <w:spacing w:val="11"/>
        </w:rPr>
        <w:t> </w:t>
      </w:r>
      <w:r>
        <w:rPr/>
        <w:t>Tidpunkten</w:t>
      </w:r>
      <w:r>
        <w:rPr>
          <w:spacing w:val="1"/>
        </w:rPr>
        <w:t> </w:t>
      </w:r>
      <w:r>
        <w:rPr/>
        <w:t>för</w:t>
      </w:r>
      <w:r>
        <w:rPr>
          <w:spacing w:val="3"/>
        </w:rPr>
        <w:t> </w:t>
      </w:r>
      <w:r>
        <w:rPr/>
        <w:t>ovulation</w:t>
      </w:r>
      <w:r>
        <w:rPr>
          <w:spacing w:val="4"/>
        </w:rPr>
        <w:t> </w:t>
      </w:r>
      <w:r>
        <w:rPr/>
        <w:t>är</w:t>
      </w:r>
      <w:r>
        <w:rPr>
          <w:spacing w:val="3"/>
        </w:rPr>
        <w:t> </w:t>
      </w:r>
      <w:r>
        <w:rPr/>
        <w:t>svår</w:t>
      </w:r>
      <w:r>
        <w:rPr>
          <w:spacing w:val="7"/>
        </w:rPr>
        <w:t> </w:t>
      </w:r>
      <w:r>
        <w:rPr/>
        <w:t>att</w:t>
      </w:r>
      <w:r>
        <w:rPr>
          <w:spacing w:val="4"/>
        </w:rPr>
        <w:t> </w:t>
      </w:r>
      <w:r>
        <w:rPr/>
        <w:t>förutsäga</w:t>
      </w:r>
      <w:r>
        <w:rPr>
          <w:spacing w:val="4"/>
        </w:rPr>
        <w:t> </w:t>
      </w:r>
      <w:r>
        <w:rPr/>
        <w:t>och</w:t>
      </w:r>
      <w:r>
        <w:rPr>
          <w:spacing w:val="4"/>
        </w:rPr>
        <w:t> </w:t>
      </w:r>
      <w:r>
        <w:rPr/>
        <w:t>det</w:t>
      </w:r>
      <w:r>
        <w:rPr>
          <w:spacing w:val="4"/>
        </w:rPr>
        <w:t> </w:t>
      </w:r>
      <w:r>
        <w:rPr/>
        <w:t>förefaller</w:t>
      </w:r>
      <w:r>
        <w:rPr>
          <w:spacing w:val="4"/>
        </w:rPr>
        <w:t> </w:t>
      </w:r>
      <w:r>
        <w:rPr/>
        <w:t>även</w:t>
      </w:r>
      <w:r>
        <w:rPr>
          <w:spacing w:val="4"/>
        </w:rPr>
        <w:t> </w:t>
      </w:r>
      <w:r>
        <w:rPr/>
        <w:t>möjligt</w:t>
      </w:r>
      <w:r>
        <w:rPr>
          <w:spacing w:val="4"/>
        </w:rPr>
        <w:t> </w:t>
      </w:r>
      <w:r>
        <w:rPr/>
        <w:t>att</w:t>
      </w:r>
      <w:r>
        <w:rPr>
          <w:spacing w:val="6"/>
        </w:rPr>
        <w:t> </w:t>
      </w:r>
      <w:r>
        <w:rPr/>
        <w:t>ovulation</w:t>
      </w:r>
      <w:r>
        <w:rPr>
          <w:spacing w:val="4"/>
        </w:rPr>
        <w:t> </w:t>
      </w:r>
      <w:r>
        <w:rPr/>
        <w:t>kan</w:t>
      </w:r>
      <w:r>
        <w:rPr>
          <w:spacing w:val="4"/>
        </w:rPr>
        <w:t> </w:t>
      </w:r>
      <w:r>
        <w:rPr/>
        <w:t>”triggas”</w:t>
      </w:r>
      <w:r>
        <w:rPr>
          <w:spacing w:val="1"/>
        </w:rPr>
        <w:t> </w:t>
      </w:r>
      <w:r>
        <w:rPr/>
        <w:t>av</w:t>
      </w:r>
      <w:r>
        <w:rPr>
          <w:spacing w:val="6"/>
        </w:rPr>
        <w:t> </w:t>
      </w:r>
      <w:r>
        <w:rPr/>
        <w:t>sexuell</w:t>
      </w:r>
      <w:r>
        <w:rPr>
          <w:spacing w:val="6"/>
        </w:rPr>
        <w:t> </w:t>
      </w:r>
      <w:r>
        <w:rPr/>
        <w:t>aktivitet.</w:t>
      </w:r>
      <w:r>
        <w:rPr>
          <w:spacing w:val="12"/>
        </w:rPr>
        <w:t> </w:t>
      </w:r>
      <w:r>
        <w:rPr/>
        <w:t>Ifrån</w:t>
      </w:r>
      <w:r>
        <w:rPr>
          <w:spacing w:val="6"/>
        </w:rPr>
        <w:t> </w:t>
      </w:r>
      <w:r>
        <w:rPr/>
        <w:t>äggledaren,</w:t>
      </w:r>
      <w:r>
        <w:rPr>
          <w:spacing w:val="6"/>
        </w:rPr>
        <w:t> </w:t>
      </w:r>
      <w:r>
        <w:rPr/>
        <w:t>där</w:t>
      </w:r>
      <w:r>
        <w:rPr>
          <w:spacing w:val="5"/>
        </w:rPr>
        <w:t> </w:t>
      </w:r>
      <w:r>
        <w:rPr/>
        <w:t>befruktning</w:t>
      </w:r>
      <w:r>
        <w:rPr>
          <w:spacing w:val="7"/>
        </w:rPr>
        <w:t> </w:t>
      </w:r>
      <w:r>
        <w:rPr/>
        <w:t>sker,</w:t>
      </w:r>
      <w:r>
        <w:rPr>
          <w:spacing w:val="5"/>
        </w:rPr>
        <w:t> </w:t>
      </w:r>
      <w:r>
        <w:rPr/>
        <w:t>transporteras</w:t>
      </w:r>
      <w:r>
        <w:rPr>
          <w:spacing w:val="6"/>
        </w:rPr>
        <w:t> </w:t>
      </w:r>
      <w:r>
        <w:rPr/>
        <w:t>ägget</w:t>
      </w:r>
      <w:r>
        <w:rPr>
          <w:spacing w:val="6"/>
        </w:rPr>
        <w:t> </w:t>
      </w:r>
      <w:r>
        <w:rPr/>
        <w:t>till</w:t>
      </w:r>
      <w:r>
        <w:rPr>
          <w:spacing w:val="5"/>
        </w:rPr>
        <w:t> </w:t>
      </w:r>
      <w:r>
        <w:rPr/>
        <w:t>livmodern</w:t>
      </w:r>
      <w:r>
        <w:rPr>
          <w:spacing w:val="-57"/>
        </w:rPr>
        <w:t> </w:t>
      </w:r>
      <w:r>
        <w:rPr/>
        <w:t>och implantation i</w:t>
      </w:r>
      <w:r>
        <w:rPr>
          <w:spacing w:val="3"/>
        </w:rPr>
        <w:t> </w:t>
      </w:r>
      <w:r>
        <w:rPr/>
        <w:t>endometriet</w:t>
      </w:r>
      <w:r>
        <w:rPr>
          <w:spacing w:val="2"/>
        </w:rPr>
        <w:t> </w:t>
      </w:r>
      <w:r>
        <w:rPr/>
        <w:t>sker</w:t>
      </w:r>
      <w:r>
        <w:rPr>
          <w:spacing w:val="1"/>
        </w:rPr>
        <w:t> </w:t>
      </w:r>
      <w:r>
        <w:rPr/>
        <w:t>efter</w:t>
      </w:r>
      <w:r>
        <w:rPr>
          <w:spacing w:val="2"/>
        </w:rPr>
        <w:t> </w:t>
      </w:r>
      <w:r>
        <w:rPr/>
        <w:t>ca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vecka.</w:t>
      </w:r>
    </w:p>
    <w:p>
      <w:pPr>
        <w:pStyle w:val="BodyText"/>
        <w:spacing w:before="2"/>
      </w:pPr>
    </w:p>
    <w:p>
      <w:pPr>
        <w:pStyle w:val="Heading1"/>
      </w:pPr>
      <w:r>
        <w:rPr/>
        <w:t>Kopparspiral</w:t>
      </w:r>
    </w:p>
    <w:p>
      <w:pPr>
        <w:pStyle w:val="BodyText"/>
        <w:ind w:left="901" w:right="1007"/>
      </w:pPr>
      <w:r>
        <w:rPr/>
        <w:t>Kopparspiral</w:t>
      </w:r>
      <w:r>
        <w:rPr>
          <w:spacing w:val="5"/>
        </w:rPr>
        <w:t> </w:t>
      </w:r>
      <w:r>
        <w:rPr/>
        <w:t>som</w:t>
      </w:r>
      <w:r>
        <w:rPr>
          <w:spacing w:val="4"/>
        </w:rPr>
        <w:t> </w:t>
      </w:r>
      <w:r>
        <w:rPr/>
        <w:t>sätts</w:t>
      </w:r>
      <w:r>
        <w:rPr>
          <w:spacing w:val="1"/>
        </w:rPr>
        <w:t> </w:t>
      </w:r>
      <w:r>
        <w:rPr/>
        <w:t>in</w:t>
      </w:r>
      <w:r>
        <w:rPr>
          <w:spacing w:val="2"/>
        </w:rPr>
        <w:t> </w:t>
      </w:r>
      <w:r>
        <w:rPr/>
        <w:t>inom</w:t>
      </w:r>
      <w:r>
        <w:rPr>
          <w:spacing w:val="4"/>
        </w:rPr>
        <w:t> </w:t>
      </w:r>
      <w:r>
        <w:rPr/>
        <w:t>120</w:t>
      </w:r>
      <w:r>
        <w:rPr>
          <w:spacing w:val="1"/>
        </w:rPr>
        <w:t> </w:t>
      </w:r>
      <w:r>
        <w:rPr/>
        <w:t>timmar</w:t>
      </w:r>
      <w:r>
        <w:rPr>
          <w:spacing w:val="7"/>
        </w:rPr>
        <w:t> </w:t>
      </w:r>
      <w:r>
        <w:rPr/>
        <w:t>(5</w:t>
      </w:r>
      <w:r>
        <w:rPr>
          <w:spacing w:val="3"/>
        </w:rPr>
        <w:t> </w:t>
      </w:r>
      <w:r>
        <w:rPr/>
        <w:t>dagar)</w:t>
      </w:r>
      <w:r>
        <w:rPr>
          <w:spacing w:val="4"/>
        </w:rPr>
        <w:t> </w:t>
      </w:r>
      <w:r>
        <w:rPr/>
        <w:t>efter</w:t>
      </w:r>
      <w:r>
        <w:rPr>
          <w:spacing w:val="3"/>
        </w:rPr>
        <w:t> </w:t>
      </w:r>
      <w:r>
        <w:rPr/>
        <w:t>oskyddat</w:t>
      </w:r>
      <w:r>
        <w:rPr>
          <w:spacing w:val="4"/>
        </w:rPr>
        <w:t> </w:t>
      </w:r>
      <w:r>
        <w:rPr/>
        <w:t>samlag</w:t>
      </w:r>
      <w:r>
        <w:rPr>
          <w:spacing w:val="3"/>
        </w:rPr>
        <w:t> </w:t>
      </w:r>
      <w:r>
        <w:rPr/>
        <w:t>är</w:t>
      </w:r>
      <w:r>
        <w:rPr>
          <w:spacing w:val="3"/>
        </w:rPr>
        <w:t> </w:t>
      </w:r>
      <w:r>
        <w:rPr/>
        <w:t>den</w:t>
      </w:r>
      <w:r>
        <w:rPr>
          <w:spacing w:val="4"/>
        </w:rPr>
        <w:t> </w:t>
      </w:r>
      <w:r>
        <w:rPr/>
        <w:t>mest</w:t>
      </w:r>
      <w:r>
        <w:rPr>
          <w:spacing w:val="1"/>
        </w:rPr>
        <w:t> </w:t>
      </w:r>
      <w:r>
        <w:rPr/>
        <w:t>effektiva</w:t>
      </w:r>
      <w:r>
        <w:rPr>
          <w:spacing w:val="3"/>
        </w:rPr>
        <w:t> </w:t>
      </w:r>
      <w:r>
        <w:rPr/>
        <w:t>metoden</w:t>
      </w:r>
      <w:r>
        <w:rPr>
          <w:spacing w:val="4"/>
        </w:rPr>
        <w:t> </w:t>
      </w:r>
      <w:r>
        <w:rPr/>
        <w:t>och</w:t>
      </w:r>
      <w:r>
        <w:rPr>
          <w:spacing w:val="4"/>
        </w:rPr>
        <w:t> </w:t>
      </w:r>
      <w:r>
        <w:rPr/>
        <w:t>kan</w:t>
      </w:r>
      <w:r>
        <w:rPr>
          <w:spacing w:val="5"/>
        </w:rPr>
        <w:t> </w:t>
      </w:r>
      <w:r>
        <w:rPr/>
        <w:t>förhindra</w:t>
      </w:r>
      <w:r>
        <w:rPr>
          <w:spacing w:val="2"/>
        </w:rPr>
        <w:t> </w:t>
      </w:r>
      <w:r>
        <w:rPr/>
        <w:t>graviditet</w:t>
      </w:r>
      <w:r>
        <w:rPr>
          <w:spacing w:val="4"/>
        </w:rPr>
        <w:t> </w:t>
      </w:r>
      <w:r>
        <w:rPr/>
        <w:t>i</w:t>
      </w:r>
      <w:r>
        <w:rPr>
          <w:spacing w:val="4"/>
        </w:rPr>
        <w:t> </w:t>
      </w:r>
      <w:r>
        <w:rPr/>
        <w:t>närmare</w:t>
      </w:r>
      <w:r>
        <w:rPr>
          <w:spacing w:val="3"/>
        </w:rPr>
        <w:t> </w:t>
      </w:r>
      <w:r>
        <w:rPr/>
        <w:t>99</w:t>
      </w:r>
      <w:r>
        <w:rPr>
          <w:spacing w:val="4"/>
        </w:rPr>
        <w:t> </w:t>
      </w:r>
      <w:r>
        <w:rPr/>
        <w:t>%</w:t>
      </w:r>
      <w:r>
        <w:rPr>
          <w:spacing w:val="3"/>
        </w:rPr>
        <w:t> </w:t>
      </w:r>
      <w:r>
        <w:rPr/>
        <w:t>av</w:t>
      </w:r>
      <w:r>
        <w:rPr>
          <w:spacing w:val="5"/>
        </w:rPr>
        <w:t> </w:t>
      </w:r>
      <w:r>
        <w:rPr/>
        <w:t>fallen.</w:t>
      </w:r>
      <w:r>
        <w:rPr>
          <w:spacing w:val="4"/>
        </w:rPr>
        <w:t> </w:t>
      </w:r>
      <w:r>
        <w:rPr/>
        <w:t>Den</w:t>
      </w:r>
      <w:r>
        <w:rPr>
          <w:spacing w:val="4"/>
        </w:rPr>
        <w:t> </w:t>
      </w:r>
      <w:r>
        <w:rPr/>
        <w:t>har</w:t>
      </w:r>
      <w:r>
        <w:rPr>
          <w:spacing w:val="3"/>
        </w:rPr>
        <w:t> </w:t>
      </w:r>
      <w:r>
        <w:rPr/>
        <w:t>effekt</w:t>
      </w:r>
      <w:r>
        <w:rPr>
          <w:spacing w:val="7"/>
        </w:rPr>
        <w:t> </w:t>
      </w:r>
      <w:r>
        <w:rPr/>
        <w:t>även</w:t>
      </w:r>
      <w:r>
        <w:rPr>
          <w:spacing w:val="-57"/>
        </w:rPr>
        <w:t> </w:t>
      </w:r>
      <w:r>
        <w:rPr/>
        <w:t>om</w:t>
      </w:r>
      <w:r>
        <w:rPr>
          <w:spacing w:val="1"/>
        </w:rPr>
        <w:t> </w:t>
      </w:r>
      <w:r>
        <w:rPr/>
        <w:t>ovulation</w:t>
      </w:r>
      <w:r>
        <w:rPr>
          <w:spacing w:val="3"/>
        </w:rPr>
        <w:t> </w:t>
      </w:r>
      <w:r>
        <w:rPr/>
        <w:t>och</w:t>
      </w:r>
      <w:r>
        <w:rPr>
          <w:spacing w:val="2"/>
        </w:rPr>
        <w:t> </w:t>
      </w:r>
      <w:r>
        <w:rPr/>
        <w:t>befruktning</w:t>
      </w:r>
      <w:r>
        <w:rPr>
          <w:spacing w:val="4"/>
        </w:rPr>
        <w:t> </w:t>
      </w:r>
      <w:r>
        <w:rPr/>
        <w:t>skett,</w:t>
      </w:r>
      <w:r>
        <w:rPr>
          <w:spacing w:val="4"/>
        </w:rPr>
        <w:t> </w:t>
      </w:r>
      <w:r>
        <w:rPr/>
        <w:t>genom</w:t>
      </w:r>
      <w:r>
        <w:rPr>
          <w:spacing w:val="4"/>
        </w:rPr>
        <w:t> </w:t>
      </w:r>
      <w:r>
        <w:rPr/>
        <w:t>att</w:t>
      </w:r>
      <w:r>
        <w:rPr>
          <w:spacing w:val="3"/>
        </w:rPr>
        <w:t> </w:t>
      </w:r>
      <w:r>
        <w:rPr/>
        <w:t>förhindra</w:t>
      </w:r>
      <w:r>
        <w:rPr>
          <w:spacing w:val="3"/>
        </w:rPr>
        <w:t> </w:t>
      </w:r>
      <w:r>
        <w:rPr/>
        <w:t>implantation</w:t>
      </w:r>
      <w:r>
        <w:rPr>
          <w:spacing w:val="4"/>
        </w:rPr>
        <w:t> </w:t>
      </w:r>
      <w:r>
        <w:rPr/>
        <w:t>i</w:t>
      </w:r>
      <w:r>
        <w:rPr>
          <w:spacing w:val="4"/>
        </w:rPr>
        <w:t> </w:t>
      </w:r>
      <w:r>
        <w:rPr/>
        <w:t>endometriet.</w:t>
      </w:r>
    </w:p>
    <w:p>
      <w:pPr>
        <w:pStyle w:val="BodyText"/>
        <w:ind w:left="901" w:right="1007"/>
      </w:pPr>
      <w:r>
        <w:rPr/>
        <w:t>Kopparspiral</w:t>
      </w:r>
      <w:r>
        <w:rPr>
          <w:spacing w:val="5"/>
        </w:rPr>
        <w:t> </w:t>
      </w:r>
      <w:r>
        <w:rPr/>
        <w:t>kan</w:t>
      </w:r>
      <w:r>
        <w:rPr>
          <w:spacing w:val="4"/>
        </w:rPr>
        <w:t> </w:t>
      </w:r>
      <w:r>
        <w:rPr/>
        <w:t>dessutom</w:t>
      </w:r>
      <w:r>
        <w:rPr>
          <w:spacing w:val="3"/>
        </w:rPr>
        <w:t> </w:t>
      </w:r>
      <w:r>
        <w:rPr/>
        <w:t>ge</w:t>
      </w:r>
      <w:r>
        <w:rPr>
          <w:spacing w:val="3"/>
        </w:rPr>
        <w:t> </w:t>
      </w:r>
      <w:r>
        <w:rPr/>
        <w:t>ett</w:t>
      </w:r>
      <w:r>
        <w:rPr>
          <w:spacing w:val="4"/>
        </w:rPr>
        <w:t> </w:t>
      </w:r>
      <w:r>
        <w:rPr/>
        <w:t>fortsatt</w:t>
      </w:r>
      <w:r>
        <w:rPr>
          <w:spacing w:val="5"/>
        </w:rPr>
        <w:t> </w:t>
      </w:r>
      <w:r>
        <w:rPr/>
        <w:t>skydd</w:t>
      </w:r>
      <w:r>
        <w:rPr>
          <w:spacing w:val="4"/>
        </w:rPr>
        <w:t> </w:t>
      </w:r>
      <w:r>
        <w:rPr/>
        <w:t>i</w:t>
      </w:r>
      <w:r>
        <w:rPr>
          <w:spacing w:val="4"/>
        </w:rPr>
        <w:t> </w:t>
      </w:r>
      <w:r>
        <w:rPr/>
        <w:t>5</w:t>
      </w:r>
      <w:r>
        <w:rPr>
          <w:spacing w:val="5"/>
        </w:rPr>
        <w:t> </w:t>
      </w:r>
      <w:r>
        <w:rPr/>
        <w:t>år</w:t>
      </w:r>
      <w:r>
        <w:rPr>
          <w:spacing w:val="3"/>
        </w:rPr>
        <w:t> </w:t>
      </w:r>
      <w:r>
        <w:rPr/>
        <w:t>om</w:t>
      </w:r>
      <w:r>
        <w:rPr>
          <w:spacing w:val="4"/>
        </w:rPr>
        <w:t> </w:t>
      </w:r>
      <w:r>
        <w:rPr/>
        <w:t>kvinnan</w:t>
      </w:r>
      <w:r>
        <w:rPr>
          <w:spacing w:val="5"/>
        </w:rPr>
        <w:t> </w:t>
      </w:r>
      <w:r>
        <w:rPr/>
        <w:t>önskar</w:t>
      </w:r>
      <w:r>
        <w:rPr>
          <w:spacing w:val="3"/>
        </w:rPr>
        <w:t> </w:t>
      </w:r>
      <w:r>
        <w:rPr/>
        <w:t>fortsätta</w:t>
      </w:r>
      <w:r>
        <w:rPr>
          <w:spacing w:val="3"/>
        </w:rPr>
        <w:t> </w:t>
      </w:r>
      <w:r>
        <w:rPr/>
        <w:t>med</w:t>
      </w:r>
      <w:r>
        <w:rPr>
          <w:spacing w:val="-57"/>
        </w:rPr>
        <w:t> </w:t>
      </w:r>
      <w:r>
        <w:rPr/>
        <w:t>metoden.</w:t>
      </w:r>
      <w:r>
        <w:rPr>
          <w:spacing w:val="1"/>
        </w:rPr>
        <w:t> </w:t>
      </w:r>
      <w:r>
        <w:rPr/>
        <w:t>Spiral</w:t>
      </w:r>
      <w:r>
        <w:rPr>
          <w:spacing w:val="3"/>
        </w:rPr>
        <w:t> </w:t>
      </w:r>
      <w:r>
        <w:rPr/>
        <w:t>bör</w:t>
      </w:r>
      <w:r>
        <w:rPr>
          <w:spacing w:val="5"/>
        </w:rPr>
        <w:t> </w:t>
      </w:r>
      <w:r>
        <w:rPr/>
        <w:t>ej</w:t>
      </w:r>
      <w:r>
        <w:rPr>
          <w:spacing w:val="4"/>
        </w:rPr>
        <w:t> </w:t>
      </w:r>
      <w:r>
        <w:rPr/>
        <w:t>sättas</w:t>
      </w:r>
      <w:r>
        <w:rPr>
          <w:spacing w:val="2"/>
        </w:rPr>
        <w:t> </w:t>
      </w:r>
      <w:r>
        <w:rPr/>
        <w:t>in</w:t>
      </w:r>
      <w:r>
        <w:rPr>
          <w:spacing w:val="4"/>
        </w:rPr>
        <w:t> </w:t>
      </w:r>
      <w:r>
        <w:rPr/>
        <w:t>vid</w:t>
      </w:r>
      <w:r>
        <w:rPr>
          <w:spacing w:val="4"/>
        </w:rPr>
        <w:t> </w:t>
      </w:r>
      <w:r>
        <w:rPr/>
        <w:t>tecken</w:t>
      </w:r>
      <w:r>
        <w:rPr>
          <w:spacing w:val="4"/>
        </w:rPr>
        <w:t> </w:t>
      </w:r>
      <w:r>
        <w:rPr/>
        <w:t>på</w:t>
      </w:r>
      <w:r>
        <w:rPr>
          <w:spacing w:val="3"/>
        </w:rPr>
        <w:t> </w:t>
      </w:r>
      <w:r>
        <w:rPr/>
        <w:t>aktuell</w:t>
      </w:r>
      <w:r>
        <w:rPr>
          <w:spacing w:val="5"/>
        </w:rPr>
        <w:t> </w:t>
      </w:r>
      <w:r>
        <w:rPr/>
        <w:t>bakteriell</w:t>
      </w:r>
      <w:r>
        <w:rPr>
          <w:spacing w:val="4"/>
        </w:rPr>
        <w:t> </w:t>
      </w:r>
      <w:r>
        <w:rPr/>
        <w:t>genital</w:t>
      </w:r>
      <w:r>
        <w:rPr>
          <w:spacing w:val="4"/>
        </w:rPr>
        <w:t> </w:t>
      </w:r>
      <w:r>
        <w:rPr/>
        <w:t>infektion.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spacing w:line="276" w:lineRule="exact"/>
      </w:pPr>
      <w:r>
        <w:rPr/>
        <w:t>Akut</w:t>
      </w:r>
      <w:r>
        <w:rPr>
          <w:spacing w:val="6"/>
        </w:rPr>
        <w:t> </w:t>
      </w:r>
      <w:r>
        <w:rPr/>
        <w:t>p-piller:</w:t>
      </w:r>
      <w:r>
        <w:rPr>
          <w:spacing w:val="5"/>
        </w:rPr>
        <w:t> </w:t>
      </w:r>
      <w:r>
        <w:rPr/>
        <w:t>Ulipristalacetat</w:t>
      </w:r>
      <w:r>
        <w:rPr>
          <w:spacing w:val="10"/>
        </w:rPr>
        <w:t> </w:t>
      </w:r>
      <w:r>
        <w:rPr/>
        <w:t>(ellaOne)</w:t>
      </w:r>
    </w:p>
    <w:p>
      <w:pPr>
        <w:pStyle w:val="BodyText"/>
        <w:ind w:left="901" w:right="1007"/>
      </w:pPr>
      <w:r>
        <w:rPr/>
        <w:t>En</w:t>
      </w:r>
      <w:r>
        <w:rPr>
          <w:spacing w:val="4"/>
        </w:rPr>
        <w:t> </w:t>
      </w:r>
      <w:r>
        <w:rPr/>
        <w:t>tablett</w:t>
      </w:r>
      <w:r>
        <w:rPr>
          <w:spacing w:val="6"/>
        </w:rPr>
        <w:t> </w:t>
      </w:r>
      <w:r>
        <w:rPr/>
        <w:t>à</w:t>
      </w:r>
      <w:r>
        <w:rPr>
          <w:spacing w:val="5"/>
        </w:rPr>
        <w:t> </w:t>
      </w:r>
      <w:r>
        <w:rPr/>
        <w:t>30</w:t>
      </w:r>
      <w:r>
        <w:rPr>
          <w:spacing w:val="3"/>
        </w:rPr>
        <w:t> </w:t>
      </w:r>
      <w:r>
        <w:rPr/>
        <w:t>mg</w:t>
      </w:r>
      <w:r>
        <w:rPr>
          <w:spacing w:val="5"/>
        </w:rPr>
        <w:t> </w:t>
      </w:r>
      <w:r>
        <w:rPr/>
        <w:t>(receptfritt)</w:t>
      </w:r>
      <w:r>
        <w:rPr>
          <w:spacing w:val="5"/>
        </w:rPr>
        <w:t> </w:t>
      </w:r>
      <w:r>
        <w:rPr/>
        <w:t>tas</w:t>
      </w:r>
      <w:r>
        <w:rPr>
          <w:spacing w:val="3"/>
        </w:rPr>
        <w:t> </w:t>
      </w:r>
      <w:r>
        <w:rPr/>
        <w:t>så</w:t>
      </w:r>
      <w:r>
        <w:rPr>
          <w:spacing w:val="4"/>
        </w:rPr>
        <w:t> </w:t>
      </w:r>
      <w:r>
        <w:rPr/>
        <w:t>snart</w:t>
      </w:r>
      <w:r>
        <w:rPr>
          <w:spacing w:val="6"/>
        </w:rPr>
        <w:t> </w:t>
      </w:r>
      <w:r>
        <w:rPr/>
        <w:t>som</w:t>
      </w:r>
      <w:r>
        <w:rPr>
          <w:spacing w:val="3"/>
        </w:rPr>
        <w:t> </w:t>
      </w:r>
      <w:r>
        <w:rPr/>
        <w:t>möjligt</w:t>
      </w:r>
      <w:r>
        <w:rPr>
          <w:spacing w:val="5"/>
        </w:rPr>
        <w:t> </w:t>
      </w:r>
      <w:r>
        <w:rPr/>
        <w:t>efter</w:t>
      </w:r>
      <w:r>
        <w:rPr>
          <w:spacing w:val="5"/>
        </w:rPr>
        <w:t> </w:t>
      </w:r>
      <w:r>
        <w:rPr/>
        <w:t>oskyddat</w:t>
      </w:r>
      <w:r>
        <w:rPr>
          <w:spacing w:val="5"/>
        </w:rPr>
        <w:t> </w:t>
      </w:r>
      <w:r>
        <w:rPr/>
        <w:t>samlag.</w:t>
      </w:r>
      <w:r>
        <w:rPr>
          <w:spacing w:val="6"/>
        </w:rPr>
        <w:t> </w:t>
      </w:r>
      <w:r>
        <w:rPr/>
        <w:t>ellaOne</w:t>
      </w:r>
      <w:r>
        <w:rPr>
          <w:spacing w:val="5"/>
        </w:rPr>
        <w:t> </w:t>
      </w:r>
      <w:r>
        <w:rPr/>
        <w:t>har</w:t>
      </w:r>
      <w:r>
        <w:rPr>
          <w:spacing w:val="-57"/>
        </w:rPr>
        <w:t> </w:t>
      </w:r>
      <w:r>
        <w:rPr/>
        <w:t>indikation</w:t>
      </w:r>
      <w:r>
        <w:rPr>
          <w:spacing w:val="3"/>
        </w:rPr>
        <w:t> </w:t>
      </w:r>
      <w:r>
        <w:rPr/>
        <w:t>att</w:t>
      </w:r>
      <w:r>
        <w:rPr>
          <w:spacing w:val="7"/>
        </w:rPr>
        <w:t> </w:t>
      </w:r>
      <w:r>
        <w:rPr/>
        <w:t>användas</w:t>
      </w:r>
      <w:r>
        <w:rPr>
          <w:spacing w:val="7"/>
        </w:rPr>
        <w:t> </w:t>
      </w:r>
      <w:r>
        <w:rPr/>
        <w:t>inom</w:t>
      </w:r>
      <w:r>
        <w:rPr>
          <w:spacing w:val="4"/>
        </w:rPr>
        <w:t> </w:t>
      </w:r>
      <w:r>
        <w:rPr/>
        <w:t>120</w:t>
      </w:r>
      <w:r>
        <w:rPr>
          <w:spacing w:val="2"/>
        </w:rPr>
        <w:t> </w:t>
      </w:r>
      <w:r>
        <w:rPr/>
        <w:t>timmar</w:t>
      </w:r>
      <w:r>
        <w:rPr>
          <w:spacing w:val="5"/>
        </w:rPr>
        <w:t> </w:t>
      </w:r>
      <w:r>
        <w:rPr/>
        <w:t>efter</w:t>
      </w:r>
      <w:r>
        <w:rPr>
          <w:spacing w:val="3"/>
        </w:rPr>
        <w:t> </w:t>
      </w:r>
      <w:r>
        <w:rPr/>
        <w:t>oskyddat</w:t>
      </w:r>
      <w:r>
        <w:rPr>
          <w:spacing w:val="2"/>
        </w:rPr>
        <w:t> </w:t>
      </w:r>
      <w:r>
        <w:rPr/>
        <w:t>samlag</w:t>
      </w:r>
      <w:r>
        <w:rPr>
          <w:spacing w:val="4"/>
        </w:rPr>
        <w:t> </w:t>
      </w:r>
      <w:r>
        <w:rPr/>
        <w:t>men</w:t>
      </w:r>
      <w:r>
        <w:rPr>
          <w:spacing w:val="2"/>
        </w:rPr>
        <w:t> </w:t>
      </w:r>
      <w:r>
        <w:rPr/>
        <w:t>skyddar</w:t>
      </w:r>
      <w:r>
        <w:rPr>
          <w:spacing w:val="2"/>
        </w:rPr>
        <w:t> </w:t>
      </w:r>
      <w:r>
        <w:rPr/>
        <w:t>inte</w:t>
      </w:r>
      <w:r>
        <w:rPr>
          <w:spacing w:val="3"/>
        </w:rPr>
        <w:t> </w:t>
      </w:r>
      <w:r>
        <w:rPr/>
        <w:t>mot</w:t>
      </w:r>
      <w:r>
        <w:rPr>
          <w:spacing w:val="1"/>
        </w:rPr>
        <w:t> </w:t>
      </w:r>
      <w:r>
        <w:rPr/>
        <w:t>graviditet</w:t>
      </w:r>
      <w:r>
        <w:rPr>
          <w:spacing w:val="2"/>
        </w:rPr>
        <w:t> </w:t>
      </w:r>
      <w:r>
        <w:rPr/>
        <w:t>om</w:t>
      </w:r>
      <w:r>
        <w:rPr>
          <w:spacing w:val="2"/>
        </w:rPr>
        <w:t> </w:t>
      </w:r>
      <w:r>
        <w:rPr/>
        <w:t>ovulation</w:t>
      </w:r>
      <w:r>
        <w:rPr>
          <w:spacing w:val="9"/>
        </w:rPr>
        <w:t> </w:t>
      </w:r>
      <w:r>
        <w:rPr/>
        <w:t>redan</w:t>
      </w:r>
      <w:r>
        <w:rPr>
          <w:spacing w:val="2"/>
        </w:rPr>
        <w:t> </w:t>
      </w:r>
      <w:r>
        <w:rPr/>
        <w:t>skett</w:t>
      </w:r>
      <w:r>
        <w:rPr>
          <w:spacing w:val="3"/>
        </w:rPr>
        <w:t> </w:t>
      </w:r>
      <w:r>
        <w:rPr/>
        <w:t>eller</w:t>
      </w:r>
      <w:r>
        <w:rPr>
          <w:spacing w:val="1"/>
        </w:rPr>
        <w:t> </w:t>
      </w:r>
      <w:r>
        <w:rPr/>
        <w:t>är</w:t>
      </w:r>
      <w:r>
        <w:rPr>
          <w:spacing w:val="2"/>
        </w:rPr>
        <w:t> </w:t>
      </w:r>
      <w:r>
        <w:rPr/>
        <w:t>nära</w:t>
      </w:r>
      <w:r>
        <w:rPr>
          <w:spacing w:val="1"/>
        </w:rPr>
        <w:t> </w:t>
      </w:r>
      <w:r>
        <w:rPr/>
        <w:t>förestående.</w:t>
      </w:r>
    </w:p>
    <w:p>
      <w:pPr>
        <w:pStyle w:val="BodyText"/>
        <w:ind w:left="901" w:right="1007"/>
      </w:pPr>
      <w:r>
        <w:rPr/>
        <w:t>Verkningsmekanismen</w:t>
      </w:r>
      <w:r>
        <w:rPr>
          <w:spacing w:val="4"/>
        </w:rPr>
        <w:t> </w:t>
      </w:r>
      <w:r>
        <w:rPr/>
        <w:t>är</w:t>
      </w:r>
      <w:r>
        <w:rPr>
          <w:spacing w:val="3"/>
        </w:rPr>
        <w:t> </w:t>
      </w:r>
      <w:r>
        <w:rPr/>
        <w:t>en</w:t>
      </w:r>
      <w:r>
        <w:rPr>
          <w:spacing w:val="4"/>
        </w:rPr>
        <w:t> </w:t>
      </w:r>
      <w:r>
        <w:rPr/>
        <w:t>direkt</w:t>
      </w:r>
      <w:r>
        <w:rPr>
          <w:spacing w:val="3"/>
        </w:rPr>
        <w:t> </w:t>
      </w:r>
      <w:r>
        <w:rPr/>
        <w:t>hämmande</w:t>
      </w:r>
      <w:r>
        <w:rPr>
          <w:spacing w:val="3"/>
        </w:rPr>
        <w:t> </w:t>
      </w:r>
      <w:r>
        <w:rPr/>
        <w:t>effekt</w:t>
      </w:r>
      <w:r>
        <w:rPr>
          <w:spacing w:val="4"/>
        </w:rPr>
        <w:t> </w:t>
      </w:r>
      <w:r>
        <w:rPr/>
        <w:t>på</w:t>
      </w:r>
      <w:r>
        <w:rPr>
          <w:spacing w:val="4"/>
        </w:rPr>
        <w:t> </w:t>
      </w:r>
      <w:r>
        <w:rPr/>
        <w:t>follikelruptur</w:t>
      </w:r>
      <w:r>
        <w:rPr>
          <w:spacing w:val="2"/>
        </w:rPr>
        <w:t> </w:t>
      </w:r>
      <w:r>
        <w:rPr/>
        <w:t>och</w:t>
      </w:r>
      <w:r>
        <w:rPr>
          <w:spacing w:val="4"/>
        </w:rPr>
        <w:t> </w:t>
      </w:r>
      <w:r>
        <w:rPr/>
        <w:t>innebär</w:t>
      </w:r>
      <w:r>
        <w:rPr>
          <w:spacing w:val="3"/>
        </w:rPr>
        <w:t> </w:t>
      </w:r>
      <w:r>
        <w:rPr/>
        <w:t>att</w:t>
      </w:r>
      <w:r>
        <w:rPr>
          <w:spacing w:val="1"/>
        </w:rPr>
        <w:t> </w:t>
      </w:r>
      <w:r>
        <w:rPr/>
        <w:t>ovulation</w:t>
      </w:r>
      <w:r>
        <w:rPr>
          <w:spacing w:val="3"/>
        </w:rPr>
        <w:t> </w:t>
      </w:r>
      <w:r>
        <w:rPr/>
        <w:t>kan</w:t>
      </w:r>
      <w:r>
        <w:rPr>
          <w:spacing w:val="4"/>
        </w:rPr>
        <w:t> </w:t>
      </w:r>
      <w:r>
        <w:rPr/>
        <w:t>hämmas</w:t>
      </w:r>
      <w:r>
        <w:rPr>
          <w:spacing w:val="6"/>
        </w:rPr>
        <w:t> </w:t>
      </w:r>
      <w:r>
        <w:rPr/>
        <w:t>eller</w:t>
      </w:r>
      <w:r>
        <w:rPr>
          <w:spacing w:val="9"/>
        </w:rPr>
        <w:t> </w:t>
      </w:r>
      <w:r>
        <w:rPr/>
        <w:t>förskjutas</w:t>
      </w:r>
      <w:r>
        <w:rPr>
          <w:spacing w:val="6"/>
        </w:rPr>
        <w:t> </w:t>
      </w:r>
      <w:r>
        <w:rPr/>
        <w:t>ca</w:t>
      </w:r>
      <w:r>
        <w:rPr>
          <w:spacing w:val="5"/>
        </w:rPr>
        <w:t> </w:t>
      </w:r>
      <w:r>
        <w:rPr/>
        <w:t>5</w:t>
      </w:r>
      <w:r>
        <w:rPr>
          <w:spacing w:val="4"/>
        </w:rPr>
        <w:t> </w:t>
      </w:r>
      <w:r>
        <w:rPr/>
        <w:t>dygn</w:t>
      </w:r>
      <w:r>
        <w:rPr>
          <w:spacing w:val="5"/>
        </w:rPr>
        <w:t> </w:t>
      </w:r>
      <w:r>
        <w:rPr/>
        <w:t>om</w:t>
      </w:r>
      <w:r>
        <w:rPr>
          <w:spacing w:val="4"/>
        </w:rPr>
        <w:t> </w:t>
      </w:r>
      <w:r>
        <w:rPr/>
        <w:t>tabletten</w:t>
      </w:r>
      <w:r>
        <w:rPr>
          <w:spacing w:val="6"/>
        </w:rPr>
        <w:t> </w:t>
      </w:r>
      <w:r>
        <w:rPr/>
        <w:t>tas</w:t>
      </w:r>
      <w:r>
        <w:rPr>
          <w:spacing w:val="6"/>
        </w:rPr>
        <w:t> </w:t>
      </w:r>
      <w:r>
        <w:rPr>
          <w:u w:val="single"/>
        </w:rPr>
        <w:t>innan</w:t>
      </w:r>
      <w:r>
        <w:rPr>
          <w:spacing w:val="3"/>
          <w:u w:val="single"/>
        </w:rPr>
        <w:t> </w:t>
      </w:r>
      <w:r>
        <w:rPr>
          <w:u w:val="single"/>
        </w:rPr>
        <w:t>den</w:t>
      </w:r>
      <w:r>
        <w:rPr>
          <w:spacing w:val="4"/>
          <w:u w:val="single"/>
        </w:rPr>
        <w:t> </w:t>
      </w:r>
      <w:r>
        <w:rPr>
          <w:u w:val="single"/>
        </w:rPr>
        <w:t>preovulatoriska</w:t>
      </w:r>
      <w:r>
        <w:rPr>
          <w:spacing w:val="-57"/>
        </w:rPr>
        <w:t> </w:t>
      </w:r>
      <w:r>
        <w:rPr>
          <w:u w:val="single"/>
        </w:rPr>
        <w:t>LH</w:t>
      </w:r>
      <w:r>
        <w:rPr>
          <w:spacing w:val="1"/>
          <w:u w:val="single"/>
        </w:rPr>
        <w:t> </w:t>
      </w:r>
      <w:r>
        <w:rPr>
          <w:u w:val="single"/>
        </w:rPr>
        <w:t>stegringen</w:t>
      </w:r>
      <w:r>
        <w:rPr>
          <w:spacing w:val="3"/>
          <w:u w:val="single"/>
        </w:rPr>
        <w:t> </w:t>
      </w:r>
      <w:r>
        <w:rPr>
          <w:u w:val="single"/>
        </w:rPr>
        <w:t>nått</w:t>
      </w:r>
      <w:r>
        <w:rPr>
          <w:spacing w:val="4"/>
          <w:u w:val="single"/>
        </w:rPr>
        <w:t> </w:t>
      </w:r>
      <w:r>
        <w:rPr>
          <w:u w:val="single"/>
        </w:rPr>
        <w:t>sin</w:t>
      </w:r>
      <w:r>
        <w:rPr>
          <w:spacing w:val="1"/>
          <w:u w:val="single"/>
        </w:rPr>
        <w:t> </w:t>
      </w:r>
      <w:r>
        <w:rPr>
          <w:u w:val="single"/>
        </w:rPr>
        <w:t>topp</w:t>
      </w:r>
      <w:r>
        <w:rPr>
          <w:spacing w:val="6"/>
        </w:rPr>
        <w:t> </w:t>
      </w:r>
      <w:r>
        <w:rPr/>
        <w:t>vilket</w:t>
      </w:r>
      <w:r>
        <w:rPr>
          <w:spacing w:val="1"/>
        </w:rPr>
        <w:t> </w:t>
      </w:r>
      <w:r>
        <w:rPr/>
        <w:t>sker</w:t>
      </w:r>
      <w:r>
        <w:rPr>
          <w:spacing w:val="2"/>
        </w:rPr>
        <w:t> </w:t>
      </w:r>
      <w:r>
        <w:rPr/>
        <w:t>ungefär</w:t>
      </w:r>
      <w:r>
        <w:rPr>
          <w:spacing w:val="2"/>
        </w:rPr>
        <w:t> </w:t>
      </w:r>
      <w:r>
        <w:rPr/>
        <w:t>ett</w:t>
      </w:r>
      <w:r>
        <w:rPr>
          <w:spacing w:val="3"/>
        </w:rPr>
        <w:t> </w:t>
      </w:r>
      <w:r>
        <w:rPr/>
        <w:t>dygn</w:t>
      </w:r>
      <w:r>
        <w:rPr>
          <w:spacing w:val="3"/>
        </w:rPr>
        <w:t> </w:t>
      </w:r>
      <w:r>
        <w:rPr/>
        <w:t>innan</w:t>
      </w:r>
      <w:r>
        <w:rPr>
          <w:spacing w:val="3"/>
        </w:rPr>
        <w:t> </w:t>
      </w:r>
      <w:r>
        <w:rPr/>
        <w:t>ovulationen.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989379</wp:posOffset>
            </wp:positionH>
            <wp:positionV relativeFrom="paragraph">
              <wp:posOffset>133618</wp:posOffset>
            </wp:positionV>
            <wp:extent cx="2908258" cy="1589913"/>
            <wp:effectExtent l="0" t="0" r="0" b="0"/>
            <wp:wrapTopAndBottom/>
            <wp:docPr id="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8258" cy="1589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21"/>
        </w:rPr>
      </w:pPr>
    </w:p>
    <w:p>
      <w:pPr>
        <w:pStyle w:val="Heading1"/>
        <w:spacing w:line="240" w:lineRule="auto" w:before="92"/>
        <w:ind w:right="2177"/>
      </w:pPr>
      <w:r>
        <w:rPr/>
        <w:t>Akut p-piller: Levonorgestrel (Norlevo, Postinor, Levodonna, Frivelle,</w:t>
      </w:r>
      <w:r>
        <w:rPr>
          <w:spacing w:val="-64"/>
        </w:rPr>
        <w:t> </w:t>
      </w:r>
      <w:r>
        <w:rPr/>
        <w:t>Levonorgestrel</w:t>
      </w:r>
      <w:r>
        <w:rPr>
          <w:spacing w:val="-1"/>
        </w:rPr>
        <w:t> </w:t>
      </w:r>
      <w:r>
        <w:rPr/>
        <w:t>ABECE, Levonorgestrel Apofri)</w:t>
      </w:r>
    </w:p>
    <w:p>
      <w:pPr>
        <w:pStyle w:val="BodyText"/>
        <w:ind w:left="901" w:right="1036"/>
      </w:pPr>
      <w:r>
        <w:rPr/>
        <w:t>En tablett à 1,5 mg (receptfritt) tas så snabbt som möjligt efter oskyddat samlag, senast inom</w:t>
      </w:r>
      <w:r>
        <w:rPr>
          <w:spacing w:val="1"/>
        </w:rPr>
        <w:t> </w:t>
      </w:r>
      <w:r>
        <w:rPr/>
        <w:t>72 timmar (enligt registreringen för preparatet). Levonorgestrel verkar genom att hämma eller</w:t>
      </w:r>
      <w:r>
        <w:rPr>
          <w:spacing w:val="-58"/>
        </w:rPr>
        <w:t> </w:t>
      </w:r>
      <w:r>
        <w:rPr/>
        <w:t>förskjuta ovulation om det ges </w:t>
      </w:r>
      <w:r>
        <w:rPr>
          <w:u w:val="single"/>
        </w:rPr>
        <w:t>innan den</w:t>
      </w:r>
      <w:r>
        <w:rPr/>
        <w:t> </w:t>
      </w:r>
      <w:r>
        <w:rPr>
          <w:u w:val="single"/>
        </w:rPr>
        <w:t>preovulatoriska LH stegringen startat</w:t>
      </w:r>
      <w:r>
        <w:rPr/>
        <w:t>, dvs. närmare</w:t>
      </w:r>
      <w:r>
        <w:rPr>
          <w:spacing w:val="1"/>
        </w:rPr>
        <w:t> </w:t>
      </w:r>
      <w:r>
        <w:rPr/>
        <w:t>två</w:t>
      </w:r>
      <w:r>
        <w:rPr>
          <w:spacing w:val="-1"/>
        </w:rPr>
        <w:t> </w:t>
      </w:r>
      <w:r>
        <w:rPr/>
        <w:t>dygn före</w:t>
      </w:r>
      <w:r>
        <w:rPr>
          <w:spacing w:val="-2"/>
        </w:rPr>
        <w:t> </w:t>
      </w:r>
      <w:r>
        <w:rPr/>
        <w:t>ovulationen.</w:t>
      </w:r>
    </w:p>
    <w:p>
      <w:pPr>
        <w:spacing w:after="0"/>
        <w:sectPr>
          <w:footerReference w:type="default" r:id="rId5"/>
          <w:type w:val="continuous"/>
          <w:pgSz w:w="11900" w:h="16850"/>
          <w:pgMar w:footer="855" w:header="0" w:top="560" w:bottom="1040" w:left="460" w:right="460"/>
          <w:pgNumType w:start="1"/>
        </w:sectPr>
      </w:pPr>
    </w:p>
    <w:p>
      <w:pPr>
        <w:pStyle w:val="BodyText"/>
        <w:spacing w:line="169" w:lineRule="exact"/>
        <w:ind w:left="107"/>
        <w:rPr>
          <w:sz w:val="16"/>
        </w:rPr>
      </w:pPr>
      <w:r>
        <w:rPr>
          <w:position w:val="-2"/>
          <w:sz w:val="16"/>
        </w:rPr>
        <w:drawing>
          <wp:inline distT="0" distB="0" distL="0" distR="0">
            <wp:extent cx="6801995" cy="107346"/>
            <wp:effectExtent l="0" t="0" r="0" b="0"/>
            <wp:docPr id="7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199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  <w:r>
        <w:rPr/>
        <w:pict>
          <v:shape style="position:absolute;margin-left:116.449997pt;margin-top:7.860977pt;width:308.05pt;height:76.95pt;mso-position-horizontal-relative:page;mso-position-vertical-relative:paragraph;z-index:-15727616;mso-wrap-distance-left:0;mso-wrap-distance-right:0" type="#_x0000_t202" id="docshape7" filled="false" stroked="true" strokeweight=".75pt" strokecolor="#000000">
            <v:textbox inset="0,0,0,0">
              <w:txbxContent>
                <w:p>
                  <w:pPr>
                    <w:spacing w:line="275" w:lineRule="exact" w:before="73"/>
                    <w:ind w:left="145" w:right="0" w:firstLine="0"/>
                    <w:jc w:val="left"/>
                    <w:rPr>
                      <w:rFonts w:ascii="Arial"/>
                      <w:b/>
                      <w:sz w:val="24"/>
                    </w:rPr>
                  </w:pPr>
                  <w:r>
                    <w:rPr>
                      <w:rFonts w:ascii="Arial"/>
                      <w:b/>
                      <w:sz w:val="24"/>
                    </w:rPr>
                    <w:t>OBS!</w:t>
                  </w:r>
                </w:p>
                <w:p>
                  <w:pPr>
                    <w:pStyle w:val="BodyText"/>
                    <w:ind w:left="145" w:right="222"/>
                  </w:pPr>
                  <w:r>
                    <w:rPr/>
                    <w:t>Eftersom akut p-piller verkar genom att antingen hämma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eller förskjuta ovulation innebär fortsatta oskyddade samlag</w:t>
                  </w:r>
                  <w:r>
                    <w:rPr>
                      <w:spacing w:val="-58"/>
                    </w:rPr>
                    <w:t> </w:t>
                  </w:r>
                  <w:r>
                    <w:rPr/>
                    <w:t>inom samma cykel en fortsatt risk för graviditet. Kondom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ska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rekommenderas de</w:t>
                  </w:r>
                  <w:r>
                    <w:rPr>
                      <w:spacing w:val="-1"/>
                    </w:rPr>
                    <w:t> </w:t>
                  </w:r>
                  <w:r>
                    <w:rPr/>
                    <w:t>närmaste</w:t>
                  </w:r>
                  <w:r>
                    <w:rPr>
                      <w:spacing w:val="-1"/>
                    </w:rPr>
                    <w:t> </w:t>
                  </w:r>
                  <w:r>
                    <w:rPr/>
                    <w:t>14 dagarna.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2"/>
        <w:rPr>
          <w:sz w:val="28"/>
        </w:rPr>
      </w:pPr>
    </w:p>
    <w:p>
      <w:pPr>
        <w:pStyle w:val="Heading1"/>
        <w:spacing w:before="93"/>
      </w:pPr>
      <w:r>
        <w:rPr/>
        <w:t>Interaktionsrisker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132" w:hanging="360"/>
        <w:jc w:val="left"/>
        <w:rPr>
          <w:rFonts w:ascii="Symbol" w:hAnsi="Symbol"/>
          <w:sz w:val="24"/>
        </w:rPr>
      </w:pPr>
      <w:r>
        <w:rPr>
          <w:sz w:val="24"/>
        </w:rPr>
        <w:t>Pga. interaktion mellan gestagen och ulipristalacetat, som bägge binder till</w:t>
      </w:r>
      <w:r>
        <w:rPr>
          <w:spacing w:val="1"/>
          <w:sz w:val="24"/>
        </w:rPr>
        <w:t> </w:t>
      </w:r>
      <w:r>
        <w:rPr>
          <w:sz w:val="24"/>
        </w:rPr>
        <w:t>progesteron-receptorn, bör påbörjande av hormonell preventivmetod inte ske förrän </w:t>
      </w:r>
      <w:r>
        <w:rPr>
          <w:b/>
          <w:sz w:val="24"/>
        </w:rPr>
        <w:t>5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dagar efter intag av ellaOne</w:t>
      </w:r>
      <w:r>
        <w:rPr>
          <w:sz w:val="24"/>
        </w:rPr>
        <w:t>. Gestagenet kan minska effekten av ulipristalacetat och</w:t>
      </w:r>
      <w:r>
        <w:rPr>
          <w:spacing w:val="-57"/>
          <w:sz w:val="24"/>
        </w:rPr>
        <w:t> </w:t>
      </w:r>
      <w:r>
        <w:rPr>
          <w:sz w:val="24"/>
        </w:rPr>
        <w:t>motverka</w:t>
      </w:r>
      <w:r>
        <w:rPr>
          <w:spacing w:val="-4"/>
          <w:sz w:val="24"/>
        </w:rPr>
        <w:t> </w:t>
      </w:r>
      <w:r>
        <w:rPr>
          <w:sz w:val="24"/>
        </w:rPr>
        <w:t>akut</w:t>
      </w:r>
      <w:r>
        <w:rPr>
          <w:spacing w:val="-1"/>
          <w:sz w:val="24"/>
        </w:rPr>
        <w:t> </w:t>
      </w:r>
      <w:r>
        <w:rPr>
          <w:sz w:val="24"/>
        </w:rPr>
        <w:t>p-pillrets</w:t>
      </w:r>
      <w:r>
        <w:rPr>
          <w:spacing w:val="2"/>
          <w:sz w:val="24"/>
        </w:rPr>
        <w:t> </w:t>
      </w:r>
      <w:r>
        <w:rPr>
          <w:sz w:val="24"/>
        </w:rPr>
        <w:t>ovulationsförskjutande</w:t>
      </w:r>
      <w:r>
        <w:rPr>
          <w:spacing w:val="-2"/>
          <w:sz w:val="24"/>
        </w:rPr>
        <w:t> </w:t>
      </w:r>
      <w:r>
        <w:rPr>
          <w:sz w:val="24"/>
        </w:rPr>
        <w:t>eller</w:t>
      </w:r>
      <w:r>
        <w:rPr>
          <w:spacing w:val="-1"/>
          <w:sz w:val="24"/>
        </w:rPr>
        <w:t> </w:t>
      </w:r>
      <w:r>
        <w:rPr>
          <w:sz w:val="24"/>
        </w:rPr>
        <w:t>ovulationshämmande effekt!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143" w:hanging="360"/>
        <w:jc w:val="left"/>
        <w:rPr>
          <w:rFonts w:ascii="Symbol" w:hAnsi="Symbol"/>
          <w:sz w:val="24"/>
        </w:rPr>
      </w:pPr>
      <w:r>
        <w:rPr>
          <w:sz w:val="24"/>
        </w:rPr>
        <w:t>Kvinnor som redan använder hormonell preventivmetod och som önskar akut p-piller</w:t>
      </w:r>
      <w:r>
        <w:rPr>
          <w:spacing w:val="-57"/>
          <w:sz w:val="24"/>
        </w:rPr>
        <w:t> </w:t>
      </w:r>
      <w:r>
        <w:rPr>
          <w:sz w:val="24"/>
        </w:rPr>
        <w:t>pga.</w:t>
      </w:r>
      <w:r>
        <w:rPr>
          <w:spacing w:val="-1"/>
          <w:sz w:val="24"/>
        </w:rPr>
        <w:t> </w:t>
      </w:r>
      <w:r>
        <w:rPr>
          <w:sz w:val="24"/>
        </w:rPr>
        <w:t>”tablettglömska”</w:t>
      </w:r>
      <w:r>
        <w:rPr>
          <w:spacing w:val="-1"/>
          <w:sz w:val="24"/>
        </w:rPr>
        <w:t> </w:t>
      </w:r>
      <w:r>
        <w:rPr>
          <w:sz w:val="24"/>
        </w:rPr>
        <w:t>bör rekommenderas</w:t>
      </w:r>
      <w:r>
        <w:rPr>
          <w:spacing w:val="-2"/>
          <w:sz w:val="24"/>
        </w:rPr>
        <w:t> </w:t>
      </w:r>
      <w:r>
        <w:rPr>
          <w:sz w:val="24"/>
        </w:rPr>
        <w:t>levonorgestrel eller kopparspiral.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160" w:hanging="360"/>
        <w:jc w:val="left"/>
        <w:rPr>
          <w:rFonts w:ascii="Symbol" w:hAnsi="Symbol"/>
          <w:sz w:val="24"/>
        </w:rPr>
      </w:pPr>
      <w:r>
        <w:rPr>
          <w:sz w:val="24"/>
        </w:rPr>
        <w:t>Kvinnor som använt enzyminducerande läkemedel under de senaste 4 veckorna (t.ex.</w:t>
      </w:r>
      <w:r>
        <w:rPr>
          <w:spacing w:val="-58"/>
          <w:sz w:val="24"/>
        </w:rPr>
        <w:t> </w:t>
      </w:r>
      <w:r>
        <w:rPr>
          <w:sz w:val="24"/>
        </w:rPr>
        <w:t>vissa antiepileptika, johannesört, HIV- och TBC-mediciner) bör rekommenderas</w:t>
      </w:r>
      <w:r>
        <w:rPr>
          <w:spacing w:val="1"/>
          <w:sz w:val="24"/>
        </w:rPr>
        <w:t> </w:t>
      </w:r>
      <w:r>
        <w:rPr>
          <w:sz w:val="24"/>
        </w:rPr>
        <w:t>kopparspiral. Om detta inte är ett alternativ bör kvinnan rekommenderas att ta dubbel</w:t>
      </w:r>
      <w:r>
        <w:rPr>
          <w:spacing w:val="-57"/>
          <w:sz w:val="24"/>
        </w:rPr>
        <w:t> </w:t>
      </w:r>
      <w:r>
        <w:rPr>
          <w:sz w:val="24"/>
        </w:rPr>
        <w:t>dos</w:t>
      </w:r>
      <w:r>
        <w:rPr>
          <w:spacing w:val="-1"/>
          <w:sz w:val="24"/>
        </w:rPr>
        <w:t> </w:t>
      </w:r>
      <w:r>
        <w:rPr>
          <w:sz w:val="24"/>
        </w:rPr>
        <w:t>av levonorgestrel</w:t>
      </w:r>
      <w:r>
        <w:rPr>
          <w:spacing w:val="1"/>
          <w:sz w:val="24"/>
        </w:rPr>
        <w:t> </w:t>
      </w:r>
      <w:r>
        <w:rPr>
          <w:sz w:val="24"/>
        </w:rPr>
        <w:t>(3</w:t>
      </w:r>
      <w:r>
        <w:rPr>
          <w:spacing w:val="1"/>
          <w:sz w:val="24"/>
        </w:rPr>
        <w:t> </w:t>
      </w:r>
      <w:r>
        <w:rPr>
          <w:sz w:val="24"/>
        </w:rPr>
        <w:t>mg)</w:t>
      </w:r>
      <w:r>
        <w:rPr>
          <w:spacing w:val="-1"/>
          <w:sz w:val="24"/>
        </w:rPr>
        <w:t> </w:t>
      </w:r>
      <w:r>
        <w:rPr>
          <w:sz w:val="24"/>
        </w:rPr>
        <w:t>trots att evidens</w:t>
      </w:r>
      <w:r>
        <w:rPr>
          <w:spacing w:val="-1"/>
          <w:sz w:val="24"/>
        </w:rPr>
        <w:t> </w:t>
      </w:r>
      <w:r>
        <w:rPr>
          <w:sz w:val="24"/>
        </w:rPr>
        <w:t>för denna</w:t>
      </w:r>
      <w:r>
        <w:rPr>
          <w:spacing w:val="-1"/>
          <w:sz w:val="24"/>
        </w:rPr>
        <w:t> </w:t>
      </w:r>
      <w:r>
        <w:rPr>
          <w:sz w:val="24"/>
        </w:rPr>
        <w:t>kombination</w:t>
      </w:r>
      <w:r>
        <w:rPr>
          <w:spacing w:val="-1"/>
          <w:sz w:val="24"/>
        </w:rPr>
        <w:t> </w:t>
      </w:r>
      <w:r>
        <w:rPr>
          <w:sz w:val="24"/>
        </w:rPr>
        <w:t>saknas.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088" w:hanging="360"/>
        <w:jc w:val="left"/>
        <w:rPr>
          <w:rFonts w:ascii="Symbol" w:hAnsi="Symbol"/>
          <w:sz w:val="24"/>
        </w:rPr>
      </w:pPr>
      <w:r>
        <w:rPr>
          <w:sz w:val="24"/>
        </w:rPr>
        <w:t>Upprepad behandling under samma menscykel är inte kontraindicerad, men ulipristal-</w:t>
      </w:r>
      <w:r>
        <w:rPr>
          <w:spacing w:val="-57"/>
          <w:sz w:val="24"/>
        </w:rPr>
        <w:t> </w:t>
      </w:r>
      <w:r>
        <w:rPr>
          <w:sz w:val="24"/>
        </w:rPr>
        <w:t>acetat</w:t>
      </w:r>
      <w:r>
        <w:rPr>
          <w:spacing w:val="-1"/>
          <w:sz w:val="24"/>
        </w:rPr>
        <w:t> </w:t>
      </w:r>
      <w:r>
        <w:rPr>
          <w:sz w:val="24"/>
        </w:rPr>
        <w:t>bör</w:t>
      </w:r>
      <w:r>
        <w:rPr>
          <w:spacing w:val="-2"/>
          <w:sz w:val="24"/>
        </w:rPr>
        <w:t> </w:t>
      </w:r>
      <w:r>
        <w:rPr>
          <w:sz w:val="24"/>
        </w:rPr>
        <w:t>inte</w:t>
      </w:r>
      <w:r>
        <w:rPr>
          <w:spacing w:val="1"/>
          <w:sz w:val="24"/>
        </w:rPr>
        <w:t> </w:t>
      </w:r>
      <w:r>
        <w:rPr>
          <w:sz w:val="24"/>
        </w:rPr>
        <w:t>användas</w:t>
      </w:r>
      <w:r>
        <w:rPr>
          <w:spacing w:val="-1"/>
          <w:sz w:val="24"/>
        </w:rPr>
        <w:t> </w:t>
      </w:r>
      <w:r>
        <w:rPr>
          <w:sz w:val="24"/>
        </w:rPr>
        <w:t>inom</w:t>
      </w:r>
      <w:r>
        <w:rPr>
          <w:spacing w:val="-1"/>
          <w:sz w:val="24"/>
        </w:rPr>
        <w:t> </w:t>
      </w:r>
      <w:r>
        <w:rPr>
          <w:sz w:val="24"/>
        </w:rPr>
        <w:t>7 dagar</w:t>
      </w:r>
      <w:r>
        <w:rPr>
          <w:spacing w:val="-1"/>
          <w:sz w:val="24"/>
        </w:rPr>
        <w:t> </w:t>
      </w:r>
      <w:r>
        <w:rPr>
          <w:sz w:val="24"/>
        </w:rPr>
        <w:t>efter intag</w:t>
      </w:r>
      <w:r>
        <w:rPr>
          <w:spacing w:val="-1"/>
          <w:sz w:val="24"/>
        </w:rPr>
        <w:t> </w:t>
      </w:r>
      <w:r>
        <w:rPr>
          <w:sz w:val="24"/>
        </w:rPr>
        <w:t>av</w:t>
      </w:r>
      <w:r>
        <w:rPr>
          <w:spacing w:val="-1"/>
          <w:sz w:val="24"/>
        </w:rPr>
        <w:t> </w:t>
      </w:r>
      <w:r>
        <w:rPr>
          <w:sz w:val="24"/>
        </w:rPr>
        <w:t>akut p-piller</w:t>
      </w:r>
      <w:r>
        <w:rPr>
          <w:spacing w:val="-3"/>
          <w:sz w:val="24"/>
        </w:rPr>
        <w:t> </w:t>
      </w:r>
      <w:r>
        <w:rPr>
          <w:sz w:val="24"/>
        </w:rPr>
        <w:t>med levonorgestrel.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</w:pPr>
      <w:r>
        <w:rPr/>
        <w:t>Uppföljning</w:t>
      </w:r>
    </w:p>
    <w:p>
      <w:pPr>
        <w:pStyle w:val="BodyText"/>
        <w:ind w:left="901" w:right="1035"/>
      </w:pPr>
      <w:r>
        <w:rPr/>
        <w:t>Återbesök för graviditetstest och ev. STI prover bör erbjudas efter 3-4 veckor. I samband med</w:t>
      </w:r>
      <w:r>
        <w:rPr>
          <w:spacing w:val="-58"/>
        </w:rPr>
        <w:t> </w:t>
      </w:r>
      <w:r>
        <w:rPr/>
        <w:t>återbesök</w:t>
      </w:r>
      <w:r>
        <w:rPr>
          <w:spacing w:val="-1"/>
        </w:rPr>
        <w:t> </w:t>
      </w:r>
      <w:r>
        <w:rPr/>
        <w:t>bör</w:t>
      </w:r>
      <w:r>
        <w:rPr>
          <w:spacing w:val="1"/>
        </w:rPr>
        <w:t> </w:t>
      </w:r>
      <w:r>
        <w:rPr/>
        <w:t>även uppföljning av preventivmedelsanvändning ske.</w:t>
      </w:r>
    </w:p>
    <w:p>
      <w:pPr>
        <w:pStyle w:val="BodyText"/>
        <w:spacing w:before="1"/>
      </w:pPr>
    </w:p>
    <w:p>
      <w:pPr>
        <w:pStyle w:val="Heading1"/>
      </w:pPr>
      <w:r>
        <w:rPr/>
        <w:t>Akutpreventivmedel</w:t>
      </w:r>
      <w:r>
        <w:rPr>
          <w:spacing w:val="-4"/>
        </w:rPr>
        <w:t> </w:t>
      </w:r>
      <w:r>
        <w:rPr/>
        <w:t>post</w:t>
      </w:r>
      <w:r>
        <w:rPr>
          <w:spacing w:val="-1"/>
        </w:rPr>
        <w:t> </w:t>
      </w:r>
      <w:r>
        <w:rPr/>
        <w:t>partum</w:t>
      </w:r>
    </w:p>
    <w:p>
      <w:pPr>
        <w:pStyle w:val="BodyText"/>
        <w:ind w:left="901" w:right="1007"/>
      </w:pPr>
      <w:r>
        <w:rPr/>
        <w:t>Oskyddade samlag mer än 21 dagar efter förlossning kan ge upphov till graviditet hos kvinnor</w:t>
      </w:r>
      <w:r>
        <w:rPr>
          <w:spacing w:val="-58"/>
        </w:rPr>
        <w:t> </w:t>
      </w:r>
      <w:r>
        <w:rPr/>
        <w:t>som</w:t>
      </w:r>
      <w:r>
        <w:rPr>
          <w:spacing w:val="-1"/>
        </w:rPr>
        <w:t> </w:t>
      </w:r>
      <w:r>
        <w:rPr/>
        <w:t>inte ammar fullt.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93" w:lineRule="exact" w:before="0" w:after="0"/>
        <w:ind w:left="1621" w:right="0" w:hanging="361"/>
        <w:jc w:val="left"/>
        <w:rPr>
          <w:rFonts w:ascii="Symbol" w:hAnsi="Symbol"/>
          <w:sz w:val="24"/>
        </w:rPr>
      </w:pPr>
      <w:r>
        <w:rPr>
          <w:sz w:val="24"/>
        </w:rPr>
        <w:t>Kopparspiral</w:t>
      </w:r>
      <w:r>
        <w:rPr>
          <w:spacing w:val="-1"/>
          <w:sz w:val="24"/>
        </w:rPr>
        <w:t> </w:t>
      </w:r>
      <w:r>
        <w:rPr>
          <w:sz w:val="24"/>
        </w:rPr>
        <w:t>kan</w:t>
      </w:r>
      <w:r>
        <w:rPr>
          <w:spacing w:val="-1"/>
          <w:sz w:val="24"/>
        </w:rPr>
        <w:t> </w:t>
      </w:r>
      <w:r>
        <w:rPr>
          <w:sz w:val="24"/>
        </w:rPr>
        <w:t>sättas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från</w:t>
      </w:r>
      <w:r>
        <w:rPr>
          <w:spacing w:val="-1"/>
          <w:sz w:val="24"/>
        </w:rPr>
        <w:t> </w:t>
      </w:r>
      <w:r>
        <w:rPr>
          <w:sz w:val="24"/>
        </w:rPr>
        <w:t>6</w:t>
      </w:r>
      <w:r>
        <w:rPr>
          <w:spacing w:val="-1"/>
          <w:sz w:val="24"/>
        </w:rPr>
        <w:t> </w:t>
      </w:r>
      <w:r>
        <w:rPr>
          <w:sz w:val="24"/>
        </w:rPr>
        <w:t>veckor</w:t>
      </w:r>
      <w:r>
        <w:rPr>
          <w:spacing w:val="-1"/>
          <w:sz w:val="24"/>
        </w:rPr>
        <w:t> </w:t>
      </w:r>
      <w:r>
        <w:rPr>
          <w:sz w:val="24"/>
        </w:rPr>
        <w:t>efter förlossning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945" w:hanging="360"/>
        <w:jc w:val="left"/>
        <w:rPr>
          <w:rFonts w:ascii="Symbol" w:hAnsi="Symbol"/>
          <w:sz w:val="24"/>
        </w:rPr>
      </w:pPr>
      <w:r>
        <w:rPr>
          <w:sz w:val="24"/>
        </w:rPr>
        <w:t>Ulipristalacetat och levonorgestrel utsöndras i bröstmjölk, men påverkan på</w:t>
      </w:r>
      <w:r>
        <w:rPr>
          <w:spacing w:val="1"/>
          <w:sz w:val="24"/>
        </w:rPr>
        <w:t> </w:t>
      </w:r>
      <w:r>
        <w:rPr>
          <w:sz w:val="24"/>
        </w:rPr>
        <w:t>bröstmjölkens kvalitet eller barnet har inte visats. Amning kan fortsätta efter</w:t>
      </w:r>
      <w:r>
        <w:rPr>
          <w:spacing w:val="1"/>
          <w:sz w:val="24"/>
        </w:rPr>
        <w:t> </w:t>
      </w:r>
      <w:r>
        <w:rPr>
          <w:sz w:val="24"/>
        </w:rPr>
        <w:t>engångsdos med bägge preparaten. Pga. bristfälliga data rekommenderas inte</w:t>
      </w:r>
      <w:r>
        <w:rPr>
          <w:spacing w:val="-57"/>
          <w:sz w:val="24"/>
        </w:rPr>
        <w:t> </w:t>
      </w:r>
      <w:r>
        <w:rPr>
          <w:sz w:val="24"/>
        </w:rPr>
        <w:t>ulipristalacetat</w:t>
      </w:r>
      <w:r>
        <w:rPr>
          <w:spacing w:val="-1"/>
          <w:sz w:val="24"/>
        </w:rPr>
        <w:t> </w:t>
      </w:r>
      <w:r>
        <w:rPr>
          <w:sz w:val="24"/>
        </w:rPr>
        <w:t>som förstahandsmetod i samband med amning.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</w:pPr>
      <w:r>
        <w:rPr/>
        <w:t>Akutpreventivmedel</w:t>
      </w:r>
      <w:r>
        <w:rPr>
          <w:spacing w:val="-5"/>
        </w:rPr>
        <w:t> </w:t>
      </w:r>
      <w:r>
        <w:rPr/>
        <w:t>och</w:t>
      </w:r>
      <w:r>
        <w:rPr>
          <w:spacing w:val="-2"/>
        </w:rPr>
        <w:t> </w:t>
      </w:r>
      <w:r>
        <w:rPr/>
        <w:t>graviditet</w:t>
      </w:r>
    </w:p>
    <w:p>
      <w:pPr>
        <w:pStyle w:val="BodyText"/>
        <w:ind w:left="901" w:right="1381"/>
      </w:pPr>
      <w:r>
        <w:rPr/>
        <w:t>Kopparspiral bör inte sättas in om det föreligger misstanke om graviditet pga. den ökade</w:t>
      </w:r>
      <w:r>
        <w:rPr>
          <w:spacing w:val="1"/>
        </w:rPr>
        <w:t> </w:t>
      </w:r>
      <w:r>
        <w:rPr/>
        <w:t>risken för missfall, prematurbörd och infektion i samband med ev. abort. Hormonella</w:t>
      </w:r>
      <w:r>
        <w:rPr>
          <w:spacing w:val="1"/>
        </w:rPr>
        <w:t> </w:t>
      </w:r>
      <w:r>
        <w:rPr/>
        <w:t>akutpreventivmedel</w:t>
      </w:r>
      <w:r>
        <w:rPr>
          <w:spacing w:val="-2"/>
        </w:rPr>
        <w:t> </w:t>
      </w:r>
      <w:r>
        <w:rPr/>
        <w:t>kan</w:t>
      </w:r>
      <w:r>
        <w:rPr>
          <w:spacing w:val="-2"/>
        </w:rPr>
        <w:t> </w:t>
      </w:r>
      <w:r>
        <w:rPr/>
        <w:t>inte</w:t>
      </w:r>
      <w:r>
        <w:rPr>
          <w:spacing w:val="-2"/>
        </w:rPr>
        <w:t> </w:t>
      </w:r>
      <w:r>
        <w:rPr/>
        <w:t>avbryta</w:t>
      </w:r>
      <w:r>
        <w:rPr>
          <w:spacing w:val="-3"/>
        </w:rPr>
        <w:t> </w:t>
      </w:r>
      <w:r>
        <w:rPr/>
        <w:t>en etablerad graviditet.</w:t>
      </w:r>
      <w:r>
        <w:rPr>
          <w:spacing w:val="-1"/>
        </w:rPr>
        <w:t> </w:t>
      </w:r>
      <w:r>
        <w:rPr/>
        <w:t>Exposition</w:t>
      </w:r>
      <w:r>
        <w:rPr>
          <w:spacing w:val="-2"/>
        </w:rPr>
        <w:t> </w:t>
      </w:r>
      <w:r>
        <w:rPr/>
        <w:t>för</w:t>
      </w:r>
      <w:r>
        <w:rPr>
          <w:spacing w:val="-1"/>
        </w:rPr>
        <w:t> </w:t>
      </w:r>
      <w:r>
        <w:rPr/>
        <w:t>ulipristalacetat</w:t>
      </w:r>
      <w:r>
        <w:rPr>
          <w:spacing w:val="-57"/>
        </w:rPr>
        <w:t> </w:t>
      </w:r>
      <w:r>
        <w:rPr/>
        <w:t>eller levonorgestrel i tidig graviditet har inte visat någon ökad risk för fosterskada eller</w:t>
      </w:r>
      <w:r>
        <w:rPr>
          <w:spacing w:val="1"/>
        </w:rPr>
        <w:t> </w:t>
      </w:r>
      <w:r>
        <w:rPr/>
        <w:t>missfall.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line="229" w:lineRule="exact" w:before="1"/>
        <w:ind w:left="90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Referenser: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4" w:lineRule="exact" w:before="0" w:after="0"/>
        <w:ind w:left="1621" w:right="0" w:hanging="361"/>
        <w:jc w:val="left"/>
        <w:rPr>
          <w:rFonts w:ascii="Symbol" w:hAnsi="Symbol"/>
          <w:sz w:val="20"/>
        </w:rPr>
      </w:pPr>
      <w:r>
        <w:rPr>
          <w:sz w:val="20"/>
        </w:rPr>
        <w:t>Läkemedelsverket:</w:t>
      </w:r>
      <w:r>
        <w:rPr>
          <w:spacing w:val="-3"/>
          <w:sz w:val="20"/>
        </w:rPr>
        <w:t> </w:t>
      </w:r>
      <w:r>
        <w:rPr>
          <w:sz w:val="20"/>
        </w:rPr>
        <w:t>Antikonception</w:t>
      </w:r>
      <w:r>
        <w:rPr>
          <w:spacing w:val="-2"/>
          <w:sz w:val="20"/>
        </w:rPr>
        <w:t> </w:t>
      </w:r>
      <w:r>
        <w:rPr>
          <w:sz w:val="20"/>
        </w:rPr>
        <w:t>Behandlingsrekommendation,</w:t>
      </w:r>
      <w:r>
        <w:rPr>
          <w:spacing w:val="-3"/>
          <w:sz w:val="20"/>
        </w:rPr>
        <w:t> </w:t>
      </w:r>
      <w:r>
        <w:rPr>
          <w:sz w:val="20"/>
        </w:rPr>
        <w:t>april</w:t>
      </w:r>
      <w:r>
        <w:rPr>
          <w:spacing w:val="-4"/>
          <w:sz w:val="20"/>
        </w:rPr>
        <w:t> </w:t>
      </w:r>
      <w:r>
        <w:rPr>
          <w:sz w:val="20"/>
        </w:rPr>
        <w:t>2014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804" w:hanging="360"/>
        <w:jc w:val="left"/>
        <w:rPr>
          <w:rFonts w:ascii="Symbol" w:hAnsi="Symbol"/>
          <w:sz w:val="20"/>
        </w:rPr>
      </w:pPr>
      <w:r>
        <w:rPr>
          <w:sz w:val="20"/>
        </w:rPr>
        <w:t>K.</w:t>
      </w:r>
      <w:r>
        <w:rPr>
          <w:spacing w:val="-3"/>
          <w:sz w:val="20"/>
        </w:rPr>
        <w:t> </w:t>
      </w:r>
      <w:r>
        <w:rPr>
          <w:sz w:val="20"/>
        </w:rPr>
        <w:t>Gemzell-Danielsson et</w:t>
      </w:r>
      <w:r>
        <w:rPr>
          <w:spacing w:val="-2"/>
          <w:sz w:val="20"/>
        </w:rPr>
        <w:t> </w:t>
      </w:r>
      <w:r>
        <w:rPr>
          <w:sz w:val="20"/>
        </w:rPr>
        <w:t>al:</w:t>
      </w:r>
      <w:r>
        <w:rPr>
          <w:spacing w:val="-3"/>
          <w:sz w:val="20"/>
        </w:rPr>
        <w:t> </w:t>
      </w:r>
      <w:r>
        <w:rPr>
          <w:sz w:val="20"/>
        </w:rPr>
        <w:t>Mechanisms</w:t>
      </w:r>
      <w:r>
        <w:rPr>
          <w:spacing w:val="-3"/>
          <w:sz w:val="20"/>
        </w:rPr>
        <w:t> </w:t>
      </w:r>
      <w:r>
        <w:rPr>
          <w:sz w:val="20"/>
        </w:rPr>
        <w:t>of</w:t>
      </w:r>
      <w:r>
        <w:rPr>
          <w:spacing w:val="-2"/>
          <w:sz w:val="20"/>
        </w:rPr>
        <w:t> </w:t>
      </w:r>
      <w:r>
        <w:rPr>
          <w:sz w:val="20"/>
        </w:rPr>
        <w:t>action</w:t>
      </w:r>
      <w:r>
        <w:rPr>
          <w:spacing w:val="-3"/>
          <w:sz w:val="20"/>
        </w:rPr>
        <w:t> </w:t>
      </w:r>
      <w:r>
        <w:rPr>
          <w:sz w:val="20"/>
        </w:rPr>
        <w:t>of</w:t>
      </w:r>
      <w:r>
        <w:rPr>
          <w:spacing w:val="-3"/>
          <w:sz w:val="20"/>
        </w:rPr>
        <w:t> </w:t>
      </w:r>
      <w:r>
        <w:rPr>
          <w:sz w:val="20"/>
        </w:rPr>
        <w:t>oral</w:t>
      </w:r>
      <w:r>
        <w:rPr>
          <w:spacing w:val="-4"/>
          <w:sz w:val="20"/>
        </w:rPr>
        <w:t> </w:t>
      </w:r>
      <w:r>
        <w:rPr>
          <w:sz w:val="20"/>
        </w:rPr>
        <w:t>emergency</w:t>
      </w:r>
      <w:r>
        <w:rPr>
          <w:spacing w:val="-3"/>
          <w:sz w:val="20"/>
        </w:rPr>
        <w:t> </w:t>
      </w:r>
      <w:r>
        <w:rPr>
          <w:sz w:val="20"/>
        </w:rPr>
        <w:t>contraception.</w:t>
      </w:r>
      <w:r>
        <w:rPr>
          <w:spacing w:val="-2"/>
          <w:sz w:val="20"/>
        </w:rPr>
        <w:t> </w:t>
      </w:r>
      <w:r>
        <w:rPr>
          <w:sz w:val="20"/>
        </w:rPr>
        <w:t>Gynecol</w:t>
      </w:r>
      <w:r>
        <w:rPr>
          <w:spacing w:val="-47"/>
          <w:sz w:val="20"/>
        </w:rPr>
        <w:t> </w:t>
      </w:r>
      <w:r>
        <w:rPr>
          <w:sz w:val="20"/>
        </w:rPr>
        <w:t>Endocrinol</w:t>
      </w:r>
      <w:r>
        <w:rPr>
          <w:spacing w:val="-1"/>
          <w:sz w:val="20"/>
        </w:rPr>
        <w:t> </w:t>
      </w:r>
      <w:r>
        <w:rPr>
          <w:sz w:val="20"/>
        </w:rPr>
        <w:t>2014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5" w:lineRule="exact" w:before="0" w:after="0"/>
        <w:ind w:left="1621" w:right="0" w:hanging="361"/>
        <w:jc w:val="left"/>
        <w:rPr>
          <w:rFonts w:ascii="Symbol" w:hAnsi="Symbol"/>
          <w:sz w:val="20"/>
        </w:rPr>
      </w:pPr>
      <w:r>
        <w:rPr>
          <w:sz w:val="20"/>
        </w:rPr>
        <w:t>Raymond</w:t>
      </w:r>
      <w:r>
        <w:rPr>
          <w:spacing w:val="-1"/>
          <w:sz w:val="20"/>
        </w:rPr>
        <w:t> </w:t>
      </w:r>
      <w:r>
        <w:rPr>
          <w:sz w:val="20"/>
        </w:rPr>
        <w:t>et</w:t>
      </w:r>
      <w:r>
        <w:rPr>
          <w:spacing w:val="-1"/>
          <w:sz w:val="20"/>
        </w:rPr>
        <w:t> </w:t>
      </w:r>
      <w:r>
        <w:rPr>
          <w:sz w:val="20"/>
        </w:rPr>
        <w:t>al:</w:t>
      </w:r>
      <w:r>
        <w:rPr>
          <w:spacing w:val="-2"/>
          <w:sz w:val="20"/>
        </w:rPr>
        <w:t> </w:t>
      </w:r>
      <w:r>
        <w:rPr>
          <w:sz w:val="20"/>
        </w:rPr>
        <w:t>Emergency contraception.</w:t>
      </w:r>
      <w:r>
        <w:rPr>
          <w:spacing w:val="4"/>
          <w:sz w:val="20"/>
        </w:rPr>
        <w:t> </w:t>
      </w:r>
      <w:r>
        <w:rPr>
          <w:sz w:val="20"/>
        </w:rPr>
        <w:t>N</w:t>
      </w:r>
      <w:r>
        <w:rPr>
          <w:spacing w:val="-4"/>
          <w:sz w:val="20"/>
        </w:rPr>
        <w:t> </w:t>
      </w:r>
      <w:r>
        <w:rPr>
          <w:sz w:val="20"/>
        </w:rPr>
        <w:t>Engl</w:t>
      </w:r>
      <w:r>
        <w:rPr>
          <w:spacing w:val="-2"/>
          <w:sz w:val="20"/>
        </w:rPr>
        <w:t> </w:t>
      </w:r>
      <w:r>
        <w:rPr>
          <w:sz w:val="20"/>
        </w:rPr>
        <w:t>J</w:t>
      </w:r>
      <w:r>
        <w:rPr>
          <w:spacing w:val="-2"/>
          <w:sz w:val="20"/>
        </w:rPr>
        <w:t> </w:t>
      </w:r>
      <w:r>
        <w:rPr>
          <w:sz w:val="20"/>
        </w:rPr>
        <w:t>Med</w:t>
      </w:r>
      <w:r>
        <w:rPr>
          <w:spacing w:val="-1"/>
          <w:sz w:val="20"/>
        </w:rPr>
        <w:t> </w:t>
      </w:r>
      <w:r>
        <w:rPr>
          <w:sz w:val="20"/>
        </w:rPr>
        <w:t>April</w:t>
      </w:r>
      <w:r>
        <w:rPr>
          <w:spacing w:val="-2"/>
          <w:sz w:val="20"/>
        </w:rPr>
        <w:t> </w:t>
      </w:r>
      <w:r>
        <w:rPr>
          <w:sz w:val="20"/>
        </w:rPr>
        <w:t>2,</w:t>
      </w:r>
      <w:r>
        <w:rPr>
          <w:spacing w:val="-1"/>
          <w:sz w:val="20"/>
        </w:rPr>
        <w:t> </w:t>
      </w:r>
      <w:r>
        <w:rPr>
          <w:sz w:val="20"/>
        </w:rPr>
        <w:t>2015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4" w:lineRule="exact" w:before="0" w:after="0"/>
        <w:ind w:left="1621" w:right="0" w:hanging="361"/>
        <w:jc w:val="left"/>
        <w:rPr>
          <w:rFonts w:ascii="Symbol" w:hAnsi="Symbol"/>
          <w:sz w:val="20"/>
        </w:rPr>
      </w:pPr>
      <w:r>
        <w:rPr>
          <w:sz w:val="20"/>
        </w:rPr>
        <w:t>Emergency</w:t>
      </w:r>
      <w:r>
        <w:rPr>
          <w:spacing w:val="-2"/>
          <w:sz w:val="20"/>
        </w:rPr>
        <w:t> </w:t>
      </w:r>
      <w:r>
        <w:rPr>
          <w:sz w:val="20"/>
        </w:rPr>
        <w:t>contraception</w:t>
      </w:r>
      <w:r>
        <w:rPr>
          <w:spacing w:val="-1"/>
          <w:sz w:val="20"/>
        </w:rPr>
        <w:t> </w:t>
      </w:r>
      <w:r>
        <w:rPr>
          <w:sz w:val="20"/>
        </w:rPr>
        <w:t>and</w:t>
      </w:r>
      <w:r>
        <w:rPr>
          <w:spacing w:val="-3"/>
          <w:sz w:val="20"/>
        </w:rPr>
        <w:t> </w:t>
      </w:r>
      <w:r>
        <w:rPr>
          <w:sz w:val="20"/>
        </w:rPr>
        <w:t>breast-feeding,</w:t>
      </w:r>
      <w:r>
        <w:rPr>
          <w:spacing w:val="-2"/>
          <w:sz w:val="20"/>
        </w:rPr>
        <w:t> </w:t>
      </w:r>
      <w:r>
        <w:rPr>
          <w:sz w:val="20"/>
        </w:rPr>
        <w:t>dec</w:t>
      </w:r>
      <w:r>
        <w:rPr>
          <w:spacing w:val="-4"/>
          <w:sz w:val="20"/>
        </w:rPr>
        <w:t> </w:t>
      </w:r>
      <w:r>
        <w:rPr>
          <w:sz w:val="20"/>
        </w:rPr>
        <w:t>2014.</w:t>
      </w:r>
      <w:r>
        <w:rPr>
          <w:color w:val="0000FF"/>
          <w:spacing w:val="1"/>
          <w:sz w:val="20"/>
        </w:rPr>
        <w:t> </w:t>
      </w:r>
      <w:hyperlink r:id="rId11">
        <w:r>
          <w:rPr>
            <w:color w:val="0000FF"/>
            <w:sz w:val="20"/>
            <w:u w:val="single" w:color="0000FF"/>
          </w:rPr>
          <w:t>www.evidence.nhs.uk</w:t>
        </w:r>
      </w:hyperlink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1228" w:hanging="360"/>
        <w:jc w:val="left"/>
        <w:rPr>
          <w:rFonts w:ascii="Symbol" w:hAnsi="Symbol"/>
          <w:sz w:val="20"/>
        </w:rPr>
      </w:pPr>
      <w:r>
        <w:rPr>
          <w:sz w:val="20"/>
        </w:rPr>
        <w:t>Brahe</w:t>
      </w:r>
      <w:r>
        <w:rPr>
          <w:spacing w:val="-3"/>
          <w:sz w:val="20"/>
        </w:rPr>
        <w:t> </w:t>
      </w:r>
      <w:r>
        <w:rPr>
          <w:sz w:val="20"/>
        </w:rPr>
        <w:t>et</w:t>
      </w:r>
      <w:r>
        <w:rPr>
          <w:spacing w:val="-2"/>
          <w:sz w:val="20"/>
        </w:rPr>
        <w:t> </w:t>
      </w:r>
      <w:r>
        <w:rPr>
          <w:sz w:val="20"/>
        </w:rPr>
        <w:t>al,</w:t>
      </w:r>
      <w:r>
        <w:rPr>
          <w:spacing w:val="-2"/>
          <w:sz w:val="20"/>
        </w:rPr>
        <w:t> </w:t>
      </w:r>
      <w:r>
        <w:rPr>
          <w:sz w:val="20"/>
        </w:rPr>
        <w:t>Human</w:t>
      </w:r>
      <w:r>
        <w:rPr>
          <w:spacing w:val="-1"/>
          <w:sz w:val="20"/>
        </w:rPr>
        <w:t> </w:t>
      </w:r>
      <w:r>
        <w:rPr>
          <w:sz w:val="20"/>
        </w:rPr>
        <w:t>Reproduction,</w:t>
      </w:r>
      <w:r>
        <w:rPr>
          <w:spacing w:val="-2"/>
          <w:sz w:val="20"/>
        </w:rPr>
        <w:t> </w:t>
      </w:r>
      <w:r>
        <w:rPr>
          <w:sz w:val="20"/>
        </w:rPr>
        <w:t>vol</w:t>
      </w:r>
      <w:r>
        <w:rPr>
          <w:spacing w:val="-5"/>
          <w:sz w:val="20"/>
        </w:rPr>
        <w:t> </w:t>
      </w:r>
      <w:r>
        <w:rPr>
          <w:sz w:val="20"/>
        </w:rPr>
        <w:t>30,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12,</w:t>
      </w:r>
      <w:r>
        <w:rPr>
          <w:spacing w:val="-2"/>
          <w:sz w:val="20"/>
        </w:rPr>
        <w:t> </w:t>
      </w:r>
      <w:r>
        <w:rPr>
          <w:sz w:val="20"/>
        </w:rPr>
        <w:t>2015: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prospective</w:t>
      </w:r>
      <w:r>
        <w:rPr>
          <w:spacing w:val="-2"/>
          <w:sz w:val="20"/>
        </w:rPr>
        <w:t> </w:t>
      </w:r>
      <w:r>
        <w:rPr>
          <w:sz w:val="20"/>
        </w:rPr>
        <w:t>randomized</w:t>
      </w:r>
      <w:r>
        <w:rPr>
          <w:spacing w:val="-3"/>
          <w:sz w:val="20"/>
        </w:rPr>
        <w:t> </w:t>
      </w:r>
      <w:r>
        <w:rPr>
          <w:sz w:val="20"/>
        </w:rPr>
        <w:t>pharmacodynamic</w:t>
      </w:r>
      <w:r>
        <w:rPr>
          <w:spacing w:val="-47"/>
          <w:sz w:val="20"/>
        </w:rPr>
        <w:t> </w:t>
      </w:r>
      <w:r>
        <w:rPr>
          <w:sz w:val="20"/>
        </w:rPr>
        <w:t>study of quick-starting a desogestrel progestin-only pill following ulipristalacetate for emergency</w:t>
      </w:r>
      <w:r>
        <w:rPr>
          <w:spacing w:val="1"/>
          <w:sz w:val="20"/>
        </w:rPr>
        <w:t> </w:t>
      </w:r>
      <w:r>
        <w:rPr>
          <w:sz w:val="20"/>
        </w:rPr>
        <w:t>contraception</w:t>
      </w:r>
    </w:p>
    <w:p>
      <w:pPr>
        <w:pStyle w:val="ListParagraph"/>
        <w:numPr>
          <w:ilvl w:val="0"/>
          <w:numId w:val="1"/>
        </w:numPr>
        <w:tabs>
          <w:tab w:pos="1621" w:val="left" w:leader="none"/>
          <w:tab w:pos="1622" w:val="left" w:leader="none"/>
        </w:tabs>
        <w:spacing w:line="240" w:lineRule="auto" w:before="0" w:after="0"/>
        <w:ind w:left="1621" w:right="0" w:hanging="361"/>
        <w:jc w:val="left"/>
        <w:rPr>
          <w:rFonts w:ascii="Symbol" w:hAnsi="Symbol"/>
          <w:sz w:val="20"/>
        </w:rPr>
      </w:pPr>
      <w:r>
        <w:rPr>
          <w:sz w:val="20"/>
        </w:rPr>
        <w:t>Family</w:t>
      </w:r>
      <w:r>
        <w:rPr>
          <w:spacing w:val="-2"/>
          <w:sz w:val="20"/>
        </w:rPr>
        <w:t> </w:t>
      </w:r>
      <w:r>
        <w:rPr>
          <w:sz w:val="20"/>
        </w:rPr>
        <w:t>Planning</w:t>
      </w:r>
      <w:r>
        <w:rPr>
          <w:spacing w:val="1"/>
          <w:sz w:val="20"/>
        </w:rPr>
        <w:t> </w:t>
      </w:r>
      <w:r>
        <w:rPr>
          <w:sz w:val="20"/>
        </w:rPr>
        <w:t>– A</w:t>
      </w:r>
      <w:r>
        <w:rPr>
          <w:spacing w:val="-2"/>
          <w:sz w:val="20"/>
        </w:rPr>
        <w:t> </w:t>
      </w:r>
      <w:r>
        <w:rPr>
          <w:sz w:val="20"/>
        </w:rPr>
        <w:t>Global</w:t>
      </w:r>
      <w:r>
        <w:rPr>
          <w:spacing w:val="-3"/>
          <w:sz w:val="20"/>
        </w:rPr>
        <w:t> </w:t>
      </w:r>
      <w:r>
        <w:rPr>
          <w:sz w:val="20"/>
        </w:rPr>
        <w:t>Handbook</w:t>
      </w:r>
      <w:r>
        <w:rPr>
          <w:spacing w:val="-1"/>
          <w:sz w:val="20"/>
        </w:rPr>
        <w:t> </w:t>
      </w:r>
      <w:r>
        <w:rPr>
          <w:sz w:val="20"/>
        </w:rPr>
        <w:t>for</w:t>
      </w:r>
      <w:r>
        <w:rPr>
          <w:spacing w:val="-1"/>
          <w:sz w:val="20"/>
        </w:rPr>
        <w:t> </w:t>
      </w:r>
      <w:r>
        <w:rPr>
          <w:sz w:val="20"/>
        </w:rPr>
        <w:t>Providers,</w:t>
      </w:r>
      <w:r>
        <w:rPr>
          <w:spacing w:val="-2"/>
          <w:sz w:val="20"/>
        </w:rPr>
        <w:t> </w:t>
      </w:r>
      <w:r>
        <w:rPr>
          <w:sz w:val="20"/>
        </w:rPr>
        <w:t>WHO</w:t>
      </w:r>
      <w:r>
        <w:rPr>
          <w:spacing w:val="-1"/>
          <w:sz w:val="20"/>
        </w:rPr>
        <w:t> </w:t>
      </w:r>
      <w:r>
        <w:rPr>
          <w:sz w:val="20"/>
        </w:rPr>
        <w:t>2018</w:t>
      </w:r>
    </w:p>
    <w:sectPr>
      <w:footerReference w:type="default" r:id="rId9"/>
      <w:pgSz w:w="11900" w:h="16850"/>
      <w:pgMar w:footer="855" w:header="0" w:top="560" w:bottom="1040" w:left="460" w:right="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5376">
          <wp:simplePos x="0" y="0"/>
          <wp:positionH relativeFrom="page">
            <wp:posOffset>360045</wp:posOffset>
          </wp:positionH>
          <wp:positionV relativeFrom="page">
            <wp:posOffset>9973309</wp:posOffset>
          </wp:positionV>
          <wp:extent cx="6840220" cy="107950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4022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27.869995pt;margin-top:795.423462pt;width:225.8pt;height:13.15pt;mso-position-horizontal-relative:page;mso-position-vertical-relative:page;z-index:-15790592" type="#_x0000_t202" id="docshape1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 w:hAnsi="Arial"/>
                    <w:sz w:val="20"/>
                  </w:rPr>
                </w:pPr>
                <w:r>
                  <w:rPr>
                    <w:rFonts w:ascii="Arial" w:hAnsi="Arial"/>
                    <w:sz w:val="20"/>
                  </w:rPr>
                  <w:t>Läkemedelskommittén</w:t>
                </w:r>
                <w:r>
                  <w:rPr>
                    <w:rFonts w:ascii="Arial" w:hAnsi="Arial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i</w:t>
                </w:r>
                <w:r>
                  <w:rPr>
                    <w:rFonts w:ascii="Arial" w:hAnsi="Arial"/>
                    <w:spacing w:val="-4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Västra</w:t>
                </w:r>
                <w:r>
                  <w:rPr>
                    <w:rFonts w:ascii="Arial" w:hAnsi="Arial"/>
                    <w:spacing w:val="-4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Götalandsregionen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6400">
          <wp:simplePos x="0" y="0"/>
          <wp:positionH relativeFrom="page">
            <wp:posOffset>360045</wp:posOffset>
          </wp:positionH>
          <wp:positionV relativeFrom="page">
            <wp:posOffset>9973309</wp:posOffset>
          </wp:positionV>
          <wp:extent cx="6840220" cy="107950"/>
          <wp:effectExtent l="0" t="0" r="0" b="0"/>
          <wp:wrapNone/>
          <wp:docPr id="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4022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67.183998pt;margin-top:799.263428pt;width:7.55pt;height:13.15pt;mso-position-horizontal-relative:page;mso-position-vertical-relative:page;z-index:-15789568" type="#_x0000_t202" id="docshape5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/>
                    <w:sz w:val="20"/>
                  </w:rPr>
                </w:pPr>
                <w:r>
                  <w:rPr>
                    <w:rFonts w:ascii="Arial"/>
                    <w:w w:val="99"/>
                    <w:sz w:val="20"/>
                  </w:rPr>
                  <w:t>2</w:t>
                </w:r>
              </w:p>
            </w:txbxContent>
          </v:textbox>
          <w10:wrap type="none"/>
        </v:shape>
      </w:pict>
    </w:r>
    <w:r>
      <w:rPr/>
      <w:pict>
        <v:shape style="position:absolute;margin-left:299.410004pt;margin-top:799.143433pt;width:225.75pt;height:13.15pt;mso-position-horizontal-relative:page;mso-position-vertical-relative:page;z-index:-15789056" type="#_x0000_t202" id="docshape6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 w:hAnsi="Arial"/>
                    <w:sz w:val="20"/>
                  </w:rPr>
                </w:pPr>
                <w:r>
                  <w:rPr>
                    <w:rFonts w:ascii="Arial" w:hAnsi="Arial"/>
                    <w:sz w:val="20"/>
                  </w:rPr>
                  <w:t>Läkemedelskommittén</w:t>
                </w:r>
                <w:r>
                  <w:rPr>
                    <w:rFonts w:ascii="Arial" w:hAnsi="Arial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i</w:t>
                </w:r>
                <w:r>
                  <w:rPr>
                    <w:rFonts w:ascii="Arial" w:hAnsi="Arial"/>
                    <w:spacing w:val="-4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Västra</w:t>
                </w:r>
                <w:r>
                  <w:rPr>
                    <w:rFonts w:ascii="Arial" w:hAnsi="Arial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Götalandsregionen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1621" w:hanging="360"/>
      </w:pPr>
      <w:rPr>
        <w:rFonts w:hint="default" w:ascii="Symbol" w:hAnsi="Symbol" w:eastAsia="Symbol" w:cs="Symbol"/>
        <w:w w:val="100"/>
        <w:lang w:val="sv-SE" w:eastAsia="en-US" w:bidi="ar-SA"/>
      </w:rPr>
    </w:lvl>
    <w:lvl w:ilvl="1">
      <w:start w:val="0"/>
      <w:numFmt w:val="bullet"/>
      <w:lvlText w:val="•"/>
      <w:lvlJc w:val="left"/>
      <w:pPr>
        <w:ind w:left="2555" w:hanging="360"/>
      </w:pPr>
      <w:rPr>
        <w:rFonts w:hint="default"/>
        <w:lang w:val="sv-SE" w:eastAsia="en-US" w:bidi="ar-SA"/>
      </w:rPr>
    </w:lvl>
    <w:lvl w:ilvl="2">
      <w:start w:val="0"/>
      <w:numFmt w:val="bullet"/>
      <w:lvlText w:val="•"/>
      <w:lvlJc w:val="left"/>
      <w:pPr>
        <w:ind w:left="3491" w:hanging="360"/>
      </w:pPr>
      <w:rPr>
        <w:rFonts w:hint="default"/>
        <w:lang w:val="sv-SE" w:eastAsia="en-US" w:bidi="ar-SA"/>
      </w:rPr>
    </w:lvl>
    <w:lvl w:ilvl="3">
      <w:start w:val="0"/>
      <w:numFmt w:val="bullet"/>
      <w:lvlText w:val="•"/>
      <w:lvlJc w:val="left"/>
      <w:pPr>
        <w:ind w:left="4427" w:hanging="360"/>
      </w:pPr>
      <w:rPr>
        <w:rFonts w:hint="default"/>
        <w:lang w:val="sv-SE" w:eastAsia="en-US" w:bidi="ar-SA"/>
      </w:rPr>
    </w:lvl>
    <w:lvl w:ilvl="4">
      <w:start w:val="0"/>
      <w:numFmt w:val="bullet"/>
      <w:lvlText w:val="•"/>
      <w:lvlJc w:val="left"/>
      <w:pPr>
        <w:ind w:left="5363" w:hanging="360"/>
      </w:pPr>
      <w:rPr>
        <w:rFonts w:hint="default"/>
        <w:lang w:val="sv-SE" w:eastAsia="en-US" w:bidi="ar-SA"/>
      </w:rPr>
    </w:lvl>
    <w:lvl w:ilvl="5">
      <w:start w:val="0"/>
      <w:numFmt w:val="bullet"/>
      <w:lvlText w:val="•"/>
      <w:lvlJc w:val="left"/>
      <w:pPr>
        <w:ind w:left="6299" w:hanging="360"/>
      </w:pPr>
      <w:rPr>
        <w:rFonts w:hint="default"/>
        <w:lang w:val="sv-SE" w:eastAsia="en-US" w:bidi="ar-SA"/>
      </w:rPr>
    </w:lvl>
    <w:lvl w:ilvl="6">
      <w:start w:val="0"/>
      <w:numFmt w:val="bullet"/>
      <w:lvlText w:val="•"/>
      <w:lvlJc w:val="left"/>
      <w:pPr>
        <w:ind w:left="7235" w:hanging="360"/>
      </w:pPr>
      <w:rPr>
        <w:rFonts w:hint="default"/>
        <w:lang w:val="sv-SE" w:eastAsia="en-US" w:bidi="ar-SA"/>
      </w:rPr>
    </w:lvl>
    <w:lvl w:ilvl="7">
      <w:start w:val="0"/>
      <w:numFmt w:val="bullet"/>
      <w:lvlText w:val="•"/>
      <w:lvlJc w:val="left"/>
      <w:pPr>
        <w:ind w:left="8171" w:hanging="360"/>
      </w:pPr>
      <w:rPr>
        <w:rFonts w:hint="default"/>
        <w:lang w:val="sv-SE" w:eastAsia="en-US" w:bidi="ar-SA"/>
      </w:rPr>
    </w:lvl>
    <w:lvl w:ilvl="8">
      <w:start w:val="0"/>
      <w:numFmt w:val="bullet"/>
      <w:lvlText w:val="•"/>
      <w:lvlJc w:val="left"/>
      <w:pPr>
        <w:ind w:left="9107" w:hanging="360"/>
      </w:pPr>
      <w:rPr>
        <w:rFonts w:hint="default"/>
        <w:lang w:val="sv-SE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v-SE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sv-SE" w:eastAsia="en-US" w:bidi="ar-SA"/>
    </w:rPr>
  </w:style>
  <w:style w:styleId="Heading1" w:type="paragraph">
    <w:name w:val="Heading 1"/>
    <w:basedOn w:val="Normal"/>
    <w:uiPriority w:val="1"/>
    <w:qFormat/>
    <w:pPr>
      <w:spacing w:line="275" w:lineRule="exact"/>
      <w:ind w:left="901"/>
      <w:outlineLvl w:val="1"/>
    </w:pPr>
    <w:rPr>
      <w:rFonts w:ascii="Arial" w:hAnsi="Arial" w:eastAsia="Arial" w:cs="Arial"/>
      <w:b/>
      <w:bCs/>
      <w:sz w:val="24"/>
      <w:szCs w:val="24"/>
      <w:lang w:val="sv-SE" w:eastAsia="en-US" w:bidi="ar-SA"/>
    </w:rPr>
  </w:style>
  <w:style w:styleId="Title" w:type="paragraph">
    <w:name w:val="Title"/>
    <w:basedOn w:val="Normal"/>
    <w:uiPriority w:val="1"/>
    <w:qFormat/>
    <w:pPr>
      <w:spacing w:line="637" w:lineRule="exact"/>
      <w:ind w:left="882"/>
    </w:pPr>
    <w:rPr>
      <w:rFonts w:ascii="Arial" w:hAnsi="Arial" w:eastAsia="Arial" w:cs="Arial"/>
      <w:sz w:val="56"/>
      <w:szCs w:val="56"/>
      <w:lang w:val="sv-SE" w:eastAsia="en-US" w:bidi="ar-SA"/>
    </w:rPr>
  </w:style>
  <w:style w:styleId="ListParagraph" w:type="paragraph">
    <w:name w:val="List Paragraph"/>
    <w:basedOn w:val="Normal"/>
    <w:uiPriority w:val="1"/>
    <w:qFormat/>
    <w:pPr>
      <w:ind w:left="1621" w:hanging="360"/>
    </w:pPr>
    <w:rPr>
      <w:rFonts w:ascii="Times New Roman" w:hAnsi="Times New Roman" w:eastAsia="Times New Roman" w:cs="Times New Roman"/>
      <w:lang w:val="sv-SE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v-SE" w:eastAsia="en-US" w:bidi="ar-SA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png" Id="rId8" /><Relationship Type="http://schemas.openxmlformats.org/officeDocument/2006/relationships/theme" Target="theme/theme1.xml" Id="rId3" /><Relationship Type="http://schemas.openxmlformats.org/officeDocument/2006/relationships/numbering" Target="numbering.xml" Id="rId12" /><Relationship Type="http://schemas.openxmlformats.org/officeDocument/2006/relationships/image" Target="media/image3.png" Id="rId7" /><Relationship Type="http://schemas.openxmlformats.org/officeDocument/2006/relationships/fontTable" Target="fontTable.xml" Id="rId2" /><Relationship Type="http://schemas.openxmlformats.org/officeDocument/2006/relationships/styles" Target="styles.xml" Id="rId1" /><Relationship Type="http://schemas.openxmlformats.org/officeDocument/2006/relationships/hyperlink" Target="http://www.evidence.nhs.uk/" TargetMode="External" Id="rId11" /><Relationship Type="http://schemas.openxmlformats.org/officeDocument/2006/relationships/image" Target="media/image2.jpeg" Id="rId6" /><Relationship Type="http://schemas.openxmlformats.org/officeDocument/2006/relationships/footer" Target="footer1.xml" Id="rId5" /><Relationship Type="http://schemas.openxmlformats.org/officeDocument/2006/relationships/image" Target="media/image1.png" Id="rId10" /><Relationship Type="http://schemas.openxmlformats.org/officeDocument/2006/relationships/settings" Target="settings.xml" Id="rId4" /><Relationship Type="http://schemas.openxmlformats.org/officeDocument/2006/relationships/footer" Target="footer2.xml" Id="rId9" /></Relationships>
</file>

<file path=word/_rels/footer1.xml.rels><?xml version="1.0" encoding="UTF-8"?>

<Relationships xmlns="http://schemas.openxmlformats.org/package/2006/relationships">
  <Relationship Id="rId1" Type="http://schemas.openxmlformats.org/officeDocument/2006/relationships/image" Target="media/image1.png"/>
</Relationships>

</file>

<file path=word/_rels/footer2.xml.rels><?xml version="1.0" encoding="UTF-8"?>

<Relationships xmlns="http://schemas.openxmlformats.org/package/2006/relationships">
  <Relationship Id="rId1" Type="http://schemas.openxmlformats.org/officeDocument/2006/relationships/image" Target="media/image1.pn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20200430 Akuta preventivmetoder</dc:title>
  <dc:creator>Västra Götalandsregionen</dc:creator>
  <keywords/>
  <dcterms:created xsi:type="dcterms:W3CDTF">2022-02-09T12:59:31.0000000Z</dcterms:created>
  <dcterms:modified xsi:type="dcterms:W3CDTF">2022-02-09T12:59:31.0000000Z</dcterms:modified>
</coreProperties>
</file>