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C21BE" w:rsidP="00F35B05" w:rsidRDefault="00FC21BE" w14:paraId="2287934D" w14:textId="77777777">
      <w:pPr>
        <w:pStyle w:val="Heading2"/>
        <w:sectPr w:rsidR="00FC21BE" w:rsidSect="00FC21B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2A3F65FA" w:rsidP="2E28F9EE" w:rsidRDefault="2A3F65FA" w14:paraId="5EBC11DF" w14:textId="45F8A62E">
      <w:pPr>
        <w:pStyle w:val="Heading1"/>
        <w:keepNext w:val="1"/>
      </w:pPr>
      <w:r w:rsidR="2A3F65FA">
        <w:rPr/>
        <w:t>Vestiburalisneurit</w:t>
      </w:r>
      <w:r w:rsidR="2A3F65FA">
        <w:rPr/>
        <w:t xml:space="preserve"> – diagnos och behandling</w:t>
      </w:r>
    </w:p>
    <w:p w:rsidRPr="00FC21BE" w:rsidR="00FC21BE" w:rsidP="2E28F9EE" w:rsidRDefault="00FC21BE" w14:paraId="462AAD71" w14:textId="77777777">
      <w:pPr>
        <w:pStyle w:val="Heading2"/>
        <w:keepNext w:val="1"/>
        <w:rPr>
          <w:rFonts w:ascii="Arial" w:hAnsi="Arial" w:cs="Arial"/>
          <w:b w:val="1"/>
          <w:bCs w:val="1"/>
        </w:rPr>
      </w:pPr>
      <w:r w:rsidR="00FC21BE">
        <w:rPr/>
        <w:t>Revideringar i denna version</w:t>
      </w:r>
    </w:p>
    <w:p w:rsidRPr="00FC21BE" w:rsidR="00FC21BE" w:rsidP="2E28F9EE" w:rsidRDefault="00FC21BE" w14:paraId="0A87350D" w14:textId="57A22BB2">
      <w:pPr>
        <w:pStyle w:val="Normal"/>
        <w:rPr>
          <w:rFonts w:ascii="Arial" w:hAnsi="Arial" w:cs="Arial"/>
          <w:sz w:val="20"/>
          <w:szCs w:val="20"/>
        </w:rPr>
      </w:pPr>
      <w:r w:rsidR="00FC21BE">
        <w:rPr/>
        <w:t>Förlängt giltighetsdatum.</w:t>
      </w:r>
    </w:p>
    <w:p w:rsidRPr="00FC21BE" w:rsidR="00FC21BE" w:rsidP="2E28F9EE" w:rsidRDefault="00FC21BE" w14:paraId="000AE242" w14:textId="77777777">
      <w:pPr>
        <w:pStyle w:val="Heading2"/>
        <w:keepNext w:val="1"/>
        <w:rPr>
          <w:rFonts w:ascii="Arial" w:hAnsi="Arial" w:cs="Arial"/>
          <w:b w:val="1"/>
          <w:bCs w:val="1"/>
        </w:rPr>
      </w:pPr>
      <w:r w:rsidR="00FC21BE">
        <w:rPr/>
        <w:t>Bakgrund, syfte och mål</w:t>
      </w:r>
    </w:p>
    <w:p w:rsidRPr="00FC21BE" w:rsidR="00FC21BE" w:rsidP="2E28F9EE" w:rsidRDefault="00FC21BE" w14:paraId="7AFA6E22" w14:textId="21B5E712">
      <w:pPr>
        <w:pStyle w:val="Normal"/>
        <w:rPr>
          <w:rFonts w:ascii="Arial" w:hAnsi="Arial" w:cs="Arial"/>
          <w:sz w:val="20"/>
          <w:szCs w:val="20"/>
        </w:rPr>
      </w:pPr>
      <w:r w:rsidR="00FC21BE">
        <w:rPr/>
        <w:t>Vestibularisneurit</w:t>
      </w:r>
      <w:r w:rsidR="00FC21BE">
        <w:rPr/>
        <w:t xml:space="preserve"> innebär ett akut ensidigt bortfall av den perifera delen av </w:t>
      </w:r>
      <w:r w:rsidR="00FC21BE">
        <w:rPr/>
        <w:t>vestibularisnerven</w:t>
      </w:r>
      <w:r w:rsidR="00FC21BE">
        <w:rPr/>
        <w:t xml:space="preserve">. Riktlinjen syftar till att utgöra ett hjälpmedel i diagnostiken av </w:t>
      </w:r>
      <w:r w:rsidR="00FC21BE">
        <w:rPr/>
        <w:t>vestibularisneurit</w:t>
      </w:r>
      <w:r w:rsidR="00FC21BE">
        <w:rPr/>
        <w:t xml:space="preserve"> som i många fall är svårt att skilja från infarkt i lillhjärna eller hjärnstam.</w:t>
      </w:r>
    </w:p>
    <w:p w:rsidRPr="00FC21BE" w:rsidR="00FC21BE" w:rsidP="2E28F9EE" w:rsidRDefault="00FC21BE" w14:paraId="745FF7D9" w14:textId="77777777">
      <w:pPr>
        <w:pStyle w:val="Heading2"/>
        <w:keepNext w:val="1"/>
        <w:rPr>
          <w:rFonts w:ascii="Arial" w:hAnsi="Arial" w:cs="Arial"/>
          <w:b w:val="1"/>
          <w:bCs w:val="1"/>
        </w:rPr>
      </w:pPr>
      <w:r w:rsidR="00FC21BE">
        <w:rPr/>
        <w:t>Förutsättningar</w:t>
      </w:r>
    </w:p>
    <w:p w:rsidRPr="00FC21BE" w:rsidR="00FC21BE" w:rsidP="2E28F9EE" w:rsidRDefault="00FC21BE" w14:paraId="20B43672" w14:textId="77777777">
      <w:pPr>
        <w:pStyle w:val="Heading4"/>
        <w:keepNext w:val="1"/>
        <w:rPr>
          <w:rFonts w:ascii="Arial" w:hAnsi="Arial" w:cs="Arial"/>
          <w:b w:val="1"/>
          <w:bCs w:val="1"/>
          <w:sz w:val="20"/>
          <w:szCs w:val="20"/>
        </w:rPr>
      </w:pPr>
      <w:r w:rsidR="00FC21BE">
        <w:rPr/>
        <w:t>Ansvar</w:t>
      </w:r>
    </w:p>
    <w:p w:rsidRPr="00FC21BE" w:rsidR="00FC21BE" w:rsidP="2E28F9EE" w:rsidRDefault="00FC21BE" w14:paraId="672666CE" w14:textId="38E2711E">
      <w:pPr>
        <w:pStyle w:val="Normal"/>
        <w:rPr>
          <w:rFonts w:ascii="Arial" w:hAnsi="Arial" w:cs="Arial"/>
          <w:sz w:val="20"/>
          <w:szCs w:val="20"/>
        </w:rPr>
      </w:pPr>
      <w:r w:rsidR="00FC21BE">
        <w:rPr/>
        <w:t xml:space="preserve">Akut yrsel handläggs primärt av medicinjour, se bland annat riktlinje; akut debuterad yrsel. Vid behov, </w:t>
      </w:r>
      <w:r w:rsidR="00FC21BE">
        <w:rPr/>
        <w:t>remiss dagtid</w:t>
      </w:r>
      <w:r w:rsidR="00FC21BE">
        <w:rPr/>
        <w:t xml:space="preserve"> till ÖNH-kliniken för bedömning och eventuellt övertag.</w:t>
      </w:r>
    </w:p>
    <w:p w:rsidRPr="00FC21BE" w:rsidR="00FC21BE" w:rsidP="2E28F9EE" w:rsidRDefault="00FC21BE" w14:paraId="4742D3B6" w14:textId="77777777">
      <w:pPr>
        <w:pStyle w:val="Heading4"/>
        <w:keepNext w:val="1"/>
        <w:rPr>
          <w:rFonts w:ascii="Arial" w:hAnsi="Arial" w:cs="Arial"/>
          <w:b w:val="1"/>
          <w:bCs w:val="1"/>
          <w:sz w:val="20"/>
          <w:szCs w:val="20"/>
        </w:rPr>
      </w:pPr>
      <w:r w:rsidR="00FC21BE">
        <w:rPr/>
        <w:t>Avgränsningar</w:t>
      </w:r>
    </w:p>
    <w:p w:rsidRPr="00FC21BE" w:rsidR="00FC21BE" w:rsidP="2E28F9EE" w:rsidRDefault="00FC21BE" w14:paraId="25DF3CAF" w14:textId="5A36A330">
      <w:pPr>
        <w:pStyle w:val="Normal"/>
        <w:rPr>
          <w:rFonts w:ascii="Arial" w:hAnsi="Arial" w:cs="Arial"/>
          <w:sz w:val="20"/>
          <w:szCs w:val="20"/>
        </w:rPr>
      </w:pPr>
      <w:r w:rsidR="00FC21BE">
        <w:rPr/>
        <w:t>Dokumentet är avsett för läkare som handlägger patienter med akut debuterad yrsel.</w:t>
      </w:r>
    </w:p>
    <w:p w:rsidRPr="00FC21BE" w:rsidR="00FC21BE" w:rsidP="2E28F9EE" w:rsidRDefault="00FC21BE" w14:paraId="0027C844" w14:textId="77777777">
      <w:pPr>
        <w:pStyle w:val="Heading2"/>
        <w:keepNext w:val="1"/>
        <w:rPr>
          <w:rFonts w:ascii="Arial" w:hAnsi="Arial" w:cs="Arial"/>
          <w:b w:val="1"/>
          <w:bCs w:val="1"/>
        </w:rPr>
      </w:pPr>
      <w:r w:rsidR="00FC21BE">
        <w:rPr/>
        <w:t>Arbetsbeskrivning</w:t>
      </w:r>
    </w:p>
    <w:p w:rsidRPr="00FC21BE" w:rsidR="00FC21BE" w:rsidP="2E28F9EE" w:rsidRDefault="00FC21BE" w14:paraId="0C2C68E4" w14:textId="11137CA9">
      <w:pPr>
        <w:pStyle w:val="Normal"/>
        <w:rPr>
          <w:rFonts w:ascii="Arial" w:hAnsi="Arial" w:cs="Arial"/>
          <w:sz w:val="20"/>
          <w:szCs w:val="20"/>
        </w:rPr>
      </w:pPr>
      <w:r w:rsidR="00FC21BE">
        <w:rPr/>
        <w:t xml:space="preserve">Vid </w:t>
      </w:r>
      <w:r w:rsidR="00FC21BE">
        <w:rPr/>
        <w:t>vestibularisneurit</w:t>
      </w:r>
      <w:r w:rsidR="00FC21BE">
        <w:rPr/>
        <w:t xml:space="preserve"> insjuknar patienten relativt akut med kraftig yrsel av </w:t>
      </w:r>
      <w:r w:rsidR="00FC21BE">
        <w:rPr/>
        <w:t>rotatorisk</w:t>
      </w:r>
      <w:r w:rsidR="00FC21BE">
        <w:rPr/>
        <w:t xml:space="preserve"> karaktär. Varje form av huvudvridning förvärrar symtomen, varför patienten gärna ligger alldeles stilla. Patienten upplever ett kraftigt illamående ofta kombinerat med kräkningar. Sjukdomen är inte associerad med någon form av hörselpåverkan eller andra neurologiska manifestationer.</w:t>
      </w:r>
    </w:p>
    <w:p w:rsidRPr="00FC21BE" w:rsidR="00FC21BE" w:rsidP="2E28F9EE" w:rsidRDefault="00FC21BE" w14:paraId="192D4F0D" w14:textId="5DB959B0">
      <w:pPr>
        <w:spacing w:after="0" w:line="240" w:lineRule="auto"/>
        <w:ind/>
      </w:pPr>
      <w:r>
        <w:br w:type="page"/>
      </w:r>
    </w:p>
    <w:p w:rsidRPr="00FC21BE" w:rsidR="00FC21BE" w:rsidP="2E28F9EE" w:rsidRDefault="00FC21BE" w14:paraId="1EC0A863" w14:textId="79552FD7">
      <w:pPr>
        <w:pStyle w:val="Heading4"/>
        <w:rPr>
          <w:rFonts w:ascii="Arial" w:hAnsi="Arial" w:cs="Arial"/>
          <w:b w:val="1"/>
          <w:bCs w:val="1"/>
          <w:u w:val="single"/>
        </w:rPr>
      </w:pPr>
      <w:r w:rsidR="00FC21BE">
        <w:rPr/>
        <w:t>Status:</w:t>
      </w:r>
    </w:p>
    <w:p w:rsidRPr="00FC21BE" w:rsidR="00FC21BE" w:rsidP="2E28F9EE" w:rsidRDefault="00FC21BE" w14:paraId="6008946B" w14:textId="77777777">
      <w:pPr>
        <w:pStyle w:val="Normal"/>
        <w:keepNext w:val="1"/>
        <w:ind w:left="632" w:firstLine="360"/>
        <w:rPr>
          <w:rFonts w:ascii="Arial" w:hAnsi="Arial" w:cs="Arial"/>
          <w:b w:val="1"/>
          <w:bCs w:val="1"/>
          <w:sz w:val="20"/>
          <w:szCs w:val="20"/>
        </w:rPr>
      </w:pPr>
      <w:r w:rsidRPr="2E28F9EE" w:rsidR="00FC21BE">
        <w:rPr>
          <w:b w:val="1"/>
          <w:bCs w:val="1"/>
        </w:rPr>
        <w:t>HINTS</w:t>
      </w:r>
    </w:p>
    <w:p w:rsidRPr="00FC21BE" w:rsidR="00FC21BE" w:rsidP="58C73DE6" w:rsidRDefault="00FC21BE" w14:paraId="4432B09A" w14:textId="445190AF">
      <w:pPr>
        <w:pStyle w:val="Normal"/>
      </w:pPr>
      <w:r w:rsidRPr="58C73DE6" w:rsidR="00FC21BE">
        <w:rPr>
          <w:b w:val="1"/>
          <w:bCs w:val="1"/>
          <w:u w:val="single"/>
        </w:rPr>
        <w:t>Head</w:t>
      </w:r>
      <w:r w:rsidRPr="58C73DE6" w:rsidR="00FC21BE">
        <w:rPr>
          <w:b w:val="1"/>
          <w:bCs w:val="1"/>
          <w:u w:val="single"/>
        </w:rPr>
        <w:t xml:space="preserve"> </w:t>
      </w:r>
      <w:r w:rsidRPr="58C73DE6" w:rsidR="00FC21BE">
        <w:rPr>
          <w:b w:val="1"/>
          <w:bCs w:val="1"/>
          <w:u w:val="single"/>
        </w:rPr>
        <w:t>Impulse</w:t>
      </w:r>
      <w:r w:rsidRPr="58C73DE6" w:rsidR="00FC21BE">
        <w:rPr>
          <w:b w:val="1"/>
          <w:bCs w:val="1"/>
          <w:u w:val="single"/>
        </w:rPr>
        <w:t xml:space="preserve"> test</w:t>
      </w:r>
      <w:r w:rsidRPr="58C73DE6" w:rsidR="00FC21BE">
        <w:rPr>
          <w:b w:val="1"/>
          <w:bCs w:val="1"/>
          <w:u w:val="single"/>
        </w:rPr>
        <w:t>:</w:t>
      </w:r>
      <w:r w:rsidR="00FC21BE">
        <w:rPr/>
        <w:t xml:space="preserve"> Ett positivt impulstest beror i de flesta fallen på en perifer skada av </w:t>
      </w:r>
      <w:r w:rsidR="00FC21BE">
        <w:rPr/>
        <w:t>vestibularisnerven</w:t>
      </w:r>
      <w:r w:rsidR="00FC21BE">
        <w:rPr/>
        <w:t xml:space="preserve">. Patienten fixerar blicken, </w:t>
      </w:r>
      <w:r w:rsidR="00FC21BE">
        <w:rPr/>
        <w:t>t ex</w:t>
      </w:r>
      <w:r w:rsidR="00FC21BE">
        <w:rPr/>
        <w:t xml:space="preserve"> på undersökarens näsa. Snabba plötsliga vridningar av huvudet (cirka 30 grader) genomförs. Vid vridning åt den friska sidan klarar patienten med hjälp av den </w:t>
      </w:r>
      <w:r w:rsidR="00FC21BE">
        <w:rPr/>
        <w:t>vestibulo-ockulära</w:t>
      </w:r>
      <w:r w:rsidR="00FC21BE">
        <w:rPr/>
        <w:t xml:space="preserve"> reflexen att hålla blicken fortsatt fixerad. Vid vridning åt den sjuka sidan är mekanismen utslagen och man ser då en återställningssackad av ögonen för att åter nå fixpunkten.</w:t>
      </w:r>
      <w:r w:rsidR="5749A963">
        <w:rPr/>
        <w:t xml:space="preserve"> Med fördel kan patienten </w:t>
      </w:r>
      <w:r w:rsidR="65C8948E">
        <w:rPr/>
        <w:t xml:space="preserve">som komplement </w:t>
      </w:r>
      <w:r w:rsidR="5749A963">
        <w:rPr/>
        <w:t>undersökas med v-HIT</w:t>
      </w:r>
      <w:r w:rsidR="785D2E15">
        <w:rPr/>
        <w:t>. Undersökningen finns på ÖNH-mottagni</w:t>
      </w:r>
      <w:r w:rsidR="02637E3C">
        <w:rPr/>
        <w:t>n</w:t>
      </w:r>
      <w:r w:rsidR="785D2E15">
        <w:rPr/>
        <w:t>ge</w:t>
      </w:r>
      <w:r w:rsidR="2EE270B3">
        <w:rPr/>
        <w:t>n</w:t>
      </w:r>
      <w:r w:rsidR="785D2E15">
        <w:rPr/>
        <w:t xml:space="preserve"> dagtid</w:t>
      </w:r>
      <w:r w:rsidR="074E11E7">
        <w:rPr/>
        <w:t xml:space="preserve"> och</w:t>
      </w:r>
      <w:r w:rsidR="5749A963">
        <w:rPr/>
        <w:t xml:space="preserve"> har en hög sensitivitet</w:t>
      </w:r>
      <w:r w:rsidR="1E319EA3">
        <w:rPr/>
        <w:t xml:space="preserve"> men kräver att </w:t>
      </w:r>
      <w:r w:rsidR="36AAE576">
        <w:rPr/>
        <w:t>p</w:t>
      </w:r>
      <w:r w:rsidR="5749A963">
        <w:rPr/>
        <w:t xml:space="preserve">atienten </w:t>
      </w:r>
      <w:r w:rsidR="2B88CC35">
        <w:rPr/>
        <w:t>kan</w:t>
      </w:r>
      <w:r w:rsidR="5749A963">
        <w:rPr/>
        <w:t xml:space="preserve"> </w:t>
      </w:r>
      <w:r w:rsidR="79806F92">
        <w:rPr/>
        <w:t xml:space="preserve">medverka och </w:t>
      </w:r>
      <w:r w:rsidR="5749A963">
        <w:rPr/>
        <w:t xml:space="preserve">sitta upp i </w:t>
      </w:r>
      <w:r w:rsidR="1E8CBBA7">
        <w:rPr/>
        <w:t>undersöknings</w:t>
      </w:r>
      <w:r w:rsidR="5749A963">
        <w:rPr/>
        <w:t>stol</w:t>
      </w:r>
      <w:r w:rsidR="5AF1C6B8">
        <w:rPr/>
        <w:t xml:space="preserve"> under testet</w:t>
      </w:r>
      <w:r w:rsidR="23965220">
        <w:rPr/>
        <w:t>.</w:t>
      </w:r>
      <w:r w:rsidR="5749A963">
        <w:rPr/>
        <w:t xml:space="preserve"> </w:t>
      </w:r>
    </w:p>
    <w:p w:rsidRPr="00FC21BE" w:rsidR="00FC21BE" w:rsidP="2E28F9EE" w:rsidRDefault="00FC21BE" w14:paraId="67ADD4B7" w14:textId="6ED7F3C0">
      <w:pPr>
        <w:pStyle w:val="Normal"/>
        <w:rPr>
          <w:rFonts w:ascii="Arial" w:hAnsi="Arial" w:cs="Arial"/>
          <w:sz w:val="20"/>
          <w:szCs w:val="20"/>
        </w:rPr>
      </w:pPr>
      <w:r w:rsidRPr="2E28F9EE" w:rsidR="00FC21BE">
        <w:rPr>
          <w:b w:val="1"/>
          <w:bCs w:val="1"/>
          <w:u w:val="single"/>
        </w:rPr>
        <w:t>Nystagmus:</w:t>
      </w:r>
      <w:r w:rsidR="00FC21BE">
        <w:rPr/>
        <w:t xml:space="preserve"> Man finner en horisontellt slående (med visst </w:t>
      </w:r>
      <w:r w:rsidR="00FC21BE">
        <w:rPr/>
        <w:t>rotatoriskt</w:t>
      </w:r>
      <w:r w:rsidR="00FC21BE">
        <w:rPr/>
        <w:t xml:space="preserve"> inslag) destruktionsnystagmus, grad I-III. </w:t>
      </w:r>
      <w:r w:rsidR="00FC21BE">
        <w:rPr/>
        <w:t>Nystagmusen</w:t>
      </w:r>
      <w:r w:rsidR="00FC21BE">
        <w:rPr/>
        <w:t xml:space="preserve"> definieras av den snabba fasens riktning. </w:t>
      </w:r>
      <w:r w:rsidR="00FC21BE">
        <w:rPr/>
        <w:t>Nystagmusen</w:t>
      </w:r>
      <w:r w:rsidR="00FC21BE">
        <w:rPr/>
        <w:t xml:space="preserve"> slår bort från det sjuka örat och ökar om man tittar i den snabba fasens riktning och minskar när man tittar åt det långsamma hållet. Kontrollera med blickriktning ca 30 grader åt båda hållen. </w:t>
      </w:r>
      <w:r w:rsidR="00FC21BE">
        <w:rPr/>
        <w:t>Nystagmusen</w:t>
      </w:r>
      <w:r w:rsidR="00FC21BE">
        <w:rPr/>
        <w:t xml:space="preserve"> byter aldrig håll, ökar i </w:t>
      </w:r>
      <w:r w:rsidR="00FC21BE">
        <w:rPr/>
        <w:t>Frenzelbrillor</w:t>
      </w:r>
      <w:r w:rsidR="00FC21BE">
        <w:rPr/>
        <w:t xml:space="preserve"> på grund av avsaknad av visuell </w:t>
      </w:r>
      <w:r w:rsidR="00FC21BE">
        <w:rPr/>
        <w:t>suppression</w:t>
      </w:r>
      <w:r w:rsidR="00FC21BE">
        <w:rPr/>
        <w:t xml:space="preserve"> och </w:t>
      </w:r>
      <w:r w:rsidR="00FC21BE">
        <w:rPr/>
        <w:t>minskar om patienten fixerar blicken</w:t>
      </w:r>
      <w:r w:rsidR="00FC21BE">
        <w:rPr/>
        <w:t xml:space="preserve">. </w:t>
      </w:r>
      <w:r w:rsidR="00FC21BE">
        <w:rPr/>
        <w:t>Nystagmusen</w:t>
      </w:r>
      <w:r w:rsidR="00FC21BE">
        <w:rPr/>
        <w:t xml:space="preserve"> ökar också genast efter huvudskakning (headshake</w:t>
      </w:r>
      <w:r w:rsidR="51830E89">
        <w:rPr/>
        <w:t>-</w:t>
      </w:r>
      <w:r w:rsidR="00FC21BE">
        <w:rPr/>
        <w:t xml:space="preserve">test), som också kan väcka en nystagmus i ett senare skede, även sedan </w:t>
      </w:r>
      <w:r w:rsidR="00FC21BE">
        <w:rPr/>
        <w:t>spontannystagmusen</w:t>
      </w:r>
      <w:r w:rsidR="00FC21BE">
        <w:rPr/>
        <w:t xml:space="preserve"> har upphört. </w:t>
      </w:r>
    </w:p>
    <w:p w:rsidRPr="00FC21BE" w:rsidR="00FC21BE" w:rsidP="2E28F9EE" w:rsidRDefault="00FC21BE" w14:paraId="0B32AA94" w14:textId="37630AB2">
      <w:pPr>
        <w:pStyle w:val="Normal"/>
        <w:keepNext w:val="1"/>
        <w:ind w:left="992"/>
        <w:rPr>
          <w:rFonts w:ascii="Arial" w:hAnsi="Arial" w:cs="Arial"/>
          <w:b w:val="1"/>
          <w:bCs w:val="1"/>
          <w:sz w:val="20"/>
          <w:szCs w:val="20"/>
        </w:rPr>
      </w:pPr>
      <w:r w:rsidRPr="2E28F9EE" w:rsidR="00FC21BE">
        <w:rPr>
          <w:b w:val="1"/>
          <w:bCs w:val="1"/>
          <w:u w:val="single"/>
          <w:lang w:val="en-US"/>
        </w:rPr>
        <w:t>Test of Skew:</w:t>
      </w:r>
      <w:r w:rsidRPr="2E28F9EE" w:rsidR="00FC21BE">
        <w:rPr>
          <w:lang w:val="en-US"/>
        </w:rPr>
        <w:t xml:space="preserve"> Kallas </w:t>
      </w:r>
      <w:r w:rsidRPr="2E28F9EE" w:rsidR="00FC21BE">
        <w:rPr>
          <w:lang w:val="en-US"/>
        </w:rPr>
        <w:t xml:space="preserve">också</w:t>
      </w:r>
      <w:r w:rsidRPr="2E28F9EE" w:rsidR="00FC21BE">
        <w:rPr>
          <w:lang w:val="en-US"/>
        </w:rPr>
        <w:t xml:space="preserve"> cross-cover test. </w:t>
      </w:r>
      <w:r w:rsidRPr="00FC21BE" w:rsidR="00FC21BE">
        <w:rPr/>
        <w:t>Patienten fixerar blicken på undersökarens näsa. Ett öga i taget täcks över. Hastigt byter man till att täcka över det andra ögat och samtidigt studerar man eventuell inställningsrörelse i det tidigare övertäckta ögat. Ingen inställningsrörelse= normal. Inställningsrörelse i vertikalled, talar för central genes.</w:t>
      </w:r>
    </w:p>
    <w:p w:rsidRPr="00FC21BE" w:rsidR="00FC21BE" w:rsidP="2E28F9EE" w:rsidRDefault="00FC21BE" w14:paraId="0D1C7327" w14:textId="7D925E68">
      <w:pPr>
        <w:pStyle w:val="Normal"/>
        <w:keepNext w:val="1"/>
        <w:ind w:left="992"/>
        <w:rPr>
          <w:rFonts w:ascii="Arial" w:hAnsi="Arial" w:cs="Arial"/>
          <w:b w:val="1"/>
          <w:bCs w:val="1"/>
          <w:sz w:val="20"/>
          <w:szCs w:val="20"/>
        </w:rPr>
      </w:pPr>
      <w:r w:rsidRPr="2E28F9EE" w:rsidR="00FC21BE">
        <w:rPr>
          <w:b w:val="1"/>
          <w:bCs w:val="1"/>
        </w:rPr>
        <w:t>Ett positivt impulstest, en horisontellt slående destruktionsnystagmus och ett normalt cross-</w:t>
      </w:r>
      <w:r w:rsidRPr="2E28F9EE" w:rsidR="00FC21BE">
        <w:rPr>
          <w:b w:val="1"/>
          <w:bCs w:val="1"/>
        </w:rPr>
        <w:t>cover test</w:t>
      </w:r>
      <w:r w:rsidRPr="2E28F9EE" w:rsidR="00FC21BE">
        <w:rPr>
          <w:b w:val="1"/>
          <w:bCs w:val="1"/>
        </w:rPr>
        <w:t xml:space="preserve"> utan andra neurologiska manifestationer tolkas som en </w:t>
      </w:r>
      <w:r w:rsidRPr="2E28F9EE" w:rsidR="00FC21BE">
        <w:rPr>
          <w:b w:val="1"/>
          <w:bCs w:val="1"/>
        </w:rPr>
        <w:t>vestibularisneurit</w:t>
      </w:r>
      <w:r w:rsidRPr="2E28F9EE" w:rsidR="00FC21BE">
        <w:rPr>
          <w:b w:val="1"/>
          <w:bCs w:val="1"/>
        </w:rPr>
        <w:t>.</w:t>
      </w:r>
    </w:p>
    <w:p w:rsidRPr="00FC21BE" w:rsidR="00FC21BE" w:rsidP="2E28F9EE" w:rsidRDefault="00FC21BE" w14:paraId="177A4469" w14:textId="77777777">
      <w:pPr>
        <w:pStyle w:val="MellanrubrikVGR"/>
        <w:rPr>
          <w:rFonts w:ascii="Arial" w:hAnsi="Arial" w:cs="Arial"/>
          <w:b w:val="1"/>
          <w:bCs w:val="1"/>
          <w:u w:val="single"/>
        </w:rPr>
      </w:pPr>
      <w:r w:rsidR="00FC21BE">
        <w:rPr/>
        <w:t>Differentialdiagnoser:</w:t>
      </w:r>
    </w:p>
    <w:p w:rsidRPr="00FC21BE" w:rsidR="00FC21BE" w:rsidP="2E28F9EE" w:rsidRDefault="00FC21BE" w14:paraId="489F2E2F" w14:textId="77777777">
      <w:pPr>
        <w:pStyle w:val="Normal"/>
        <w:rPr>
          <w:rFonts w:ascii="Arial" w:hAnsi="Arial" w:cs="Arial"/>
          <w:sz w:val="20"/>
          <w:szCs w:val="20"/>
        </w:rPr>
      </w:pPr>
      <w:r w:rsidRPr="2E28F9EE" w:rsidR="00FC21BE">
        <w:rPr>
          <w:b w:val="1"/>
          <w:bCs w:val="1"/>
          <w:u w:val="single"/>
        </w:rPr>
        <w:t>Central genes:</w:t>
      </w:r>
      <w:r w:rsidRPr="2E28F9EE" w:rsidR="00FC21BE">
        <w:rPr>
          <w:b w:val="1"/>
          <w:bCs w:val="1"/>
        </w:rPr>
        <w:t xml:space="preserve"> </w:t>
      </w:r>
      <w:r w:rsidR="00FC21BE">
        <w:rPr/>
        <w:t xml:space="preserve">Den viktigaste differentialdiagnosen och tillstånden kan ibland vara mycket svåra att skilja åt. De centrala orsaker som oftast kan likna </w:t>
      </w:r>
      <w:r w:rsidR="00FC21BE">
        <w:rPr/>
        <w:t>vestibularisneurit</w:t>
      </w:r>
      <w:r w:rsidR="00FC21BE">
        <w:rPr/>
        <w:t xml:space="preserve"> är </w:t>
      </w:r>
      <w:r w:rsidR="00FC21BE">
        <w:rPr/>
        <w:t>lillhjärnsinfarkt</w:t>
      </w:r>
      <w:r w:rsidR="00FC21BE">
        <w:rPr/>
        <w:t xml:space="preserve"> och hjärnstamsinfarkt. CT i tidigt skede kan hitta blödning men inte infarkt, men har en låg sensitivitet för att diagnosticera förändringar i hjärnstammen. Insjuknande i kombination med annan samtidig neurologi talar naturligtvis för central genes. Normalt impulstest eller inställningsrörelse i vertikalled vid cross-</w:t>
      </w:r>
      <w:r w:rsidR="00FC21BE">
        <w:rPr/>
        <w:t>cover test</w:t>
      </w:r>
      <w:r w:rsidR="00FC21BE">
        <w:rPr/>
        <w:t xml:space="preserve"> talar också för central orsak. I ovanliga fall kan även ett positivt impulstest vara centralt orsakat.</w:t>
      </w:r>
    </w:p>
    <w:p w:rsidRPr="00FC21BE" w:rsidR="00FC21BE" w:rsidP="2E28F9EE" w:rsidRDefault="00FC21BE" w14:paraId="1DBBAA33" w14:textId="77777777">
      <w:pPr>
        <w:pStyle w:val="Normal"/>
        <w:rPr>
          <w:rFonts w:ascii="Arial" w:hAnsi="Arial" w:cs="Arial"/>
          <w:sz w:val="20"/>
          <w:szCs w:val="20"/>
        </w:rPr>
      </w:pPr>
      <w:r w:rsidR="00FC21BE">
        <w:rPr/>
        <w:t xml:space="preserve">Nystagmus förekommer även vid central genes och kan yttra sig på en rad olika sätt. </w:t>
      </w:r>
    </w:p>
    <w:p w:rsidRPr="00FC21BE" w:rsidR="00FC21BE" w:rsidP="2E28F9EE" w:rsidRDefault="00FC21BE" w14:paraId="437D3A4C" w14:textId="77777777">
      <w:pPr>
        <w:pStyle w:val="Normal"/>
        <w:rPr>
          <w:rFonts w:ascii="Arial" w:hAnsi="Arial" w:cs="Arial"/>
          <w:sz w:val="20"/>
          <w:szCs w:val="20"/>
        </w:rPr>
      </w:pPr>
      <w:r w:rsidR="00FC21BE">
        <w:rPr/>
        <w:t>Några exempel på nystagmus som talar för central genes:</w:t>
      </w:r>
    </w:p>
    <w:p w:rsidRPr="00FC21BE" w:rsidR="00FC21BE" w:rsidP="2E28F9EE" w:rsidRDefault="00FC21BE" w14:paraId="3632524C" w14:textId="77777777">
      <w:pPr>
        <w:pStyle w:val="ListParagraph"/>
        <w:numPr>
          <w:ilvl w:val="1"/>
          <w:numId w:val="22"/>
        </w:numPr>
        <w:rPr>
          <w:rFonts w:ascii="Arial" w:hAnsi="Arial" w:cs="Arial"/>
          <w:sz w:val="24"/>
          <w:szCs w:val="24"/>
        </w:rPr>
      </w:pPr>
      <w:r w:rsidR="00FC21BE">
        <w:rPr/>
        <w:t xml:space="preserve">Blickriktningsnystagmus, dvs </w:t>
      </w:r>
      <w:r w:rsidR="00FC21BE">
        <w:rPr/>
        <w:t>nystagmusen</w:t>
      </w:r>
      <w:r w:rsidR="00FC21BE">
        <w:rPr/>
        <w:t xml:space="preserve"> byter håll vid blickriktning åt olika håll (</w:t>
      </w:r>
      <w:r w:rsidR="00FC21BE">
        <w:rPr/>
        <w:t>hö,vä</w:t>
      </w:r>
      <w:r w:rsidR="00FC21BE">
        <w:rPr/>
        <w:t>). Måste skiljas från fysiologisk ändlägesnystagmus.</w:t>
      </w:r>
    </w:p>
    <w:p w:rsidRPr="00FC21BE" w:rsidR="00FC21BE" w:rsidP="2E28F9EE" w:rsidRDefault="00FC21BE" w14:paraId="438BFB89" w14:textId="77777777">
      <w:pPr>
        <w:pStyle w:val="ListParagraph"/>
        <w:numPr>
          <w:ilvl w:val="1"/>
          <w:numId w:val="22"/>
        </w:numPr>
        <w:rPr>
          <w:rFonts w:ascii="Arial" w:hAnsi="Arial" w:cs="Arial"/>
          <w:sz w:val="24"/>
          <w:szCs w:val="24"/>
        </w:rPr>
      </w:pPr>
      <w:r w:rsidR="00FC21BE">
        <w:rPr/>
        <w:t>Nystagmusen</w:t>
      </w:r>
      <w:r w:rsidR="00FC21BE">
        <w:rPr/>
        <w:t xml:space="preserve"> minskar inte vid fixering och ökar inte i </w:t>
      </w:r>
      <w:r w:rsidR="00FC21BE">
        <w:rPr/>
        <w:t>Frenzelbrillor</w:t>
      </w:r>
      <w:r w:rsidR="00FC21BE">
        <w:rPr/>
        <w:t>.</w:t>
      </w:r>
    </w:p>
    <w:p w:rsidRPr="00FC21BE" w:rsidR="00FC21BE" w:rsidP="2E28F9EE" w:rsidRDefault="00FC21BE" w14:paraId="6C3D8D02" w14:textId="77777777">
      <w:pPr>
        <w:pStyle w:val="ListParagraph"/>
        <w:numPr>
          <w:ilvl w:val="1"/>
          <w:numId w:val="22"/>
        </w:numPr>
        <w:rPr>
          <w:rFonts w:ascii="Arial" w:hAnsi="Arial" w:cs="Arial"/>
          <w:sz w:val="24"/>
          <w:szCs w:val="24"/>
        </w:rPr>
      </w:pPr>
      <w:r w:rsidR="00FC21BE">
        <w:rPr/>
        <w:t>Vertikalt slående nystagmus.</w:t>
      </w:r>
    </w:p>
    <w:p w:rsidRPr="00FC21BE" w:rsidR="00FC21BE" w:rsidP="2E28F9EE" w:rsidRDefault="00FC21BE" w14:paraId="1057888E" w14:textId="77777777">
      <w:pPr>
        <w:pStyle w:val="ListParagraph"/>
        <w:numPr>
          <w:ilvl w:val="1"/>
          <w:numId w:val="22"/>
        </w:numPr>
        <w:rPr>
          <w:rFonts w:ascii="Arial" w:hAnsi="Arial" w:cs="Arial"/>
          <w:sz w:val="24"/>
          <w:szCs w:val="24"/>
        </w:rPr>
      </w:pPr>
      <w:r w:rsidR="00FC21BE">
        <w:rPr/>
        <w:t>Horisontell nystagmus i sittande och vertikalt slående i liggande.</w:t>
      </w:r>
    </w:p>
    <w:p w:rsidRPr="00FC21BE" w:rsidR="00FC21BE" w:rsidP="2E28F9EE" w:rsidRDefault="00FC21BE" w14:paraId="6EA5A4A7" w14:textId="32402778">
      <w:pPr>
        <w:pStyle w:val="ListParagraph"/>
        <w:numPr>
          <w:ilvl w:val="1"/>
          <w:numId w:val="22"/>
        </w:numPr>
        <w:rPr>
          <w:rFonts w:ascii="Arial" w:hAnsi="Arial" w:cs="Arial"/>
          <w:sz w:val="24"/>
          <w:szCs w:val="24"/>
        </w:rPr>
      </w:pPr>
      <w:r w:rsidR="00FC21BE">
        <w:rPr/>
        <w:t>Side</w:t>
      </w:r>
      <w:r w:rsidR="00FC21BE">
        <w:rPr/>
        <w:t>-</w:t>
      </w:r>
      <w:r w:rsidR="00FC21BE">
        <w:rPr/>
        <w:t>pocket nystagmus</w:t>
      </w:r>
      <w:r w:rsidR="00FC21BE">
        <w:rPr/>
        <w:t xml:space="preserve"> (snett nedåtslående nystagmus).</w:t>
      </w:r>
    </w:p>
    <w:p w:rsidRPr="00FC21BE" w:rsidR="00FC21BE" w:rsidP="2E28F9EE" w:rsidRDefault="00FC21BE" w14:paraId="22017A66" w14:textId="3F166EE4">
      <w:pPr>
        <w:pStyle w:val="Normal"/>
        <w:rPr>
          <w:rFonts w:ascii="Arial" w:hAnsi="Arial" w:cs="Arial"/>
        </w:rPr>
      </w:pPr>
      <w:r w:rsidR="00FC21BE">
        <w:rPr/>
        <w:t xml:space="preserve">Andra differentialdiagnoser till </w:t>
      </w:r>
      <w:r w:rsidR="00FC21BE">
        <w:rPr/>
        <w:t>vestibularisneurit</w:t>
      </w:r>
      <w:r w:rsidR="00FC21BE">
        <w:rPr/>
        <w:t xml:space="preserve"> är t ex; </w:t>
      </w:r>
      <w:r w:rsidR="00FC21BE">
        <w:rPr/>
        <w:t>M</w:t>
      </w:r>
      <w:r w:rsidR="5A91A170">
        <w:rPr/>
        <w:t>é</w:t>
      </w:r>
      <w:r w:rsidR="00FC21BE">
        <w:rPr/>
        <w:t>ni</w:t>
      </w:r>
      <w:r w:rsidR="391B7EC8">
        <w:rPr/>
        <w:t>è</w:t>
      </w:r>
      <w:r w:rsidR="00FC21BE">
        <w:rPr/>
        <w:t>re,</w:t>
      </w:r>
      <w:r w:rsidR="00FC21BE">
        <w:rPr/>
        <w:t xml:space="preserve"> BPPV, migränyrsel, </w:t>
      </w:r>
      <w:r w:rsidR="00FC21BE">
        <w:rPr/>
        <w:t>akustikusneurinom</w:t>
      </w:r>
      <w:r w:rsidR="00FC21BE">
        <w:rPr/>
        <w:t xml:space="preserve">, </w:t>
      </w:r>
      <w:r w:rsidR="00FC21BE">
        <w:rPr/>
        <w:t>labyrintit</w:t>
      </w:r>
      <w:r w:rsidR="00FC21BE">
        <w:rPr/>
        <w:t xml:space="preserve">, och </w:t>
      </w:r>
      <w:r w:rsidR="00FC21BE">
        <w:rPr/>
        <w:t>laesio</w:t>
      </w:r>
      <w:r w:rsidR="00FC21BE">
        <w:rPr/>
        <w:t xml:space="preserve"> </w:t>
      </w:r>
      <w:r w:rsidR="00FC21BE">
        <w:rPr/>
        <w:t>auris</w:t>
      </w:r>
      <w:r w:rsidR="00FC21BE">
        <w:rPr/>
        <w:t xml:space="preserve"> interna.</w:t>
      </w:r>
    </w:p>
    <w:p w:rsidRPr="00FC21BE" w:rsidR="00FC21BE" w:rsidP="2E28F9EE" w:rsidRDefault="00FC21BE" w14:paraId="2DC16EAD" w14:textId="77777777">
      <w:pPr>
        <w:pStyle w:val="Heading4"/>
        <w:rPr>
          <w:rFonts w:ascii="Arial" w:hAnsi="Arial" w:cs="Arial"/>
          <w:b w:val="1"/>
          <w:bCs w:val="1"/>
          <w:u w:val="single"/>
        </w:rPr>
      </w:pPr>
      <w:r w:rsidR="00FC21BE">
        <w:rPr/>
        <w:t>Behandling:</w:t>
      </w:r>
    </w:p>
    <w:p w:rsidRPr="00FC21BE" w:rsidR="00FC21BE" w:rsidP="2E28F9EE" w:rsidRDefault="00FC21BE" w14:paraId="70BFB198" w14:textId="77777777">
      <w:pPr>
        <w:pStyle w:val="Normal"/>
        <w:rPr>
          <w:rFonts w:ascii="Arial" w:hAnsi="Arial" w:cs="Arial"/>
          <w:sz w:val="20"/>
          <w:szCs w:val="20"/>
        </w:rPr>
      </w:pPr>
      <w:r w:rsidRPr="2E28F9EE" w:rsidR="00FC21BE">
        <w:rPr>
          <w:b w:val="1"/>
          <w:bCs w:val="1"/>
          <w:u w:val="single"/>
        </w:rPr>
        <w:t>Antiemetika</w:t>
      </w:r>
      <w:r w:rsidRPr="2E28F9EE" w:rsidR="00FC21BE">
        <w:rPr>
          <w:b w:val="1"/>
          <w:bCs w:val="1"/>
          <w:u w:val="single"/>
        </w:rPr>
        <w:t>:</w:t>
      </w:r>
      <w:r w:rsidR="00FC21BE">
        <w:rPr/>
        <w:t xml:space="preserve"> Kan ges i den akuta fasen men fördröjer den centrala kompensationen, ex </w:t>
      </w:r>
      <w:r w:rsidR="00FC21BE">
        <w:rPr/>
        <w:t>Inj</w:t>
      </w:r>
      <w:r w:rsidR="00FC21BE">
        <w:rPr/>
        <w:t xml:space="preserve">. </w:t>
      </w:r>
      <w:r w:rsidR="00FC21BE">
        <w:rPr/>
        <w:t>Primperan</w:t>
      </w:r>
      <w:r w:rsidR="00FC21BE">
        <w:rPr/>
        <w:t xml:space="preserve"> 10 mg eller S. </w:t>
      </w:r>
      <w:r w:rsidR="00FC21BE">
        <w:rPr/>
        <w:t>Proklorperazin</w:t>
      </w:r>
      <w:r w:rsidR="00FC21BE">
        <w:rPr/>
        <w:t xml:space="preserve"> 25 mg.</w:t>
      </w:r>
    </w:p>
    <w:p w:rsidRPr="00FC21BE" w:rsidR="00FC21BE" w:rsidP="2E28F9EE" w:rsidRDefault="00FC21BE" w14:paraId="050D10C1" w14:textId="77777777">
      <w:pPr>
        <w:pStyle w:val="Normal"/>
        <w:rPr>
          <w:rFonts w:ascii="Arial" w:hAnsi="Arial" w:cs="Arial"/>
          <w:sz w:val="20"/>
          <w:szCs w:val="20"/>
        </w:rPr>
      </w:pPr>
      <w:r w:rsidRPr="2E28F9EE" w:rsidR="00FC21BE">
        <w:rPr>
          <w:b w:val="1"/>
          <w:bCs w:val="1"/>
          <w:u w:val="single"/>
        </w:rPr>
        <w:t>Kortison:</w:t>
      </w:r>
      <w:r w:rsidR="00FC21BE">
        <w:rPr/>
        <w:t xml:space="preserve"> Studier visar att kortison insatt inom 48 h ger en snabbare och bättre utläkning av </w:t>
      </w:r>
      <w:r w:rsidR="00FC21BE">
        <w:rPr/>
        <w:t>vestibularisnerven</w:t>
      </w:r>
      <w:r w:rsidR="00FC21BE">
        <w:rPr/>
        <w:t xml:space="preserve">. </w:t>
      </w:r>
    </w:p>
    <w:p w:rsidRPr="00FC21BE" w:rsidR="00FC21BE" w:rsidP="2E28F9EE" w:rsidRDefault="00FC21BE" w14:paraId="61486B64" w14:textId="77777777">
      <w:pPr>
        <w:pStyle w:val="Normal"/>
        <w:rPr>
          <w:rFonts w:ascii="Arial" w:hAnsi="Arial" w:cs="Arial"/>
          <w:sz w:val="20"/>
          <w:szCs w:val="20"/>
        </w:rPr>
      </w:pPr>
      <w:r w:rsidR="00FC21BE">
        <w:rPr/>
        <w:t xml:space="preserve">Doseringsförslag: T. </w:t>
      </w:r>
      <w:r w:rsidR="00FC21BE">
        <w:rPr/>
        <w:t>Prednisolon</w:t>
      </w:r>
      <w:r w:rsidR="00FC21BE">
        <w:rPr/>
        <w:t xml:space="preserve"> 60 mg x1 i fem dagar, därefter nedtrappning med tio mg per dag. Behandlingstid tio dagar. Vid kräkningar kan första dosen ges iv, </w:t>
      </w:r>
      <w:r w:rsidR="00FC21BE">
        <w:rPr/>
        <w:t>inj</w:t>
      </w:r>
      <w:r w:rsidR="00FC21BE">
        <w:rPr/>
        <w:t xml:space="preserve">. </w:t>
      </w:r>
      <w:r w:rsidR="00FC21BE">
        <w:rPr/>
        <w:t>Betapred</w:t>
      </w:r>
      <w:r w:rsidR="00FC21BE">
        <w:rPr/>
        <w:t xml:space="preserve"> 8 mg. För relativa kontraindikationer, </w:t>
      </w:r>
      <w:r w:rsidR="00FC21BE">
        <w:rPr/>
        <w:t>vg</w:t>
      </w:r>
      <w:r w:rsidR="00FC21BE">
        <w:rPr/>
        <w:t xml:space="preserve"> se FASS</w:t>
      </w:r>
    </w:p>
    <w:p w:rsidRPr="00FC21BE" w:rsidR="00FC21BE" w:rsidP="2E28F9EE" w:rsidRDefault="00FC21BE" w14:paraId="47587B8E" w14:textId="6D52B716">
      <w:pPr>
        <w:pStyle w:val="Normal"/>
        <w:rPr>
          <w:rFonts w:ascii="Arial" w:hAnsi="Arial" w:cs="Arial"/>
          <w:sz w:val="20"/>
          <w:szCs w:val="20"/>
        </w:rPr>
      </w:pPr>
      <w:r w:rsidRPr="2E28F9EE" w:rsidR="00FC21BE">
        <w:rPr>
          <w:b w:val="1"/>
          <w:bCs w:val="1"/>
          <w:u w:val="single"/>
        </w:rPr>
        <w:t>Vestibulär</w:t>
      </w:r>
      <w:r w:rsidRPr="2E28F9EE" w:rsidR="00FC21BE">
        <w:rPr>
          <w:b w:val="1"/>
          <w:bCs w:val="1"/>
          <w:u w:val="single"/>
        </w:rPr>
        <w:t xml:space="preserve"> rehabilitering:</w:t>
      </w:r>
      <w:r w:rsidR="00FC21BE">
        <w:rPr/>
        <w:t xml:space="preserve"> Alla patienter förbättras långsamt spontant, </w:t>
      </w:r>
      <w:r w:rsidR="00FC21BE">
        <w:rPr/>
        <w:t>pga</w:t>
      </w:r>
      <w:r w:rsidR="00FC21BE">
        <w:rPr/>
        <w:t xml:space="preserve"> central kompensation. Yngre patienter kompenserar snabbare. Ordentlig rehabilitering är av största vikt för att minimera restbesvär på sikt. Patienten skall uppmuntras till mobilisering till yrselgräns så fort som möjligt. Patienten förses med träningsprogram (Balansträning av Carsten </w:t>
      </w:r>
      <w:r w:rsidR="00FC21BE">
        <w:rPr/>
        <w:t>Tjell</w:t>
      </w:r>
      <w:r w:rsidR="00FC21BE">
        <w:rPr/>
        <w:t xml:space="preserve">) som finns på ÖNH-mott, öronavdelningen samt längst ner i riktlinjen om akut debuterad yrsel. Eventuellt kan patienten remitteras till intresserad sjukgymnast för </w:t>
      </w:r>
      <w:r w:rsidR="00FC21BE">
        <w:rPr/>
        <w:t>vestibulär</w:t>
      </w:r>
      <w:r w:rsidR="00FC21BE">
        <w:rPr/>
        <w:t xml:space="preserve"> rehabilitering.</w:t>
      </w:r>
    </w:p>
    <w:p w:rsidRPr="00FC21BE" w:rsidR="00FC21BE" w:rsidP="2E28F9EE" w:rsidRDefault="00FC21BE" w14:paraId="2888D632" w14:textId="77777777">
      <w:pPr>
        <w:pStyle w:val="MellanrubrikVGR"/>
        <w:rPr>
          <w:rFonts w:ascii="Arial" w:hAnsi="Arial" w:cs="Arial"/>
          <w:b w:val="1"/>
          <w:bCs w:val="1"/>
          <w:u w:val="single"/>
        </w:rPr>
      </w:pPr>
      <w:r w:rsidR="00FC21BE">
        <w:rPr/>
        <w:t>Uppföljning:</w:t>
      </w:r>
    </w:p>
    <w:p w:rsidRPr="00FC21BE" w:rsidR="00FC21BE" w:rsidP="2E28F9EE" w:rsidRDefault="00FC21BE" w14:paraId="248E0D50" w14:textId="77777777">
      <w:pPr>
        <w:pStyle w:val="Normal"/>
        <w:rPr>
          <w:rFonts w:ascii="Arial" w:hAnsi="Arial" w:cs="Arial"/>
          <w:sz w:val="20"/>
          <w:szCs w:val="20"/>
        </w:rPr>
      </w:pPr>
      <w:r w:rsidR="00FC21BE">
        <w:rPr/>
        <w:t xml:space="preserve">Hos ca 50% av patienterna läker nerven ut fullständigt. Tidig kortisonbehandling ger ökad utläkning och bra </w:t>
      </w:r>
      <w:r w:rsidR="00FC21BE">
        <w:rPr/>
        <w:t>vestibulär</w:t>
      </w:r>
      <w:r w:rsidR="00FC21BE">
        <w:rPr/>
        <w:t xml:space="preserve"> rehabilitering ger mindre restsymtom. Eventuella restbesvär kännetecknas ofta av en ostadighetsyrsel som märks framförallt vid snabba huvudvridningar. Det är vanligt med en oro som extra pålagring på yrselbesvären.</w:t>
      </w:r>
    </w:p>
    <w:p w:rsidRPr="00FC21BE" w:rsidR="00FC21BE" w:rsidP="2E28F9EE" w:rsidRDefault="00FC21BE" w14:paraId="7AEFF594" w14:textId="29348A40">
      <w:pPr>
        <w:pStyle w:val="Normal"/>
        <w:rPr>
          <w:rFonts w:ascii="Arial" w:hAnsi="Arial" w:cs="Arial"/>
          <w:sz w:val="20"/>
          <w:szCs w:val="20"/>
        </w:rPr>
      </w:pPr>
      <w:r w:rsidR="00FC21BE">
        <w:rPr/>
        <w:t>Klara okomplicerade fall kräver ingen ytterligare uppföljning eller utredning.</w:t>
      </w:r>
    </w:p>
    <w:p w:rsidRPr="00FC21BE" w:rsidR="00FC21BE" w:rsidP="2E28F9EE" w:rsidRDefault="00FC21BE" w14:paraId="62AD28AC" w14:textId="77777777">
      <w:pPr>
        <w:pStyle w:val="Heading2"/>
        <w:keepNext w:val="1"/>
        <w:rPr>
          <w:rFonts w:ascii="Arial" w:hAnsi="Arial" w:cs="Arial"/>
          <w:b w:val="1"/>
          <w:bCs w:val="1"/>
        </w:rPr>
      </w:pPr>
      <w:r w:rsidR="00FC21BE">
        <w:rPr/>
        <w:t>Uppföljning, utvärdering och revision</w:t>
      </w:r>
    </w:p>
    <w:p w:rsidRPr="00FC21BE" w:rsidR="00FC21BE" w:rsidP="2E28F9EE" w:rsidRDefault="00FC21BE" w14:paraId="3FE4FF4D" w14:textId="274D8A1A">
      <w:pPr>
        <w:pStyle w:val="Normal"/>
        <w:rPr>
          <w:rFonts w:ascii="Arial" w:hAnsi="Arial" w:cs="Arial"/>
          <w:sz w:val="20"/>
          <w:szCs w:val="20"/>
        </w:rPr>
      </w:pPr>
      <w:r w:rsidR="00FC21BE">
        <w:rPr/>
        <w:t>Den läkare som utfärdat riktlinjen samt processchefen på ÖNH-kliniken är ansvariga för uppföljning och revidering av dokumentet.</w:t>
      </w:r>
    </w:p>
    <w:p w:rsidRPr="00FC21BE" w:rsidR="00FC21BE" w:rsidP="2E28F9EE" w:rsidRDefault="00FC21BE" w14:paraId="4F231460" w14:textId="77777777">
      <w:pPr>
        <w:pStyle w:val="Heading2"/>
        <w:keepNext w:val="1"/>
        <w:rPr>
          <w:rFonts w:ascii="Arial" w:hAnsi="Arial" w:cs="Arial"/>
          <w:b w:val="1"/>
          <w:bCs w:val="1"/>
        </w:rPr>
      </w:pPr>
      <w:r w:rsidR="00FC21BE">
        <w:rPr/>
        <w:t>Käll- och litteraturförteckning</w:t>
      </w:r>
    </w:p>
    <w:bookmarkEnd w:id="0"/>
    <w:p w:rsidRPr="00536A5A" w:rsidR="00536A5A" w:rsidP="2E28F9EE" w:rsidRDefault="00536A5A" w14:paraId="76B9F95B" w14:textId="17C759AE">
      <w:pPr>
        <w:pStyle w:val="Normal"/>
        <w:rPr>
          <w:rFonts w:ascii="Arial" w:hAnsi="Arial" w:cs="Arial"/>
          <w:sz w:val="20"/>
          <w:szCs w:val="20"/>
          <w:lang w:val="en-US"/>
        </w:rPr>
      </w:pPr>
      <w:r w:rsidR="00FC21BE">
        <w:rPr/>
        <w:t>Kattah</w:t>
      </w:r>
      <w:r w:rsidR="00FC21BE">
        <w:rPr/>
        <w:t xml:space="preserve"> JC, Talkad AV, Wang DZ, </w:t>
      </w:r>
      <w:r w:rsidR="00FC21BE">
        <w:rPr/>
        <w:t>Hsieh</w:t>
      </w:r>
      <w:r w:rsidR="00FC21BE">
        <w:rPr/>
        <w:t xml:space="preserve"> YH, Newman-Toker DE. </w:t>
      </w:r>
      <w:r w:rsidRPr="2E28F9EE" w:rsidR="00FC21BE">
        <w:rPr>
          <w:u w:val="single"/>
          <w:lang w:val="en-US"/>
        </w:rPr>
        <w:t xml:space="preserve">HINTS to diagnose stroke in the acute vestibular syndrome: three-step bedside oculomotor examination more sensitive than early MRI diffusion-weighted </w:t>
      </w:r>
      <w:r w:rsidRPr="2E28F9EE" w:rsidR="00FC21BE">
        <w:rPr>
          <w:u w:val="single"/>
          <w:lang w:val="en-US"/>
        </w:rPr>
        <w:t>imaging.Stroke</w:t>
      </w:r>
      <w:r w:rsidRPr="2E28F9EE" w:rsidR="00FC21BE">
        <w:rPr>
          <w:u w:val="single"/>
          <w:lang w:val="en-US"/>
        </w:rPr>
        <w:t>.</w:t>
      </w:r>
      <w:r w:rsidRPr="2E28F9EE" w:rsidR="00FC21BE">
        <w:rPr>
          <w:lang w:val="en-US"/>
        </w:rPr>
        <w:t xml:space="preserve"> 2009 Nov;40(11):3504-10</w:t>
      </w:r>
    </w:p>
    <w:sectPr w:rsidRPr="00536A5A" w:rsidR="00536A5A" w:rsidSect="00FC21B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E0D188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24CE5BC">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0">
    <w:nsid w:val="12802e4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C607EBC"/>
    <w:multiLevelType w:val="multilevel"/>
    <w:tmpl w:val="7A9E6774"/>
    <w:lvl w:ilvl="0">
      <w:numFmt w:val="bullet"/>
      <w:lvlText w:val="-"/>
      <w:lvlJc w:val="left"/>
      <w:pPr>
        <w:tabs>
          <w:tab w:val="num" w:pos="360"/>
        </w:tabs>
        <w:ind w:left="360" w:hanging="360"/>
      </w:pPr>
      <w:rPr>
        <w:rFonts w:hint="default" w:ascii="Liberation Serif" w:hAnsi="Liberation Serif" w:cs="Liberation Seri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1B06B9C"/>
    <w:multiLevelType w:val="multilevel"/>
    <w:tmpl w:val="1A6889DA"/>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2">
    <w:abstractNumId w:val="20"/>
  </w:num>
  <w:num w:numId="1">
    <w:abstractNumId w:val="19"/>
  </w:num>
  <w:num w:numId="2">
    <w:abstractNumId w:val="16"/>
  </w:num>
  <w:num w:numId="3">
    <w:abstractNumId w:val="0"/>
  </w:num>
  <w:num w:numId="4">
    <w:abstractNumId w:val="7"/>
  </w:num>
  <w:num w:numId="5">
    <w:abstractNumId w:val="17"/>
  </w:num>
  <w:num w:numId="6">
    <w:abstractNumId w:val="2"/>
  </w:num>
  <w:num w:numId="7">
    <w:abstractNumId w:val="13"/>
  </w:num>
  <w:num w:numId="8">
    <w:abstractNumId w:val="10"/>
  </w:num>
  <w:num w:numId="9">
    <w:abstractNumId w:val="1"/>
  </w:num>
  <w:num w:numId="10">
    <w:abstractNumId w:val="1"/>
  </w:num>
  <w:num w:numId="11">
    <w:abstractNumId w:val="3"/>
  </w:num>
  <w:num w:numId="12">
    <w:abstractNumId w:val="5"/>
  </w:num>
  <w:num w:numId="13">
    <w:abstractNumId w:val="15"/>
  </w:num>
  <w:num w:numId="14">
    <w:abstractNumId w:val="11"/>
  </w:num>
  <w:num w:numId="15">
    <w:abstractNumId w:val="8"/>
  </w:num>
  <w:num w:numId="16">
    <w:abstractNumId w:val="14"/>
  </w:num>
  <w:num w:numId="17">
    <w:abstractNumId w:val="6"/>
  </w:num>
  <w:num w:numId="18">
    <w:abstractNumId w:val="12"/>
  </w:num>
  <w:num w:numId="19">
    <w:abstractNumId w:val="18"/>
  </w:num>
  <w:num w:numId="20">
    <w:abstractNumId w:val="9"/>
  </w:num>
  <w:num w:numId="21">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79CD"/>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21BE"/>
    <w:rsid w:val="00FD3C70"/>
    <w:rsid w:val="00FD6820"/>
    <w:rsid w:val="00FE12D8"/>
    <w:rsid w:val="00FF7C02"/>
    <w:rsid w:val="024801E3"/>
    <w:rsid w:val="02637E3C"/>
    <w:rsid w:val="041D821E"/>
    <w:rsid w:val="074E11E7"/>
    <w:rsid w:val="0ADF4241"/>
    <w:rsid w:val="14282BDF"/>
    <w:rsid w:val="1A7E4506"/>
    <w:rsid w:val="1C1A1567"/>
    <w:rsid w:val="1D1F1331"/>
    <w:rsid w:val="1DB5E5C8"/>
    <w:rsid w:val="1E319EA3"/>
    <w:rsid w:val="1E8CBBA7"/>
    <w:rsid w:val="23965220"/>
    <w:rsid w:val="2869B35E"/>
    <w:rsid w:val="2A3F65FA"/>
    <w:rsid w:val="2B88CC35"/>
    <w:rsid w:val="2C2A8093"/>
    <w:rsid w:val="2C3826B7"/>
    <w:rsid w:val="2DD3F718"/>
    <w:rsid w:val="2E28F9EE"/>
    <w:rsid w:val="2ED8F4E2"/>
    <w:rsid w:val="2EE270B3"/>
    <w:rsid w:val="3074C543"/>
    <w:rsid w:val="34903276"/>
    <w:rsid w:val="36AAE576"/>
    <w:rsid w:val="391B7EC8"/>
    <w:rsid w:val="4476B149"/>
    <w:rsid w:val="449D2465"/>
    <w:rsid w:val="477FC251"/>
    <w:rsid w:val="48CEC29F"/>
    <w:rsid w:val="49576D2B"/>
    <w:rsid w:val="4E2ADE4E"/>
    <w:rsid w:val="51830E89"/>
    <w:rsid w:val="51C9AB03"/>
    <w:rsid w:val="5749A963"/>
    <w:rsid w:val="58C73DE6"/>
    <w:rsid w:val="5A91A170"/>
    <w:rsid w:val="5AF1C6B8"/>
    <w:rsid w:val="621762F7"/>
    <w:rsid w:val="63B33358"/>
    <w:rsid w:val="647B2B65"/>
    <w:rsid w:val="65C8948E"/>
    <w:rsid w:val="6B2CF8ED"/>
    <w:rsid w:val="785D2E15"/>
    <w:rsid w:val="78E09044"/>
    <w:rsid w:val="79806F92"/>
    <w:rsid w:val="7F4FD1C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3416b55686ab4cb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2b816c35-2dc7-4dd3-ac7d-d49fdd930ed1}"/>
      </w:docPartPr>
      <w:docPartBody>
        <w:p xmlns:wp14="http://schemas.microsoft.com/office/word/2010/wordml" w14:paraId="003BA736"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Vestibularisneurit - diagnos och behandling</dc:title>
  <dc:subject/>
  <dc:creator>patrik.jens.johansson@vgregion.se</dc:creator>
  <keywords/>
  <lastModifiedBy>Martin Oscarsson</lastModifiedBy>
  <revision>4</revision>
  <lastPrinted>2016-03-31T10:56:00.0000000Z</lastPrinted>
  <dcterms:created xsi:type="dcterms:W3CDTF">2022-03-09T07:03:00.0000000Z</dcterms:created>
  <dcterms:modified xsi:type="dcterms:W3CDTF">2025-07-15T11:13:00.0000000Z</dcterms:modified>
</coreProperties>
</file>