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DF4B940" w:rsidR="00184167" w:rsidRDefault="00AD0768" w:rsidP="009A32ED">
      <w:pPr>
        <w:pStyle w:val="Rubrik1"/>
      </w:pPr>
      <w:bookmarkStart w:id="0" w:name="_Toc321146591"/>
      <w:r>
        <w:t>Uvea – osteoporosprofylax vid kortisonbehandling</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28B35FDB" w:rsidR="009A32ED" w:rsidRPr="007A334E" w:rsidRDefault="00FF018A" w:rsidP="009A32ED">
      <w:pPr>
        <w:ind w:right="-143"/>
      </w:pPr>
      <w:r>
        <w:t>Omfattande revidering.</w:t>
      </w:r>
    </w:p>
    <w:p w14:paraId="29B03EF5" w14:textId="77777777" w:rsidR="009A32ED" w:rsidRDefault="009A32ED" w:rsidP="009A32ED">
      <w:pPr>
        <w:pStyle w:val="Rubrik2"/>
        <w:ind w:right="-143"/>
      </w:pPr>
      <w:bookmarkStart w:id="3" w:name="_Toc100327186"/>
      <w:bookmarkStart w:id="4" w:name="_Toc106874289"/>
      <w:r>
        <w:t>Bakgrund och syfte</w:t>
      </w:r>
      <w:bookmarkEnd w:id="3"/>
      <w:bookmarkEnd w:id="4"/>
      <w:r>
        <w:t xml:space="preserve"> </w:t>
      </w:r>
    </w:p>
    <w:p w14:paraId="696C096E" w14:textId="18D8013F" w:rsidR="009A32ED" w:rsidRDefault="00AD0768" w:rsidP="009A32ED">
      <w:pPr>
        <w:ind w:right="-143"/>
      </w:pPr>
      <w:r>
        <w:t xml:space="preserve">Minska risk för osteoporos och frakturer vid kortisonbehandling genom att tidigt överväga skydd för skelettet. </w:t>
      </w:r>
    </w:p>
    <w:p w14:paraId="7153D0FB" w14:textId="1A3D91B1" w:rsidR="00DC7C37" w:rsidRPr="00C409AD" w:rsidRDefault="00DC7C37" w:rsidP="00DC7C37">
      <w:bookmarkStart w:id="5" w:name="_Toc100327187"/>
      <w:bookmarkStart w:id="6" w:name="_Toc106874290"/>
      <w:r>
        <w:t>Peroral behandling med kortison ökar risken för f</w:t>
      </w:r>
      <w:r w:rsidR="2802BF3C">
        <w:t>r</w:t>
      </w:r>
      <w:r>
        <w:t xml:space="preserve">aktur hos både kvinnor och män. Vid planerad behandling med 5 mg Prednisolonekvivalenter eller mer längre än 3 månader måste aktiv osteoporosbehandling och kalcium och D-vitamin övervägas. </w:t>
      </w:r>
      <w:r w:rsidR="002633CA">
        <w:t>Diagnosen osteoporos ställs genom bentäthetsmätning (DXA)</w:t>
      </w:r>
      <w:r w:rsidR="00396778">
        <w:t xml:space="preserve"> i höft och ländrygg. Behandlingsindikation avgörs dock inte av diagnosen osteoporos utan av patientens frakturrisk. </w:t>
      </w:r>
      <w:r>
        <w:t>Frakturrisken ökar omedelbart vid insättning</w:t>
      </w:r>
      <w:r w:rsidR="00596A24">
        <w:t xml:space="preserve"> av kortison</w:t>
      </w:r>
      <w:r>
        <w:t>. Vid förhöj</w:t>
      </w:r>
      <w:r w:rsidR="00313F13">
        <w:t>d</w:t>
      </w:r>
      <w:r>
        <w:t xml:space="preserve"> frakturrisk (FRAX&gt;10 %) bör därför behandling inledas omgående, </w:t>
      </w:r>
      <w:r w:rsidR="00737B1D">
        <w:t>utan att invänta</w:t>
      </w:r>
      <w:r>
        <w:t xml:space="preserve"> bentäthetsmätning.</w:t>
      </w:r>
      <w:r w:rsidR="00737B1D">
        <w:t xml:space="preserve"> Använd FRAX för att beräkna risk </w:t>
      </w:r>
      <w:r w:rsidR="00C057AB">
        <w:t xml:space="preserve">för framtida frakturer. </w:t>
      </w:r>
      <w:hyperlink r:id="rId12">
        <w:r w:rsidR="00D70EDC" w:rsidRPr="1EC3D2DD">
          <w:rPr>
            <w:rStyle w:val="Hyperlnk"/>
          </w:rPr>
          <w:t>frax.shef.ac.uk/FRAX/tool.aspx?lang=se</w:t>
        </w:r>
      </w:hyperlink>
    </w:p>
    <w:p w14:paraId="37C7076C" w14:textId="77777777" w:rsidR="009A32ED" w:rsidRPr="00065A6B" w:rsidRDefault="009A32ED" w:rsidP="009A32ED">
      <w:pPr>
        <w:pStyle w:val="Rubrik2"/>
        <w:ind w:right="-143"/>
        <w:rPr>
          <w:color w:val="auto"/>
        </w:rPr>
      </w:pPr>
      <w:bookmarkStart w:id="7" w:name="_Toc100327192"/>
      <w:bookmarkStart w:id="8" w:name="_Toc106874291"/>
      <w:bookmarkEnd w:id="5"/>
      <w:bookmarkEnd w:id="6"/>
      <w:r w:rsidRPr="00065A6B">
        <w:rPr>
          <w:color w:val="auto"/>
        </w:rPr>
        <w:t>Utförande</w:t>
      </w:r>
      <w:bookmarkEnd w:id="7"/>
      <w:bookmarkEnd w:id="8"/>
    </w:p>
    <w:p w14:paraId="55F2C9B3" w14:textId="6B66F42D" w:rsidR="009A32ED" w:rsidRDefault="001D70C0" w:rsidP="009A32ED">
      <w:pPr>
        <w:pStyle w:val="MellanrubrikVGR"/>
        <w:ind w:right="-143"/>
      </w:pPr>
      <w:r>
        <w:t>Behandling</w:t>
      </w:r>
    </w:p>
    <w:p w14:paraId="032C16A8" w14:textId="63B14127" w:rsidR="00ED388A" w:rsidRDefault="007D7FF6" w:rsidP="00FC0D57">
      <w:pPr>
        <w:pStyle w:val="Liststycke"/>
        <w:numPr>
          <w:ilvl w:val="0"/>
          <w:numId w:val="21"/>
        </w:numPr>
        <w:spacing w:after="160" w:line="259" w:lineRule="auto"/>
        <w:ind w:right="0"/>
      </w:pPr>
      <w:bookmarkStart w:id="9" w:name="_Toc100327193"/>
      <w:bookmarkStart w:id="10" w:name="_Toc106874292"/>
      <w:r w:rsidRPr="00FC0D57">
        <w:t>Kvinnor och m</w:t>
      </w:r>
      <w:r w:rsidR="00B251DC" w:rsidRPr="00FC0D57">
        <w:t xml:space="preserve">än </w:t>
      </w:r>
      <w:r w:rsidR="00B251DC" w:rsidRPr="00765AEB">
        <w:rPr>
          <w:b/>
          <w:bCs/>
        </w:rPr>
        <w:t xml:space="preserve">över </w:t>
      </w:r>
      <w:r w:rsidRPr="00765AEB">
        <w:rPr>
          <w:b/>
          <w:bCs/>
        </w:rPr>
        <w:t>40 år</w:t>
      </w:r>
      <w:r>
        <w:t xml:space="preserve"> med peroral kortisonbehandling bör få benspecifik behandling</w:t>
      </w:r>
      <w:r w:rsidR="00381C38">
        <w:t xml:space="preserve">. </w:t>
      </w:r>
    </w:p>
    <w:p w14:paraId="6862E678" w14:textId="04111A32" w:rsidR="00381C38" w:rsidRDefault="00381C38" w:rsidP="00FC0D57">
      <w:pPr>
        <w:pStyle w:val="Liststycke"/>
        <w:numPr>
          <w:ilvl w:val="1"/>
          <w:numId w:val="21"/>
        </w:numPr>
        <w:spacing w:after="160" w:line="259" w:lineRule="auto"/>
        <w:ind w:right="0"/>
      </w:pPr>
      <w:r>
        <w:t>Hög frakturrisk (stark indikation)</w:t>
      </w:r>
    </w:p>
    <w:p w14:paraId="2635D536" w14:textId="7CEF7005" w:rsidR="00381C38" w:rsidRDefault="00381C38" w:rsidP="00FC0D57">
      <w:pPr>
        <w:pStyle w:val="Liststycke"/>
        <w:numPr>
          <w:ilvl w:val="2"/>
          <w:numId w:val="21"/>
        </w:numPr>
        <w:spacing w:after="160" w:line="259" w:lineRule="auto"/>
        <w:ind w:right="0"/>
      </w:pPr>
      <w:r>
        <w:t xml:space="preserve">Tidigare osteoporosfraktur eller </w:t>
      </w:r>
    </w:p>
    <w:p w14:paraId="7A303718" w14:textId="68F6B10D" w:rsidR="006E5017" w:rsidRDefault="006E5017" w:rsidP="00FC0D57">
      <w:pPr>
        <w:pStyle w:val="Liststycke"/>
        <w:numPr>
          <w:ilvl w:val="2"/>
          <w:numId w:val="21"/>
        </w:numPr>
        <w:spacing w:after="160" w:line="259" w:lineRule="auto"/>
        <w:ind w:right="0"/>
      </w:pPr>
      <w:r>
        <w:t>FRAX &gt;</w:t>
      </w:r>
      <w:r w:rsidR="004E0DA0">
        <w:t>20 för osteoporosfraktur</w:t>
      </w:r>
      <w:r w:rsidR="002518FE">
        <w:t xml:space="preserve"> kortisonjusterad</w:t>
      </w:r>
      <w:r w:rsidR="004E0DA0">
        <w:t xml:space="preserve"> eller</w:t>
      </w:r>
    </w:p>
    <w:p w14:paraId="41D5662A" w14:textId="74A14BB5" w:rsidR="00C678D7" w:rsidRDefault="002518FE" w:rsidP="00B83528">
      <w:pPr>
        <w:pStyle w:val="Liststycke"/>
        <w:numPr>
          <w:ilvl w:val="2"/>
          <w:numId w:val="21"/>
        </w:numPr>
        <w:spacing w:after="160" w:line="259" w:lineRule="auto"/>
        <w:ind w:right="0"/>
      </w:pPr>
      <w:r>
        <w:t>Prednisolon &gt;</w:t>
      </w:r>
      <w:r w:rsidR="00C678D7">
        <w:t>30 mg</w:t>
      </w:r>
      <w:r w:rsidR="00E23E4E">
        <w:t xml:space="preserve"> (eller förväntad dos &gt; 7,5 mg under lång tid)</w:t>
      </w:r>
    </w:p>
    <w:p w14:paraId="5452783E" w14:textId="6CAD9C86" w:rsidR="00C87AA0" w:rsidRDefault="00572EAD" w:rsidP="00B83528">
      <w:pPr>
        <w:pStyle w:val="Liststycke"/>
        <w:numPr>
          <w:ilvl w:val="2"/>
          <w:numId w:val="21"/>
        </w:numPr>
        <w:spacing w:after="160" w:line="259" w:lineRule="auto"/>
        <w:ind w:right="0"/>
      </w:pPr>
      <w:r>
        <w:t>T-score i höft eller ländrygg under -2,5</w:t>
      </w:r>
    </w:p>
    <w:p w14:paraId="42505F2A" w14:textId="2F8ECCFC" w:rsidR="00C87AA0" w:rsidRDefault="00445B7D" w:rsidP="00CD7151">
      <w:pPr>
        <w:pStyle w:val="Liststycke"/>
        <w:numPr>
          <w:ilvl w:val="1"/>
          <w:numId w:val="21"/>
        </w:numPr>
        <w:spacing w:after="160" w:line="259" w:lineRule="auto"/>
        <w:ind w:right="0"/>
      </w:pPr>
      <w:r>
        <w:t>Måttlig frak</w:t>
      </w:r>
      <w:r w:rsidR="59495657">
        <w:t>t</w:t>
      </w:r>
      <w:r>
        <w:t>urrisk (relativ indikation)</w:t>
      </w:r>
    </w:p>
    <w:p w14:paraId="27C7C211" w14:textId="299E6B30" w:rsidR="00DE7B93" w:rsidRDefault="00DE7B93" w:rsidP="001D69B1">
      <w:pPr>
        <w:pStyle w:val="Liststycke"/>
        <w:numPr>
          <w:ilvl w:val="2"/>
          <w:numId w:val="21"/>
        </w:numPr>
        <w:spacing w:after="160" w:line="259" w:lineRule="auto"/>
        <w:ind w:right="0"/>
      </w:pPr>
      <w:r>
        <w:lastRenderedPageBreak/>
        <w:t xml:space="preserve">FRAX </w:t>
      </w:r>
      <w:r w:rsidR="0EE86539">
        <w:t xml:space="preserve">10–19,9 </w:t>
      </w:r>
      <w:r>
        <w:t>%</w:t>
      </w:r>
    </w:p>
    <w:p w14:paraId="3D747580" w14:textId="02224F64" w:rsidR="00B83528" w:rsidRPr="00B83528" w:rsidRDefault="00B251DC" w:rsidP="00B83528">
      <w:pPr>
        <w:pStyle w:val="Liststycke"/>
        <w:numPr>
          <w:ilvl w:val="0"/>
          <w:numId w:val="21"/>
        </w:numPr>
        <w:spacing w:after="160" w:line="259" w:lineRule="auto"/>
        <w:ind w:right="0"/>
      </w:pPr>
      <w:r w:rsidRPr="00B83528">
        <w:t xml:space="preserve">Kvinnor och män </w:t>
      </w:r>
      <w:r w:rsidRPr="00765AEB">
        <w:rPr>
          <w:b/>
          <w:bCs/>
        </w:rPr>
        <w:t>under 40 år</w:t>
      </w:r>
    </w:p>
    <w:p w14:paraId="5DB6DFFF" w14:textId="5CFE301C" w:rsidR="00B251DC" w:rsidRPr="006A406B" w:rsidRDefault="00B90B7C" w:rsidP="006A406B">
      <w:pPr>
        <w:pStyle w:val="Liststycke"/>
        <w:numPr>
          <w:ilvl w:val="1"/>
          <w:numId w:val="21"/>
        </w:numPr>
        <w:spacing w:after="160" w:line="259" w:lineRule="auto"/>
        <w:ind w:right="0"/>
      </w:pPr>
      <w:r>
        <w:t>Alltid kalcium 500 mg/</w:t>
      </w:r>
      <w:r w:rsidR="003D0978">
        <w:t>D-vitamin 400IE 1x2</w:t>
      </w:r>
    </w:p>
    <w:p w14:paraId="13EC6853" w14:textId="2A86A53E" w:rsidR="003D0978" w:rsidRDefault="003D0978" w:rsidP="006A406B">
      <w:pPr>
        <w:pStyle w:val="Liststycke"/>
        <w:numPr>
          <w:ilvl w:val="1"/>
          <w:numId w:val="21"/>
        </w:numPr>
        <w:spacing w:after="160" w:line="259" w:lineRule="auto"/>
        <w:ind w:right="0"/>
      </w:pPr>
      <w:r>
        <w:t xml:space="preserve">Rådfråga </w:t>
      </w:r>
      <w:r w:rsidR="00485A66">
        <w:t>osteoporosmottagning</w:t>
      </w:r>
      <w:r w:rsidR="00BA68C7">
        <w:t xml:space="preserve"> angående benspecifik behandling. </w:t>
      </w:r>
    </w:p>
    <w:p w14:paraId="1C3E8724" w14:textId="77777777" w:rsidR="00765AEB" w:rsidRDefault="00765AEB" w:rsidP="00765AEB">
      <w:pPr>
        <w:pStyle w:val="Liststycke"/>
        <w:spacing w:after="160" w:line="259" w:lineRule="auto"/>
        <w:ind w:left="2007" w:right="0"/>
      </w:pPr>
    </w:p>
    <w:p w14:paraId="09B641A6" w14:textId="30C3F036" w:rsidR="00ED388A" w:rsidRDefault="008E4242" w:rsidP="001D69B1">
      <w:pPr>
        <w:pStyle w:val="Liststycke"/>
        <w:numPr>
          <w:ilvl w:val="0"/>
          <w:numId w:val="21"/>
        </w:numPr>
        <w:spacing w:after="160" w:line="259" w:lineRule="auto"/>
        <w:ind w:right="0"/>
      </w:pPr>
      <w:r>
        <w:t xml:space="preserve">Nyinsättning av perorala bisfosfonater rekommenderas inte som förstahandsval på grund av </w:t>
      </w:r>
      <w:r w:rsidR="00F95284">
        <w:t xml:space="preserve">sämre effekt, följsamhet och biverkningsprofil. </w:t>
      </w:r>
      <w:r w:rsidR="003A769B">
        <w:t xml:space="preserve">I särskilda fall, t ex högdos </w:t>
      </w:r>
      <w:r w:rsidR="00697390">
        <w:t xml:space="preserve">kortison, kan perorala bisfosfonater övervägas om man inte har möjlighet att starta </w:t>
      </w:r>
      <w:r w:rsidR="04211576">
        <w:t>Z</w:t>
      </w:r>
      <w:r w:rsidR="0067582D">
        <w:t>oledronsyra samtidigt eller om planerad behandlingstid med kortison</w:t>
      </w:r>
      <w:r w:rsidR="00D55B0F">
        <w:t xml:space="preserve"> är mindre än 3 månader (t ex </w:t>
      </w:r>
      <w:r w:rsidR="0A68201C">
        <w:t>Zoledronsyra</w:t>
      </w:r>
      <w:r w:rsidR="00D55B0F">
        <w:t xml:space="preserve"> 70 mg</w:t>
      </w:r>
      <w:r w:rsidR="006A25A6">
        <w:t>,</w:t>
      </w:r>
      <w:r w:rsidR="00D55B0F">
        <w:t xml:space="preserve"> 1 ta</w:t>
      </w:r>
      <w:r w:rsidR="0009131B">
        <w:t>blett/vecka</w:t>
      </w:r>
      <w:r w:rsidR="00D55B0F">
        <w:t>)</w:t>
      </w:r>
      <w:r w:rsidR="006A25A6">
        <w:t>.</w:t>
      </w:r>
    </w:p>
    <w:p w14:paraId="12416A2F" w14:textId="6497F871" w:rsidR="00F72A53" w:rsidRDefault="001D70C0" w:rsidP="00A83ADB">
      <w:pPr>
        <w:pStyle w:val="Liststycke"/>
        <w:numPr>
          <w:ilvl w:val="0"/>
          <w:numId w:val="21"/>
        </w:numPr>
        <w:spacing w:after="160" w:line="259" w:lineRule="auto"/>
        <w:ind w:right="0"/>
      </w:pPr>
      <w:r w:rsidRPr="00C409AD">
        <w:t>Kalcium</w:t>
      </w:r>
      <w:r>
        <w:t>-</w:t>
      </w:r>
      <w:r w:rsidRPr="00C409AD">
        <w:t xml:space="preserve"> och D</w:t>
      </w:r>
      <w:r>
        <w:t>-</w:t>
      </w:r>
      <w:r w:rsidRPr="00C409AD">
        <w:t xml:space="preserve">vitamintillskott rekommenderas som tillägg till aktiv behandling med osteoporosläkemedel. Vid </w:t>
      </w:r>
      <w:r w:rsidR="0091278F">
        <w:t>kortisonbehandling</w:t>
      </w:r>
      <w:r w:rsidRPr="00C409AD">
        <w:t xml:space="preserve"> ges 500</w:t>
      </w:r>
      <w:r>
        <w:t xml:space="preserve"> </w:t>
      </w:r>
      <w:r w:rsidRPr="00C409AD">
        <w:t xml:space="preserve">mg kalcium </w:t>
      </w:r>
      <w:r w:rsidR="00157CC0">
        <w:t>2 gånger per dag</w:t>
      </w:r>
      <w:r w:rsidR="001037A0">
        <w:t xml:space="preserve"> och dagligt tillskott med 800IE D-vitamin (t ex Cal</w:t>
      </w:r>
      <w:r w:rsidR="00EE55C4">
        <w:t>cichew-D3 tuggtablett 500 mg/400IE 1x2)</w:t>
      </w:r>
      <w:r w:rsidR="007F7CD6">
        <w:t>.</w:t>
      </w:r>
    </w:p>
    <w:p w14:paraId="504B1471" w14:textId="77777777" w:rsidR="001D70C0" w:rsidRPr="00C409AD" w:rsidRDefault="001D70C0" w:rsidP="001D70C0">
      <w:pPr>
        <w:pStyle w:val="Liststycke"/>
        <w:numPr>
          <w:ilvl w:val="0"/>
          <w:numId w:val="21"/>
        </w:numPr>
        <w:spacing w:after="160" w:line="259" w:lineRule="auto"/>
        <w:ind w:right="0"/>
      </w:pPr>
      <w:r w:rsidRPr="00C409AD">
        <w:t>Kalcium och D-vitamin är en otillräcklig frakturförebyggande behandling mot osteoporos och rekommenderas därför ej som monoterapi.</w:t>
      </w:r>
    </w:p>
    <w:p w14:paraId="77FA0A06" w14:textId="473BE07C" w:rsidR="00AC347F" w:rsidRDefault="001D70C0" w:rsidP="001D69B1">
      <w:pPr>
        <w:pStyle w:val="Liststycke"/>
        <w:numPr>
          <w:ilvl w:val="0"/>
          <w:numId w:val="21"/>
        </w:numPr>
        <w:spacing w:after="160" w:line="259" w:lineRule="auto"/>
        <w:ind w:right="0"/>
      </w:pPr>
      <w:r>
        <w:t xml:space="preserve">Vid insättning av osteoporosprofylax om kortisonbehandling förmodas pågå i minst 3 månader så </w:t>
      </w:r>
      <w:r w:rsidR="00D21892">
        <w:t>skrivs</w:t>
      </w:r>
      <w:r>
        <w:t xml:space="preserve"> remiss till </w:t>
      </w:r>
      <w:r w:rsidR="00AC347F">
        <w:t>OAS (osteoporos</w:t>
      </w:r>
      <w:r w:rsidR="00AB36BA">
        <w:t>ansvarig sköterska på vårdcentralen) för</w:t>
      </w:r>
      <w:r w:rsidR="3BD0E838">
        <w:t xml:space="preserve"> fortsatt läkemedelsadministrering med PAL-ansvar på ögonmottagningen så länge det är vi som ansvarar för kortisondoseringen. Obligatoriska remissuppgifter enligt </w:t>
      </w:r>
      <w:r w:rsidR="1CE98064">
        <w:t>c</w:t>
      </w:r>
      <w:r w:rsidR="3BD0E838">
        <w:t xml:space="preserve">hecklistan som finns </w:t>
      </w:r>
      <w:r w:rsidR="3AD188FA">
        <w:t>på</w:t>
      </w:r>
      <w:r w:rsidR="3BD0E838">
        <w:t xml:space="preserve"> </w:t>
      </w:r>
      <w:hyperlink r:id="rId13">
        <w:r w:rsidR="32BE27E8" w:rsidRPr="5F2B8DD1">
          <w:rPr>
            <w:rStyle w:val="Hyperlnk"/>
            <w:color w:val="0000EE"/>
          </w:rPr>
          <w:t>https://vgregion.sharepoint.com/sites/sy-skas-osteoporosvardkedjan-skaraborg</w:t>
        </w:r>
      </w:hyperlink>
    </w:p>
    <w:p w14:paraId="4105D486" w14:textId="0362CFB9" w:rsidR="00AC347F" w:rsidRDefault="4F295EB9" w:rsidP="00B22D6A">
      <w:pPr>
        <w:pStyle w:val="Liststycke"/>
        <w:numPr>
          <w:ilvl w:val="0"/>
          <w:numId w:val="21"/>
        </w:numPr>
        <w:spacing w:after="160" w:line="259" w:lineRule="auto"/>
        <w:ind w:right="0"/>
      </w:pPr>
      <w:r>
        <w:t>Zoledronsyra</w:t>
      </w:r>
      <w:r w:rsidR="17143DE8">
        <w:t xml:space="preserve"> </w:t>
      </w:r>
      <w:r w:rsidR="00C262BB">
        <w:t xml:space="preserve">i första hand, förutsätter GFR </w:t>
      </w:r>
      <w:r w:rsidR="002A39F2">
        <w:t>&gt;35 ml/min.</w:t>
      </w:r>
      <w:r w:rsidR="00E30FD8">
        <w:t xml:space="preserve"> </w:t>
      </w:r>
      <w:r w:rsidR="002A39F2">
        <w:t>Prolia (denosumab</w:t>
      </w:r>
      <w:r w:rsidR="00CC1220">
        <w:t>)</w:t>
      </w:r>
      <w:r w:rsidR="1089B7BB">
        <w:t xml:space="preserve"> vid njursvikt och till äldre sköra. F</w:t>
      </w:r>
      <w:r w:rsidR="009273AB">
        <w:t>örsiktig</w:t>
      </w:r>
      <w:r w:rsidR="124217F0">
        <w:t>h</w:t>
      </w:r>
      <w:r w:rsidR="009273AB">
        <w:t>et vid grav njursvikt, risk för hypokalcemi</w:t>
      </w:r>
      <w:r w:rsidR="79689214">
        <w:t xml:space="preserve"> (se checklistan)</w:t>
      </w:r>
      <w:r w:rsidR="2994A355">
        <w:t>.</w:t>
      </w:r>
    </w:p>
    <w:p w14:paraId="51227AA2" w14:textId="3CF6FEAB" w:rsidR="009273AB" w:rsidRDefault="00783F20" w:rsidP="00783F20">
      <w:pPr>
        <w:pStyle w:val="MellanrubrikVGR"/>
        <w:ind w:right="-143"/>
        <w:rPr>
          <w:color w:val="auto"/>
        </w:rPr>
      </w:pPr>
      <w:r w:rsidRPr="3B3388F5">
        <w:rPr>
          <w:color w:val="auto"/>
        </w:rPr>
        <w:t>Biverkningar</w:t>
      </w:r>
    </w:p>
    <w:bookmarkEnd w:id="9"/>
    <w:bookmarkEnd w:id="10"/>
    <w:p w14:paraId="58D7CA5A" w14:textId="343CDCEB" w:rsidR="1CDF0EBB" w:rsidRDefault="1CDF0EBB" w:rsidP="00036812">
      <w:pPr>
        <w:ind w:right="282"/>
      </w:pPr>
      <w:r w:rsidRPr="00760501">
        <w:t>Patienter under behandling med antiresorptiva läkemedel på osteoporosindikation löper generellt ingen ökad risk att, i samband med invasiva ingrepp, utveckla osteonekros i käken. Planerad tandvård är ingen kontraindikation mot insättning av bisfosfonat/denosumab. Endast vid tidigare läkningskomplikation efter extraktion konsulteras specialisttandvård.</w:t>
      </w:r>
    </w:p>
    <w:p w14:paraId="65FC4E9E" w14:textId="4656334C" w:rsidR="009A32ED" w:rsidRPr="0027673C" w:rsidRDefault="00AD22C4" w:rsidP="009A32ED">
      <w:pPr>
        <w:pStyle w:val="MellanrubrikVGR"/>
        <w:ind w:right="-143"/>
        <w:rPr>
          <w:color w:val="auto"/>
        </w:rPr>
      </w:pPr>
      <w:r>
        <w:rPr>
          <w:color w:val="auto"/>
        </w:rPr>
        <w:t>Kontraindikation</w:t>
      </w:r>
    </w:p>
    <w:p w14:paraId="20867155" w14:textId="5A5B05BB" w:rsidR="00B03687" w:rsidRPr="00C409AD" w:rsidRDefault="00B03687" w:rsidP="00E30FD8">
      <w:pPr>
        <w:pStyle w:val="Liststycke"/>
        <w:numPr>
          <w:ilvl w:val="0"/>
          <w:numId w:val="21"/>
        </w:numPr>
        <w:spacing w:after="160" w:line="259" w:lineRule="auto"/>
        <w:ind w:right="0"/>
      </w:pPr>
      <w:bookmarkStart w:id="11" w:name="_Toc106874293"/>
      <w:r>
        <w:t>Graviditet: aktiv läkemedelsbehandling mot osteoporos är kontraindicerad under graviditet.</w:t>
      </w:r>
    </w:p>
    <w:p w14:paraId="496FA89A" w14:textId="3FC4B12F" w:rsidR="14932AB2" w:rsidRDefault="14932AB2" w:rsidP="00E30FD8">
      <w:pPr>
        <w:pStyle w:val="Liststycke"/>
        <w:numPr>
          <w:ilvl w:val="0"/>
          <w:numId w:val="21"/>
        </w:numPr>
        <w:spacing w:after="160" w:line="259" w:lineRule="auto"/>
        <w:ind w:right="0"/>
      </w:pPr>
      <w:r>
        <w:t>Obehandlad hypokalcemi/D-vitaminbrist.</w:t>
      </w:r>
    </w:p>
    <w:p w14:paraId="1313C8D3" w14:textId="0F4E9CAB" w:rsidR="14932AB2" w:rsidRDefault="14932AB2" w:rsidP="00E30FD8">
      <w:pPr>
        <w:pStyle w:val="Liststycke"/>
        <w:numPr>
          <w:ilvl w:val="0"/>
          <w:numId w:val="21"/>
        </w:numPr>
        <w:spacing w:after="160" w:line="259" w:lineRule="auto"/>
        <w:ind w:right="0"/>
      </w:pPr>
      <w:r>
        <w:t>Sväljningssvårigheter för peroral behandling.</w:t>
      </w:r>
    </w:p>
    <w:p w14:paraId="511F64BE" w14:textId="01B8ECFD" w:rsidR="14932AB2" w:rsidRDefault="14932AB2" w:rsidP="00E30FD8">
      <w:pPr>
        <w:pStyle w:val="Liststycke"/>
        <w:numPr>
          <w:ilvl w:val="0"/>
          <w:numId w:val="21"/>
        </w:numPr>
        <w:spacing w:after="160" w:line="259" w:lineRule="auto"/>
        <w:ind w:right="0"/>
      </w:pPr>
      <w:r>
        <w:t>GFR &lt;35 för Zoledronsyra.</w:t>
      </w:r>
    </w:p>
    <w:p w14:paraId="4C60772A" w14:textId="5A1E9726" w:rsidR="0079533C" w:rsidRDefault="0079533C">
      <w:pPr>
        <w:spacing w:after="0" w:line="240" w:lineRule="auto"/>
        <w:ind w:left="0" w:right="0"/>
      </w:pPr>
      <w:r>
        <w:br w:type="page"/>
      </w:r>
    </w:p>
    <w:p w14:paraId="24FA1C05" w14:textId="370C7FB4" w:rsidR="002227E5" w:rsidRDefault="00AE2A3B" w:rsidP="002227E5">
      <w:pPr>
        <w:pStyle w:val="MellanrubrikVGR"/>
      </w:pPr>
      <w:r>
        <w:lastRenderedPageBreak/>
        <w:t xml:space="preserve">Provtagning </w:t>
      </w:r>
    </w:p>
    <w:p w14:paraId="502B73B4" w14:textId="1ED71FD8" w:rsidR="002227E5" w:rsidRDefault="002F73D0" w:rsidP="002227E5">
      <w:r w:rsidRPr="002227E5">
        <w:t>Osteoporosprofylaxkit i Melior</w:t>
      </w:r>
      <w:r w:rsidR="002227E5">
        <w:t>:</w:t>
      </w:r>
    </w:p>
    <w:p w14:paraId="2172211F" w14:textId="0F088362" w:rsidR="002227E5" w:rsidRDefault="00061DA3" w:rsidP="0037335E">
      <w:pPr>
        <w:pStyle w:val="Liststycke"/>
        <w:numPr>
          <w:ilvl w:val="0"/>
          <w:numId w:val="23"/>
        </w:numPr>
        <w:spacing w:after="160" w:line="259" w:lineRule="auto"/>
        <w:ind w:right="0"/>
      </w:pPr>
      <w:r>
        <w:t>P-kreatinin</w:t>
      </w:r>
    </w:p>
    <w:p w14:paraId="5A3FAA3C" w14:textId="169240E5" w:rsidR="00061DA3" w:rsidRDefault="00061DA3" w:rsidP="0037335E">
      <w:pPr>
        <w:pStyle w:val="Liststycke"/>
        <w:numPr>
          <w:ilvl w:val="0"/>
          <w:numId w:val="23"/>
        </w:numPr>
        <w:spacing w:after="160" w:line="259" w:lineRule="auto"/>
        <w:ind w:right="0"/>
      </w:pPr>
      <w:r>
        <w:t>Pt-eGFRrel</w:t>
      </w:r>
    </w:p>
    <w:p w14:paraId="67600BDF" w14:textId="765CD8C1" w:rsidR="00061DA3" w:rsidRDefault="00061DA3" w:rsidP="0037335E">
      <w:pPr>
        <w:pStyle w:val="Liststycke"/>
        <w:numPr>
          <w:ilvl w:val="0"/>
          <w:numId w:val="23"/>
        </w:numPr>
        <w:spacing w:after="160" w:line="259" w:lineRule="auto"/>
        <w:ind w:right="0"/>
      </w:pPr>
      <w:r>
        <w:t>S-Calciumjon</w:t>
      </w:r>
    </w:p>
    <w:p w14:paraId="53EA527C" w14:textId="0E1F0C86" w:rsidR="00061DA3" w:rsidRDefault="00061DA3" w:rsidP="0037335E">
      <w:pPr>
        <w:pStyle w:val="Liststycke"/>
        <w:numPr>
          <w:ilvl w:val="0"/>
          <w:numId w:val="23"/>
        </w:numPr>
        <w:spacing w:after="160" w:line="259" w:lineRule="auto"/>
        <w:ind w:right="0"/>
      </w:pPr>
      <w:r>
        <w:t>S-</w:t>
      </w:r>
      <w:r w:rsidR="00C71858">
        <w:t>25-hydroxiVitaminD</w:t>
      </w:r>
    </w:p>
    <w:p w14:paraId="055A540C" w14:textId="4484A316" w:rsidR="00C71858" w:rsidRPr="002227E5" w:rsidRDefault="00C71858" w:rsidP="00D83D03">
      <w:pPr>
        <w:pStyle w:val="Liststycke"/>
        <w:numPr>
          <w:ilvl w:val="0"/>
          <w:numId w:val="23"/>
        </w:numPr>
        <w:spacing w:after="160" w:line="259" w:lineRule="auto"/>
        <w:ind w:right="0"/>
      </w:pPr>
      <w:r>
        <w:t>S-Paratyrin (PTH)</w:t>
      </w:r>
    </w:p>
    <w:p w14:paraId="5E8D8F72" w14:textId="1192BB12" w:rsidR="00BC262A" w:rsidRDefault="00BC262A" w:rsidP="00BC262A">
      <w:pPr>
        <w:pStyle w:val="MellanrubrikVGR"/>
      </w:pPr>
      <w:r>
        <w:t>Kontrollprover vid kortisonbehandling</w:t>
      </w:r>
    </w:p>
    <w:p w14:paraId="6CD188EC" w14:textId="77777777" w:rsidR="00584E37" w:rsidRPr="00C408EF" w:rsidRDefault="00584E37" w:rsidP="00584E37">
      <w:pPr>
        <w:rPr>
          <w:rFonts w:cstheme="minorHAnsi"/>
          <w:color w:val="000000" w:themeColor="text1"/>
          <w:spacing w:val="2"/>
          <w:shd w:val="clear" w:color="auto" w:fill="FFFFFF"/>
        </w:rPr>
      </w:pPr>
      <w:r w:rsidRPr="00C408EF">
        <w:rPr>
          <w:rFonts w:cstheme="minorHAnsi"/>
          <w:color w:val="000000" w:themeColor="text1"/>
          <w:spacing w:val="2"/>
          <w:shd w:val="clear" w:color="auto" w:fill="FFFFFF"/>
        </w:rPr>
        <w:t>Patienter med eller utan känd diabetes och som får systemisk behandling med glukokortikoider bör följas aktivt med avseende på P-glukos.</w:t>
      </w:r>
    </w:p>
    <w:p w14:paraId="3D7EAAAA" w14:textId="77777777" w:rsidR="00584E37" w:rsidRPr="00C408EF" w:rsidRDefault="00584E37" w:rsidP="00584E37">
      <w:pPr>
        <w:rPr>
          <w:rFonts w:cstheme="minorHAnsi"/>
          <w:color w:val="000000" w:themeColor="text1"/>
          <w:spacing w:val="2"/>
          <w:shd w:val="clear" w:color="auto" w:fill="FFFFFF"/>
        </w:rPr>
      </w:pPr>
      <w:r w:rsidRPr="00C408EF">
        <w:rPr>
          <w:rFonts w:cstheme="minorHAnsi"/>
          <w:color w:val="000000" w:themeColor="text1"/>
          <w:spacing w:val="2"/>
          <w:shd w:val="clear" w:color="auto" w:fill="FFFFFF"/>
        </w:rPr>
        <w:t>Tas p-glukos vid insättning av kortison samt rekommenderas regelbunden provtagning under nedtrappningstiden.</w:t>
      </w:r>
    </w:p>
    <w:p w14:paraId="3F660902" w14:textId="0E3ADDA5" w:rsidR="00584E37" w:rsidRPr="00C408EF" w:rsidRDefault="00584E37" w:rsidP="00584E37">
      <w:pPr>
        <w:rPr>
          <w:rFonts w:cstheme="minorHAnsi"/>
          <w:color w:val="000000" w:themeColor="text1"/>
        </w:rPr>
      </w:pPr>
      <w:r w:rsidRPr="00C408EF">
        <w:rPr>
          <w:rFonts w:cstheme="minorHAnsi"/>
          <w:color w:val="000000" w:themeColor="text1"/>
          <w:spacing w:val="2"/>
          <w:shd w:val="clear" w:color="auto" w:fill="FFFFFF"/>
        </w:rPr>
        <w:t>Det vanligaste är peroralt </w:t>
      </w:r>
      <w:r w:rsidR="00CF6341">
        <w:rPr>
          <w:rFonts w:cstheme="minorHAnsi"/>
          <w:color w:val="000000" w:themeColor="text1"/>
        </w:rPr>
        <w:t>Prednisolon</w:t>
      </w:r>
      <w:r w:rsidR="00CF6341" w:rsidRPr="00C408EF">
        <w:rPr>
          <w:rFonts w:cstheme="minorHAnsi"/>
          <w:color w:val="000000" w:themeColor="text1"/>
          <w:spacing w:val="2"/>
          <w:shd w:val="clear" w:color="auto" w:fill="FFFFFF"/>
        </w:rPr>
        <w:t xml:space="preserve"> </w:t>
      </w:r>
      <w:r w:rsidRPr="00C408EF">
        <w:rPr>
          <w:rFonts w:cstheme="minorHAnsi"/>
          <w:color w:val="000000" w:themeColor="text1"/>
          <w:spacing w:val="2"/>
          <w:shd w:val="clear" w:color="auto" w:fill="FFFFFF"/>
        </w:rPr>
        <w:t>på morgonen och effekten av detta hos individer som utvecklar försämrad glukostolerans blir då mest märkbar på förmiddagen (4–8 timmar efter tillförsel) och kan pågå fram till kvällen. Under natten sker oftast en normalisering, vilket medför att fastenivåerna av P-glukos på morgonen vanligen är normala.</w:t>
      </w:r>
    </w:p>
    <w:bookmarkEnd w:id="11"/>
    <w:p w14:paraId="4D67A204" w14:textId="77777777" w:rsidR="00BC262A" w:rsidRPr="00C409AD" w:rsidRDefault="00BC262A" w:rsidP="00BC262A">
      <w:pPr>
        <w:spacing w:after="160" w:line="259" w:lineRule="auto"/>
        <w:ind w:right="0"/>
      </w:pPr>
    </w:p>
    <w:sectPr w:rsidR="00BC262A" w:rsidRPr="00C409AD"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46C33B" w14:textId="77777777" w:rsidR="00644A63" w:rsidRDefault="00644A63">
      <w:r>
        <w:separator/>
      </w:r>
    </w:p>
  </w:endnote>
  <w:endnote w:type="continuationSeparator" w:id="0">
    <w:p w14:paraId="0E9EAAE5" w14:textId="77777777" w:rsidR="00644A63" w:rsidRDefault="00644A63">
      <w:r>
        <w:continuationSeparator/>
      </w:r>
    </w:p>
  </w:endnote>
  <w:endnote w:type="continuationNotice" w:id="1">
    <w:p w14:paraId="6CD3BE2A" w14:textId="77777777" w:rsidR="00644A63" w:rsidRDefault="00644A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D0FB2" w14:textId="77777777" w:rsidR="00644A63" w:rsidRDefault="00644A63"/>
  </w:footnote>
  <w:footnote w:type="continuationSeparator" w:id="0">
    <w:p w14:paraId="60EAC1C2" w14:textId="77777777" w:rsidR="00644A63" w:rsidRDefault="00644A63">
      <w:r>
        <w:continuationSeparator/>
      </w:r>
    </w:p>
  </w:footnote>
  <w:footnote w:type="continuationNotice" w:id="1">
    <w:p w14:paraId="1BFEC505" w14:textId="77777777" w:rsidR="00644A63" w:rsidRDefault="00644A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CE1418"/>
    <w:multiLevelType w:val="hybridMultilevel"/>
    <w:tmpl w:val="3626D1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E140C34"/>
    <w:multiLevelType w:val="hybridMultilevel"/>
    <w:tmpl w:val="BE08D6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9BC01AE"/>
    <w:multiLevelType w:val="hybridMultilevel"/>
    <w:tmpl w:val="688084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3F51E24"/>
    <w:multiLevelType w:val="hybridMultilevel"/>
    <w:tmpl w:val="111C9C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54340635"/>
    <w:multiLevelType w:val="hybridMultilevel"/>
    <w:tmpl w:val="A7CCF09A"/>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A05422B"/>
    <w:multiLevelType w:val="hybridMultilevel"/>
    <w:tmpl w:val="47DC2FE8"/>
    <w:lvl w:ilvl="0" w:tplc="041D0001">
      <w:start w:val="1"/>
      <w:numFmt w:val="bullet"/>
      <w:lvlText w:val=""/>
      <w:lvlJc w:val="left"/>
      <w:pPr>
        <w:ind w:left="2020" w:hanging="360"/>
      </w:pPr>
      <w:rPr>
        <w:rFonts w:ascii="Symbol" w:hAnsi="Symbol" w:hint="default"/>
      </w:rPr>
    </w:lvl>
    <w:lvl w:ilvl="1" w:tplc="041D0003" w:tentative="1">
      <w:start w:val="1"/>
      <w:numFmt w:val="bullet"/>
      <w:lvlText w:val="o"/>
      <w:lvlJc w:val="left"/>
      <w:pPr>
        <w:ind w:left="2740" w:hanging="360"/>
      </w:pPr>
      <w:rPr>
        <w:rFonts w:ascii="Courier New" w:hAnsi="Courier New" w:cs="Courier New" w:hint="default"/>
      </w:rPr>
    </w:lvl>
    <w:lvl w:ilvl="2" w:tplc="041D0005" w:tentative="1">
      <w:start w:val="1"/>
      <w:numFmt w:val="bullet"/>
      <w:lvlText w:val=""/>
      <w:lvlJc w:val="left"/>
      <w:pPr>
        <w:ind w:left="3460" w:hanging="360"/>
      </w:pPr>
      <w:rPr>
        <w:rFonts w:ascii="Wingdings" w:hAnsi="Wingdings" w:hint="default"/>
      </w:rPr>
    </w:lvl>
    <w:lvl w:ilvl="3" w:tplc="041D0001" w:tentative="1">
      <w:start w:val="1"/>
      <w:numFmt w:val="bullet"/>
      <w:lvlText w:val=""/>
      <w:lvlJc w:val="left"/>
      <w:pPr>
        <w:ind w:left="4180" w:hanging="360"/>
      </w:pPr>
      <w:rPr>
        <w:rFonts w:ascii="Symbol" w:hAnsi="Symbol" w:hint="default"/>
      </w:rPr>
    </w:lvl>
    <w:lvl w:ilvl="4" w:tplc="041D0003" w:tentative="1">
      <w:start w:val="1"/>
      <w:numFmt w:val="bullet"/>
      <w:lvlText w:val="o"/>
      <w:lvlJc w:val="left"/>
      <w:pPr>
        <w:ind w:left="4900" w:hanging="360"/>
      </w:pPr>
      <w:rPr>
        <w:rFonts w:ascii="Courier New" w:hAnsi="Courier New" w:cs="Courier New" w:hint="default"/>
      </w:rPr>
    </w:lvl>
    <w:lvl w:ilvl="5" w:tplc="041D0005" w:tentative="1">
      <w:start w:val="1"/>
      <w:numFmt w:val="bullet"/>
      <w:lvlText w:val=""/>
      <w:lvlJc w:val="left"/>
      <w:pPr>
        <w:ind w:left="5620" w:hanging="360"/>
      </w:pPr>
      <w:rPr>
        <w:rFonts w:ascii="Wingdings" w:hAnsi="Wingdings" w:hint="default"/>
      </w:rPr>
    </w:lvl>
    <w:lvl w:ilvl="6" w:tplc="041D0001" w:tentative="1">
      <w:start w:val="1"/>
      <w:numFmt w:val="bullet"/>
      <w:lvlText w:val=""/>
      <w:lvlJc w:val="left"/>
      <w:pPr>
        <w:ind w:left="6340" w:hanging="360"/>
      </w:pPr>
      <w:rPr>
        <w:rFonts w:ascii="Symbol" w:hAnsi="Symbol" w:hint="default"/>
      </w:rPr>
    </w:lvl>
    <w:lvl w:ilvl="7" w:tplc="041D0003" w:tentative="1">
      <w:start w:val="1"/>
      <w:numFmt w:val="bullet"/>
      <w:lvlText w:val="o"/>
      <w:lvlJc w:val="left"/>
      <w:pPr>
        <w:ind w:left="7060" w:hanging="360"/>
      </w:pPr>
      <w:rPr>
        <w:rFonts w:ascii="Courier New" w:hAnsi="Courier New" w:cs="Courier New" w:hint="default"/>
      </w:rPr>
    </w:lvl>
    <w:lvl w:ilvl="8" w:tplc="041D0005" w:tentative="1">
      <w:start w:val="1"/>
      <w:numFmt w:val="bullet"/>
      <w:lvlText w:val=""/>
      <w:lvlJc w:val="left"/>
      <w:pPr>
        <w:ind w:left="77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5811CAE"/>
    <w:multiLevelType w:val="hybridMultilevel"/>
    <w:tmpl w:val="CB4A4DFA"/>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786E72AC"/>
    <w:multiLevelType w:val="hybridMultilevel"/>
    <w:tmpl w:val="5EB4AAC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57850184">
    <w:abstractNumId w:val="24"/>
  </w:num>
  <w:num w:numId="2" w16cid:durableId="1368605971">
    <w:abstractNumId w:val="18"/>
  </w:num>
  <w:num w:numId="3" w16cid:durableId="639845640">
    <w:abstractNumId w:val="0"/>
  </w:num>
  <w:num w:numId="4" w16cid:durableId="1762531503">
    <w:abstractNumId w:val="7"/>
  </w:num>
  <w:num w:numId="5" w16cid:durableId="83382532">
    <w:abstractNumId w:val="20"/>
  </w:num>
  <w:num w:numId="6" w16cid:durableId="1311791324">
    <w:abstractNumId w:val="2"/>
  </w:num>
  <w:num w:numId="7" w16cid:durableId="998577641">
    <w:abstractNumId w:val="13"/>
  </w:num>
  <w:num w:numId="8" w16cid:durableId="2022394667">
    <w:abstractNumId w:val="10"/>
  </w:num>
  <w:num w:numId="9" w16cid:durableId="782118538">
    <w:abstractNumId w:val="1"/>
  </w:num>
  <w:num w:numId="10" w16cid:durableId="5064313">
    <w:abstractNumId w:val="1"/>
  </w:num>
  <w:num w:numId="11" w16cid:durableId="1155954792">
    <w:abstractNumId w:val="3"/>
  </w:num>
  <w:num w:numId="12" w16cid:durableId="757793054">
    <w:abstractNumId w:val="4"/>
  </w:num>
  <w:num w:numId="13" w16cid:durableId="413747157">
    <w:abstractNumId w:val="17"/>
  </w:num>
  <w:num w:numId="14" w16cid:durableId="1043796240">
    <w:abstractNumId w:val="11"/>
  </w:num>
  <w:num w:numId="15" w16cid:durableId="1895460397">
    <w:abstractNumId w:val="8"/>
  </w:num>
  <w:num w:numId="16" w16cid:durableId="351297751">
    <w:abstractNumId w:val="15"/>
  </w:num>
  <w:num w:numId="17" w16cid:durableId="701855953">
    <w:abstractNumId w:val="5"/>
  </w:num>
  <w:num w:numId="18" w16cid:durableId="544174794">
    <w:abstractNumId w:val="12"/>
  </w:num>
  <w:num w:numId="19" w16cid:durableId="1508012926">
    <w:abstractNumId w:val="23"/>
  </w:num>
  <w:num w:numId="20" w16cid:durableId="956448388">
    <w:abstractNumId w:val="9"/>
  </w:num>
  <w:num w:numId="21" w16cid:durableId="238635739">
    <w:abstractNumId w:val="21"/>
  </w:num>
  <w:num w:numId="22" w16cid:durableId="421729820">
    <w:abstractNumId w:val="16"/>
  </w:num>
  <w:num w:numId="23" w16cid:durableId="1425423186">
    <w:abstractNumId w:val="22"/>
  </w:num>
  <w:num w:numId="24" w16cid:durableId="1832259007">
    <w:abstractNumId w:val="17"/>
  </w:num>
  <w:num w:numId="25" w16cid:durableId="1984969425">
    <w:abstractNumId w:val="17"/>
  </w:num>
  <w:num w:numId="26" w16cid:durableId="629437457">
    <w:abstractNumId w:val="17"/>
  </w:num>
  <w:num w:numId="27" w16cid:durableId="1045642312">
    <w:abstractNumId w:val="17"/>
  </w:num>
  <w:num w:numId="28" w16cid:durableId="53895992">
    <w:abstractNumId w:val="17"/>
  </w:num>
  <w:num w:numId="29" w16cid:durableId="1625311111">
    <w:abstractNumId w:val="17"/>
  </w:num>
  <w:num w:numId="30" w16cid:durableId="2040856581">
    <w:abstractNumId w:val="17"/>
  </w:num>
  <w:num w:numId="31" w16cid:durableId="1933391280">
    <w:abstractNumId w:val="19"/>
  </w:num>
  <w:num w:numId="32" w16cid:durableId="96946546">
    <w:abstractNumId w:val="17"/>
  </w:num>
  <w:num w:numId="33" w16cid:durableId="162549011">
    <w:abstractNumId w:val="6"/>
  </w:num>
  <w:num w:numId="34" w16cid:durableId="4682864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73C7"/>
    <w:rsid w:val="00030DDD"/>
    <w:rsid w:val="000313BB"/>
    <w:rsid w:val="00033ED5"/>
    <w:rsid w:val="00036812"/>
    <w:rsid w:val="00050500"/>
    <w:rsid w:val="0005691C"/>
    <w:rsid w:val="00056ECB"/>
    <w:rsid w:val="00056ED5"/>
    <w:rsid w:val="00061969"/>
    <w:rsid w:val="00061DA3"/>
    <w:rsid w:val="000655CC"/>
    <w:rsid w:val="000700AE"/>
    <w:rsid w:val="00084024"/>
    <w:rsid w:val="0009062C"/>
    <w:rsid w:val="0009131B"/>
    <w:rsid w:val="00095368"/>
    <w:rsid w:val="000954C4"/>
    <w:rsid w:val="000A611A"/>
    <w:rsid w:val="000B12D9"/>
    <w:rsid w:val="000B4536"/>
    <w:rsid w:val="000B7715"/>
    <w:rsid w:val="000C7AE5"/>
    <w:rsid w:val="000E463B"/>
    <w:rsid w:val="000E5A7E"/>
    <w:rsid w:val="000F43A3"/>
    <w:rsid w:val="000F7681"/>
    <w:rsid w:val="00103031"/>
    <w:rsid w:val="001037A0"/>
    <w:rsid w:val="001044FE"/>
    <w:rsid w:val="00104E21"/>
    <w:rsid w:val="001139D4"/>
    <w:rsid w:val="00131B08"/>
    <w:rsid w:val="00132A59"/>
    <w:rsid w:val="00133337"/>
    <w:rsid w:val="00133A0F"/>
    <w:rsid w:val="0013580F"/>
    <w:rsid w:val="00137B6D"/>
    <w:rsid w:val="0014070B"/>
    <w:rsid w:val="001422C1"/>
    <w:rsid w:val="001522AE"/>
    <w:rsid w:val="00157CC0"/>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69B1"/>
    <w:rsid w:val="001D70C0"/>
    <w:rsid w:val="001E3789"/>
    <w:rsid w:val="00211487"/>
    <w:rsid w:val="00211D91"/>
    <w:rsid w:val="00217DEC"/>
    <w:rsid w:val="002227E5"/>
    <w:rsid w:val="00235B57"/>
    <w:rsid w:val="00250F24"/>
    <w:rsid w:val="002518FE"/>
    <w:rsid w:val="002523C5"/>
    <w:rsid w:val="0025380B"/>
    <w:rsid w:val="0025703A"/>
    <w:rsid w:val="00262F3D"/>
    <w:rsid w:val="00263281"/>
    <w:rsid w:val="002633CA"/>
    <w:rsid w:val="002651D6"/>
    <w:rsid w:val="0026551F"/>
    <w:rsid w:val="00270FA8"/>
    <w:rsid w:val="00280A85"/>
    <w:rsid w:val="00284119"/>
    <w:rsid w:val="00290B5C"/>
    <w:rsid w:val="00294791"/>
    <w:rsid w:val="002A1C4F"/>
    <w:rsid w:val="002A39F2"/>
    <w:rsid w:val="002A7450"/>
    <w:rsid w:val="002B0B30"/>
    <w:rsid w:val="002B0C78"/>
    <w:rsid w:val="002C0C02"/>
    <w:rsid w:val="002C1277"/>
    <w:rsid w:val="002C60AD"/>
    <w:rsid w:val="002D0E0E"/>
    <w:rsid w:val="002D6023"/>
    <w:rsid w:val="002E263F"/>
    <w:rsid w:val="002E6F81"/>
    <w:rsid w:val="002F08BA"/>
    <w:rsid w:val="002F2CFF"/>
    <w:rsid w:val="002F568B"/>
    <w:rsid w:val="002F73D0"/>
    <w:rsid w:val="002F7818"/>
    <w:rsid w:val="003066D0"/>
    <w:rsid w:val="00311401"/>
    <w:rsid w:val="00313F13"/>
    <w:rsid w:val="00316CEA"/>
    <w:rsid w:val="003203D7"/>
    <w:rsid w:val="00320F86"/>
    <w:rsid w:val="0032361F"/>
    <w:rsid w:val="00324171"/>
    <w:rsid w:val="00326C24"/>
    <w:rsid w:val="00337F99"/>
    <w:rsid w:val="003410BD"/>
    <w:rsid w:val="0034307B"/>
    <w:rsid w:val="00345EB1"/>
    <w:rsid w:val="00350CC4"/>
    <w:rsid w:val="00360E0D"/>
    <w:rsid w:val="0036357D"/>
    <w:rsid w:val="0036594C"/>
    <w:rsid w:val="00367D19"/>
    <w:rsid w:val="00371BED"/>
    <w:rsid w:val="0037335E"/>
    <w:rsid w:val="00381C38"/>
    <w:rsid w:val="00384019"/>
    <w:rsid w:val="003854F1"/>
    <w:rsid w:val="0039118E"/>
    <w:rsid w:val="00396778"/>
    <w:rsid w:val="00397F54"/>
    <w:rsid w:val="003A0D43"/>
    <w:rsid w:val="003A59D9"/>
    <w:rsid w:val="003A769B"/>
    <w:rsid w:val="003B2A4B"/>
    <w:rsid w:val="003C1D27"/>
    <w:rsid w:val="003D0978"/>
    <w:rsid w:val="003D099E"/>
    <w:rsid w:val="003D21A2"/>
    <w:rsid w:val="003D29D2"/>
    <w:rsid w:val="003D6DF1"/>
    <w:rsid w:val="003E0705"/>
    <w:rsid w:val="003E2FF7"/>
    <w:rsid w:val="003F1013"/>
    <w:rsid w:val="003F1ACF"/>
    <w:rsid w:val="003F2346"/>
    <w:rsid w:val="00404948"/>
    <w:rsid w:val="00406BEA"/>
    <w:rsid w:val="00413A60"/>
    <w:rsid w:val="004164DC"/>
    <w:rsid w:val="004230F7"/>
    <w:rsid w:val="0043167E"/>
    <w:rsid w:val="0043409A"/>
    <w:rsid w:val="00445B7D"/>
    <w:rsid w:val="00446255"/>
    <w:rsid w:val="00451935"/>
    <w:rsid w:val="00460ED0"/>
    <w:rsid w:val="00465651"/>
    <w:rsid w:val="00470CE7"/>
    <w:rsid w:val="00470F4F"/>
    <w:rsid w:val="00472482"/>
    <w:rsid w:val="00480DC7"/>
    <w:rsid w:val="00482ECC"/>
    <w:rsid w:val="004848E5"/>
    <w:rsid w:val="00485A66"/>
    <w:rsid w:val="004876F6"/>
    <w:rsid w:val="0049236A"/>
    <w:rsid w:val="00492718"/>
    <w:rsid w:val="004A355D"/>
    <w:rsid w:val="004A4970"/>
    <w:rsid w:val="004B2183"/>
    <w:rsid w:val="004B2A01"/>
    <w:rsid w:val="004C3536"/>
    <w:rsid w:val="004D7BA3"/>
    <w:rsid w:val="004E0DA0"/>
    <w:rsid w:val="004E0F0A"/>
    <w:rsid w:val="004E5BC5"/>
    <w:rsid w:val="004F4518"/>
    <w:rsid w:val="004F4C62"/>
    <w:rsid w:val="00501433"/>
    <w:rsid w:val="00511CC4"/>
    <w:rsid w:val="00531E60"/>
    <w:rsid w:val="00536320"/>
    <w:rsid w:val="00541D07"/>
    <w:rsid w:val="00544BAB"/>
    <w:rsid w:val="00545F31"/>
    <w:rsid w:val="005578FA"/>
    <w:rsid w:val="00565129"/>
    <w:rsid w:val="00565CD0"/>
    <w:rsid w:val="00567820"/>
    <w:rsid w:val="00572EAD"/>
    <w:rsid w:val="005770AD"/>
    <w:rsid w:val="00581414"/>
    <w:rsid w:val="00582490"/>
    <w:rsid w:val="00584E37"/>
    <w:rsid w:val="005941A2"/>
    <w:rsid w:val="00596A24"/>
    <w:rsid w:val="00597E28"/>
    <w:rsid w:val="005A54ED"/>
    <w:rsid w:val="005A5D5B"/>
    <w:rsid w:val="005A6081"/>
    <w:rsid w:val="005A627D"/>
    <w:rsid w:val="005C0045"/>
    <w:rsid w:val="005C084E"/>
    <w:rsid w:val="005C4606"/>
    <w:rsid w:val="005C6350"/>
    <w:rsid w:val="005D0B0C"/>
    <w:rsid w:val="005E02B3"/>
    <w:rsid w:val="005E1E24"/>
    <w:rsid w:val="005F29C3"/>
    <w:rsid w:val="0060596B"/>
    <w:rsid w:val="00606D97"/>
    <w:rsid w:val="00614E64"/>
    <w:rsid w:val="00617710"/>
    <w:rsid w:val="00617EE6"/>
    <w:rsid w:val="0062184C"/>
    <w:rsid w:val="00623724"/>
    <w:rsid w:val="00627BEA"/>
    <w:rsid w:val="006319DB"/>
    <w:rsid w:val="00635663"/>
    <w:rsid w:val="00644A63"/>
    <w:rsid w:val="0065595B"/>
    <w:rsid w:val="00656DCD"/>
    <w:rsid w:val="00660269"/>
    <w:rsid w:val="00665333"/>
    <w:rsid w:val="00665F89"/>
    <w:rsid w:val="00673C92"/>
    <w:rsid w:val="006753EC"/>
    <w:rsid w:val="0067582D"/>
    <w:rsid w:val="00680CA6"/>
    <w:rsid w:val="00685193"/>
    <w:rsid w:val="00697390"/>
    <w:rsid w:val="006A25A6"/>
    <w:rsid w:val="006A2789"/>
    <w:rsid w:val="006A406B"/>
    <w:rsid w:val="006A4978"/>
    <w:rsid w:val="006A7261"/>
    <w:rsid w:val="006B0487"/>
    <w:rsid w:val="006B0D29"/>
    <w:rsid w:val="006B1819"/>
    <w:rsid w:val="006C5048"/>
    <w:rsid w:val="006C6A4B"/>
    <w:rsid w:val="006C779F"/>
    <w:rsid w:val="006D01F5"/>
    <w:rsid w:val="006D0CFB"/>
    <w:rsid w:val="006D30C0"/>
    <w:rsid w:val="006D7535"/>
    <w:rsid w:val="006E450B"/>
    <w:rsid w:val="006E5017"/>
    <w:rsid w:val="006F0D7E"/>
    <w:rsid w:val="00710B77"/>
    <w:rsid w:val="007155D5"/>
    <w:rsid w:val="0072075B"/>
    <w:rsid w:val="007221C2"/>
    <w:rsid w:val="00730955"/>
    <w:rsid w:val="00733A9C"/>
    <w:rsid w:val="00736574"/>
    <w:rsid w:val="007367E0"/>
    <w:rsid w:val="00737215"/>
    <w:rsid w:val="00737B1D"/>
    <w:rsid w:val="0074488D"/>
    <w:rsid w:val="00754905"/>
    <w:rsid w:val="00760038"/>
    <w:rsid w:val="00760501"/>
    <w:rsid w:val="00762EE0"/>
    <w:rsid w:val="00765AEB"/>
    <w:rsid w:val="00765C41"/>
    <w:rsid w:val="00771100"/>
    <w:rsid w:val="007759DD"/>
    <w:rsid w:val="00783F20"/>
    <w:rsid w:val="0078609F"/>
    <w:rsid w:val="007917BA"/>
    <w:rsid w:val="0079533C"/>
    <w:rsid w:val="007A334E"/>
    <w:rsid w:val="007A5C6F"/>
    <w:rsid w:val="007B6587"/>
    <w:rsid w:val="007D4241"/>
    <w:rsid w:val="007D4317"/>
    <w:rsid w:val="007D4EA3"/>
    <w:rsid w:val="007D7FF6"/>
    <w:rsid w:val="007F1CFF"/>
    <w:rsid w:val="007F5DD5"/>
    <w:rsid w:val="007F7CD6"/>
    <w:rsid w:val="008053B5"/>
    <w:rsid w:val="00821A1B"/>
    <w:rsid w:val="008262E9"/>
    <w:rsid w:val="00827E69"/>
    <w:rsid w:val="00835C4D"/>
    <w:rsid w:val="00843F48"/>
    <w:rsid w:val="00851423"/>
    <w:rsid w:val="008569C6"/>
    <w:rsid w:val="00857848"/>
    <w:rsid w:val="008654B6"/>
    <w:rsid w:val="0087139C"/>
    <w:rsid w:val="00873419"/>
    <w:rsid w:val="008737AA"/>
    <w:rsid w:val="00880E83"/>
    <w:rsid w:val="00883E18"/>
    <w:rsid w:val="00884666"/>
    <w:rsid w:val="00892F28"/>
    <w:rsid w:val="00893968"/>
    <w:rsid w:val="008A0C5F"/>
    <w:rsid w:val="008A3DEA"/>
    <w:rsid w:val="008A4EB9"/>
    <w:rsid w:val="008A74C0"/>
    <w:rsid w:val="008B1694"/>
    <w:rsid w:val="008C4B27"/>
    <w:rsid w:val="008C7F0C"/>
    <w:rsid w:val="008C7F2A"/>
    <w:rsid w:val="008D4B13"/>
    <w:rsid w:val="008E31AC"/>
    <w:rsid w:val="008E36F8"/>
    <w:rsid w:val="008E4242"/>
    <w:rsid w:val="008E46B2"/>
    <w:rsid w:val="008E682C"/>
    <w:rsid w:val="008E78A1"/>
    <w:rsid w:val="008F589F"/>
    <w:rsid w:val="00906238"/>
    <w:rsid w:val="00907EF9"/>
    <w:rsid w:val="00911231"/>
    <w:rsid w:val="0091278F"/>
    <w:rsid w:val="0091295C"/>
    <w:rsid w:val="00914D58"/>
    <w:rsid w:val="00921F47"/>
    <w:rsid w:val="009228AB"/>
    <w:rsid w:val="009273AB"/>
    <w:rsid w:val="0093085B"/>
    <w:rsid w:val="00931C57"/>
    <w:rsid w:val="009347A5"/>
    <w:rsid w:val="00942257"/>
    <w:rsid w:val="009471BF"/>
    <w:rsid w:val="00950E4E"/>
    <w:rsid w:val="009529BD"/>
    <w:rsid w:val="009533B4"/>
    <w:rsid w:val="00957D35"/>
    <w:rsid w:val="00963A0E"/>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2314"/>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ADB"/>
    <w:rsid w:val="00A90D77"/>
    <w:rsid w:val="00A92E07"/>
    <w:rsid w:val="00A96E64"/>
    <w:rsid w:val="00AA0B3A"/>
    <w:rsid w:val="00AA6EB4"/>
    <w:rsid w:val="00AA767D"/>
    <w:rsid w:val="00AB0CC9"/>
    <w:rsid w:val="00AB36BA"/>
    <w:rsid w:val="00AC347F"/>
    <w:rsid w:val="00AC3FF6"/>
    <w:rsid w:val="00AD0768"/>
    <w:rsid w:val="00AD22C4"/>
    <w:rsid w:val="00AD73EC"/>
    <w:rsid w:val="00AD7AD5"/>
    <w:rsid w:val="00AE2A3B"/>
    <w:rsid w:val="00AE5BC7"/>
    <w:rsid w:val="00AF5AAF"/>
    <w:rsid w:val="00B03687"/>
    <w:rsid w:val="00B046D8"/>
    <w:rsid w:val="00B13F4C"/>
    <w:rsid w:val="00B16219"/>
    <w:rsid w:val="00B16C59"/>
    <w:rsid w:val="00B251DC"/>
    <w:rsid w:val="00B33FDD"/>
    <w:rsid w:val="00B359CC"/>
    <w:rsid w:val="00B36107"/>
    <w:rsid w:val="00B405A1"/>
    <w:rsid w:val="00B41789"/>
    <w:rsid w:val="00B46C03"/>
    <w:rsid w:val="00B60C6C"/>
    <w:rsid w:val="00B619A9"/>
    <w:rsid w:val="00B65A9D"/>
    <w:rsid w:val="00B66D60"/>
    <w:rsid w:val="00B75EDE"/>
    <w:rsid w:val="00B77D88"/>
    <w:rsid w:val="00B77FAF"/>
    <w:rsid w:val="00B83528"/>
    <w:rsid w:val="00B84336"/>
    <w:rsid w:val="00B851B9"/>
    <w:rsid w:val="00B86453"/>
    <w:rsid w:val="00B90054"/>
    <w:rsid w:val="00B90B7C"/>
    <w:rsid w:val="00B92C14"/>
    <w:rsid w:val="00B96AFF"/>
    <w:rsid w:val="00BA0066"/>
    <w:rsid w:val="00BA68C7"/>
    <w:rsid w:val="00BB69DB"/>
    <w:rsid w:val="00BC262A"/>
    <w:rsid w:val="00BC322E"/>
    <w:rsid w:val="00BC44CD"/>
    <w:rsid w:val="00BC48A6"/>
    <w:rsid w:val="00BE7978"/>
    <w:rsid w:val="00C01F0D"/>
    <w:rsid w:val="00C057AB"/>
    <w:rsid w:val="00C07DDB"/>
    <w:rsid w:val="00C2032F"/>
    <w:rsid w:val="00C262BB"/>
    <w:rsid w:val="00C408EF"/>
    <w:rsid w:val="00C4115D"/>
    <w:rsid w:val="00C43BDD"/>
    <w:rsid w:val="00C47778"/>
    <w:rsid w:val="00C5011E"/>
    <w:rsid w:val="00C50EE5"/>
    <w:rsid w:val="00C5240A"/>
    <w:rsid w:val="00C5398F"/>
    <w:rsid w:val="00C556F5"/>
    <w:rsid w:val="00C678D7"/>
    <w:rsid w:val="00C70E19"/>
    <w:rsid w:val="00C71858"/>
    <w:rsid w:val="00C72574"/>
    <w:rsid w:val="00C7430C"/>
    <w:rsid w:val="00C85DA1"/>
    <w:rsid w:val="00C87AA0"/>
    <w:rsid w:val="00C9071C"/>
    <w:rsid w:val="00C908FF"/>
    <w:rsid w:val="00C97BD3"/>
    <w:rsid w:val="00CA39EF"/>
    <w:rsid w:val="00CA521F"/>
    <w:rsid w:val="00CB0493"/>
    <w:rsid w:val="00CB17FF"/>
    <w:rsid w:val="00CB1ED7"/>
    <w:rsid w:val="00CC1220"/>
    <w:rsid w:val="00CC167C"/>
    <w:rsid w:val="00CC52D9"/>
    <w:rsid w:val="00CD6647"/>
    <w:rsid w:val="00CD7151"/>
    <w:rsid w:val="00CE4B73"/>
    <w:rsid w:val="00CF6341"/>
    <w:rsid w:val="00CF70BB"/>
    <w:rsid w:val="00D074DB"/>
    <w:rsid w:val="00D139CF"/>
    <w:rsid w:val="00D20779"/>
    <w:rsid w:val="00D21892"/>
    <w:rsid w:val="00D37E7F"/>
    <w:rsid w:val="00D47AD7"/>
    <w:rsid w:val="00D51529"/>
    <w:rsid w:val="00D55B0F"/>
    <w:rsid w:val="00D67C88"/>
    <w:rsid w:val="00D70EDC"/>
    <w:rsid w:val="00D82DFB"/>
    <w:rsid w:val="00D83D03"/>
    <w:rsid w:val="00D85218"/>
    <w:rsid w:val="00D915B1"/>
    <w:rsid w:val="00DA299D"/>
    <w:rsid w:val="00DA65C4"/>
    <w:rsid w:val="00DC7C37"/>
    <w:rsid w:val="00DE4447"/>
    <w:rsid w:val="00DE5DA2"/>
    <w:rsid w:val="00DE63C6"/>
    <w:rsid w:val="00DE7B93"/>
    <w:rsid w:val="00DF0033"/>
    <w:rsid w:val="00E026BF"/>
    <w:rsid w:val="00E07B1B"/>
    <w:rsid w:val="00E11853"/>
    <w:rsid w:val="00E200F7"/>
    <w:rsid w:val="00E23E4E"/>
    <w:rsid w:val="00E3015D"/>
    <w:rsid w:val="00E30FD8"/>
    <w:rsid w:val="00E52A86"/>
    <w:rsid w:val="00E54B47"/>
    <w:rsid w:val="00E553BF"/>
    <w:rsid w:val="00E55D93"/>
    <w:rsid w:val="00E61294"/>
    <w:rsid w:val="00E7237C"/>
    <w:rsid w:val="00E77C46"/>
    <w:rsid w:val="00E86CE8"/>
    <w:rsid w:val="00E90E82"/>
    <w:rsid w:val="00EA00CB"/>
    <w:rsid w:val="00EA1BAA"/>
    <w:rsid w:val="00EA3FCD"/>
    <w:rsid w:val="00EA42A0"/>
    <w:rsid w:val="00EB3BD5"/>
    <w:rsid w:val="00EB6714"/>
    <w:rsid w:val="00EC0A68"/>
    <w:rsid w:val="00EC3C32"/>
    <w:rsid w:val="00EC5006"/>
    <w:rsid w:val="00ED388A"/>
    <w:rsid w:val="00ED49C3"/>
    <w:rsid w:val="00ED6CE8"/>
    <w:rsid w:val="00ED7AA6"/>
    <w:rsid w:val="00EE2A56"/>
    <w:rsid w:val="00EE3818"/>
    <w:rsid w:val="00EE55C4"/>
    <w:rsid w:val="00F067C8"/>
    <w:rsid w:val="00F22264"/>
    <w:rsid w:val="00F2564D"/>
    <w:rsid w:val="00F35B05"/>
    <w:rsid w:val="00F413D9"/>
    <w:rsid w:val="00F5135F"/>
    <w:rsid w:val="00F51F78"/>
    <w:rsid w:val="00F72A53"/>
    <w:rsid w:val="00F86F47"/>
    <w:rsid w:val="00F90B64"/>
    <w:rsid w:val="00F95284"/>
    <w:rsid w:val="00FB2F0F"/>
    <w:rsid w:val="00FB5086"/>
    <w:rsid w:val="00FB5411"/>
    <w:rsid w:val="00FB6392"/>
    <w:rsid w:val="00FC0D57"/>
    <w:rsid w:val="00FC4F36"/>
    <w:rsid w:val="00FD1FF0"/>
    <w:rsid w:val="00FD3C70"/>
    <w:rsid w:val="00FD6820"/>
    <w:rsid w:val="00FE12D8"/>
    <w:rsid w:val="00FF018A"/>
    <w:rsid w:val="00FF7C02"/>
    <w:rsid w:val="024801E3"/>
    <w:rsid w:val="03107D13"/>
    <w:rsid w:val="04211576"/>
    <w:rsid w:val="0A68201C"/>
    <w:rsid w:val="0AF6A3EF"/>
    <w:rsid w:val="0BDB3082"/>
    <w:rsid w:val="0EC420B2"/>
    <w:rsid w:val="0EE86539"/>
    <w:rsid w:val="1089B7BB"/>
    <w:rsid w:val="124217F0"/>
    <w:rsid w:val="14932AB2"/>
    <w:rsid w:val="14C28336"/>
    <w:rsid w:val="1551B32D"/>
    <w:rsid w:val="15647BE8"/>
    <w:rsid w:val="17143DE8"/>
    <w:rsid w:val="17A49283"/>
    <w:rsid w:val="196BCB88"/>
    <w:rsid w:val="1CDF0EBB"/>
    <w:rsid w:val="1CE98064"/>
    <w:rsid w:val="1EC3D2DD"/>
    <w:rsid w:val="25DB397A"/>
    <w:rsid w:val="2802BF3C"/>
    <w:rsid w:val="2994A355"/>
    <w:rsid w:val="2EAB2DCC"/>
    <w:rsid w:val="32BE27E8"/>
    <w:rsid w:val="3A823518"/>
    <w:rsid w:val="3AD188FA"/>
    <w:rsid w:val="3B3388F5"/>
    <w:rsid w:val="3BD0E838"/>
    <w:rsid w:val="3E8EF668"/>
    <w:rsid w:val="3F019112"/>
    <w:rsid w:val="400068AA"/>
    <w:rsid w:val="41DF3202"/>
    <w:rsid w:val="420AE15D"/>
    <w:rsid w:val="428E9925"/>
    <w:rsid w:val="4329290B"/>
    <w:rsid w:val="43A2B082"/>
    <w:rsid w:val="46B50653"/>
    <w:rsid w:val="4F295EB9"/>
    <w:rsid w:val="4FF3E42A"/>
    <w:rsid w:val="5054B062"/>
    <w:rsid w:val="59495657"/>
    <w:rsid w:val="5AEE2FB1"/>
    <w:rsid w:val="5DE08975"/>
    <w:rsid w:val="5F2B8DD1"/>
    <w:rsid w:val="60CD9D8C"/>
    <w:rsid w:val="647B2B65"/>
    <w:rsid w:val="65557F9E"/>
    <w:rsid w:val="682FE326"/>
    <w:rsid w:val="69D6C0C2"/>
    <w:rsid w:val="6B2CF8ED"/>
    <w:rsid w:val="6B5F1690"/>
    <w:rsid w:val="6F9CE54C"/>
    <w:rsid w:val="74209FE2"/>
    <w:rsid w:val="75C64AB6"/>
    <w:rsid w:val="77690BFA"/>
    <w:rsid w:val="77B4C174"/>
    <w:rsid w:val="79689214"/>
    <w:rsid w:val="7D05DC99"/>
    <w:rsid w:val="7D7814DC"/>
    <w:rsid w:val="7F57B53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ACB0E3F-AB27-4CF2-97F3-31B6DB1E7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D83D03"/>
    <w:rPr>
      <w:color w:val="9EA2A2" w:themeColor="followedHyperlink"/>
      <w:u w:val="single"/>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sites/sy-skas-osteoporosvardkedjan-skaraborg"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frax.shef.ac.uk/FRAX/tool.aspx?lang=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3</Pages>
  <Words>526</Words>
  <Characters>3813</Characters>
  <Application>Microsoft Office Word</Application>
  <DocSecurity>0</DocSecurity>
  <Lines>31</Lines>
  <Paragraphs>8</Paragraphs>
  <ScaleCrop>false</ScaleCrop>
  <Manager/>
  <Company/>
  <LinksUpToDate>false</LinksUpToDate>
  <CharactersWithSpaces>4331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Uvea - osteoporosprofylax vid kortisonbehandling</dc:title>
  <dc:subject/>
  <dc:creator/>
  <keywords/>
  <lastModifiedBy>Anna Sjöström</lastModifiedBy>
  <revision>127</revision>
  <lastPrinted>2016-03-31T01:56:00.0000000Z</lastPrinted>
  <dcterms:created xsi:type="dcterms:W3CDTF">2021-05-27T00:47:00.0000000Z</dcterms:created>
  <dcterms:modified xsi:type="dcterms:W3CDTF">2024-08-08T12:16:00.0000000Z</dcterms:modified>
</coreProperties>
</file>