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7655B" w14:textId="7FDC8ACC" w:rsidR="005115F9" w:rsidRDefault="00CD7B3F" w:rsidP="00CD7B3F">
      <w:pPr>
        <w:ind w:left="0"/>
      </w:pPr>
      <w:bookmarkStart w:id="0" w:name="_Toc321146591"/>
      <w:r w:rsidRPr="00762EE0">
        <w:rPr>
          <w:noProof/>
          <w:sz w:val="20"/>
          <w:szCs w:val="20"/>
        </w:rPr>
        <w:drawing>
          <wp:anchor distT="0" distB="0" distL="114300" distR="114300" simplePos="0" relativeHeight="251659264" behindDoc="0" locked="0" layoutInCell="1" allowOverlap="1" wp14:anchorId="6B6711EF" wp14:editId="42D72666">
            <wp:simplePos x="0" y="0"/>
            <wp:positionH relativeFrom="page">
              <wp:posOffset>61036</wp:posOffset>
            </wp:positionH>
            <wp:positionV relativeFrom="paragraph">
              <wp:posOffset>-415722</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60288" behindDoc="0" locked="0" layoutInCell="1" allowOverlap="1" wp14:anchorId="54774DCE" wp14:editId="7FF0B92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52A2800" w14:textId="46E62609" w:rsidR="00CD7B3F" w:rsidRDefault="00CD7B3F" w:rsidP="00CD7B3F">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774DCE" id="_x0000_t202" coordsize="21600,21600" o:spt="202" path="m,l,21600r21600,l21600,xe">
                <v:stroke joinstyle="miter"/>
                <v:path gradientshapeok="t" o:connecttype="rect"/>
              </v:shapetype>
              <v:shape id="Textruta 6" o:spid="_x0000_s1026" type="#_x0000_t202" style="position:absolute;margin-left:-13.6pt;margin-top:-5.2pt;width:367.65pt;height:17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" filled="f" stroked="f" strokeweight=".5pt">
                <v:textbox>
                  <w:txbxContent>
                    <w:p w14:paraId="552A2800" w14:textId="46E62609" w:rsidR="00CD7B3F" w:rsidRDefault="00CD7B3F" w:rsidP="00CD7B3F">
                      <w:pPr>
                        <w:ind w:left="0"/>
                      </w:pPr>
                    </w:p>
                  </w:txbxContent>
                </v:textbox>
                <w10:wrap type="topAndBottom"/>
              </v:shape>
            </w:pict>
          </mc:Fallback>
        </mc:AlternateContent>
      </w:r>
    </w:p>
    <w:p w14:paraId="061914D4" w14:textId="19D63AB8" w:rsidR="00184167" w:rsidRDefault="000E6ADE" w:rsidP="00184167">
      <w:pPr>
        <w:pStyle w:val="Rubrik1"/>
      </w:pPr>
      <w:r>
        <w:t xml:space="preserve">Generella ordinationer till sjuksköterskor inom heldygnsvård - </w:t>
      </w:r>
      <w:r w:rsidR="3E44F878">
        <w:t>P</w:t>
      </w:r>
      <w:r>
        <w:t>sykiatri</w:t>
      </w:r>
    </w:p>
    <w:bookmarkEnd w:id="0"/>
    <w:p w14:paraId="7E8AC00B" w14:textId="77777777" w:rsidR="005218AA" w:rsidRDefault="376B6543" w:rsidP="005218AA">
      <w:pPr>
        <w:pStyle w:val="Rubrik2"/>
      </w:pPr>
      <w:r>
        <w:t>Förändringar sedan föregående version</w:t>
      </w:r>
    </w:p>
    <w:p w14:paraId="4119811F" w14:textId="5FBEF43C" w:rsidR="4A808A97" w:rsidRDefault="4A808A97">
      <w:r>
        <w:t>Uppdaterad lista</w:t>
      </w:r>
      <w:r w:rsidR="00A20506">
        <w:t xml:space="preserve"> generella ordinationer</w:t>
      </w:r>
      <w:r>
        <w:t>.</w:t>
      </w:r>
    </w:p>
    <w:p w14:paraId="6C87C8CE" w14:textId="5C43F564" w:rsidR="006675B0" w:rsidRDefault="006675B0">
      <w:r>
        <w:t>Förlängd giltighet</w:t>
      </w:r>
      <w:r w:rsidR="00A20506">
        <w:t>.</w:t>
      </w:r>
    </w:p>
    <w:p w14:paraId="1B9446C1" w14:textId="50C54518" w:rsidR="007155D5" w:rsidRDefault="008C7F0C" w:rsidP="007155D5">
      <w:pPr>
        <w:pStyle w:val="Rubrik2"/>
      </w:pPr>
      <w:bookmarkStart w:id="1" w:name="_Toc72840807"/>
      <w:r>
        <w:t>Bakgrund</w:t>
      </w:r>
      <w:r w:rsidR="00023FF4">
        <w:t>, syfte</w:t>
      </w:r>
      <w:r w:rsidR="000E6ADE">
        <w:t xml:space="preserve">, </w:t>
      </w:r>
      <w:r w:rsidR="00023FF4">
        <w:t>mål</w:t>
      </w:r>
      <w:bookmarkEnd w:id="1"/>
      <w:r w:rsidR="000E6ADE">
        <w:t xml:space="preserve"> och arbetsbeskrivning</w:t>
      </w:r>
    </w:p>
    <w:p w14:paraId="457A70EF" w14:textId="79963A82" w:rsidR="000E6ADE" w:rsidRPr="004D3955" w:rsidRDefault="00CC65B8" w:rsidP="000E6ADE">
      <w:r>
        <w:t>Detta styrdokument v</w:t>
      </w:r>
      <w:r w:rsidR="000E6ADE" w:rsidRPr="004D3955">
        <w:t xml:space="preserve">isar vilka läkemedel som kan delas ut av sjuksköterska utan särskild ordination inom </w:t>
      </w:r>
      <w:r w:rsidR="003D6321">
        <w:t>P</w:t>
      </w:r>
      <w:r w:rsidR="000E6ADE" w:rsidRPr="004D3955">
        <w:t>sykiatri, SkaS Skövde och Falköping</w:t>
      </w:r>
    </w:p>
    <w:p w14:paraId="054B6A1A" w14:textId="77777777" w:rsidR="000E6ADE" w:rsidRPr="004D3955" w:rsidRDefault="000E6ADE" w:rsidP="000E6ADE">
      <w:pPr>
        <w:rPr>
          <w:b/>
          <w:bCs/>
        </w:rPr>
      </w:pPr>
      <w:r w:rsidRPr="004D3955">
        <w:rPr>
          <w:b/>
          <w:bCs/>
        </w:rPr>
        <w:t>Endast läkare får utfärda generella direktiv (benämns GO i Melior)</w:t>
      </w:r>
    </w:p>
    <w:p w14:paraId="393222CA" w14:textId="07C9D063" w:rsidR="000E6ADE" w:rsidRDefault="000E6ADE" w:rsidP="000E6ADE">
      <w:r w:rsidRPr="004D3955">
        <w:t xml:space="preserve">Endast </w:t>
      </w:r>
      <w:r w:rsidRPr="004D3955">
        <w:rPr>
          <w:i/>
          <w:iCs/>
        </w:rPr>
        <w:t>verksamhetschef (om denne är läkare</w:t>
      </w:r>
      <w:r w:rsidRPr="004D3955">
        <w:t xml:space="preserve">) eller </w:t>
      </w:r>
      <w:r w:rsidRPr="004D3955">
        <w:rPr>
          <w:i/>
          <w:iCs/>
        </w:rPr>
        <w:t>medicinsk ansvarig läkare</w:t>
      </w:r>
      <w:r w:rsidRPr="004D3955">
        <w:t xml:space="preserve"> får utfärda generella direktiv om läkemedelsbehandling.</w:t>
      </w:r>
    </w:p>
    <w:p w14:paraId="4206134A" w14:textId="0679939D" w:rsidR="000E6ADE" w:rsidRPr="000E6ADE" w:rsidRDefault="000E6ADE" w:rsidP="000E6ADE">
      <w:r w:rsidRPr="000E6ADE">
        <w:t>Ett generellt direktiv ska vara skriftligt och innehålla uppgifter om</w:t>
      </w:r>
      <w:r w:rsidR="007C6690">
        <w:t>:</w:t>
      </w:r>
    </w:p>
    <w:p w14:paraId="7E1EDA6A" w14:textId="1AA0C149" w:rsidR="000E6ADE" w:rsidRPr="000E6ADE" w:rsidRDefault="007C6690" w:rsidP="00B64FB4">
      <w:pPr>
        <w:pStyle w:val="Liststycke"/>
      </w:pPr>
      <w:r>
        <w:t>L</w:t>
      </w:r>
      <w:r w:rsidR="000E6ADE" w:rsidRPr="000E6ADE">
        <w:t xml:space="preserve">äkemedelsnamn eller aktiv substans </w:t>
      </w:r>
    </w:p>
    <w:p w14:paraId="00AE213A" w14:textId="0120AE1A" w:rsidR="000E6ADE" w:rsidRPr="000E6ADE" w:rsidRDefault="007C6690" w:rsidP="00B64FB4">
      <w:pPr>
        <w:pStyle w:val="Liststycke"/>
      </w:pPr>
      <w:r>
        <w:t>L</w:t>
      </w:r>
      <w:r w:rsidR="000E6ADE" w:rsidRPr="000E6ADE">
        <w:t xml:space="preserve">äkemedelsform </w:t>
      </w:r>
    </w:p>
    <w:p w14:paraId="333D6658" w14:textId="5DC3DA89" w:rsidR="000E6ADE" w:rsidRPr="000E6ADE" w:rsidRDefault="007C6690" w:rsidP="00B64FB4">
      <w:pPr>
        <w:pStyle w:val="Liststycke"/>
      </w:pPr>
      <w:r>
        <w:t>L</w:t>
      </w:r>
      <w:r w:rsidR="000E6ADE" w:rsidRPr="000E6ADE">
        <w:t xml:space="preserve">äkemedlets styrka </w:t>
      </w:r>
    </w:p>
    <w:p w14:paraId="558C0141" w14:textId="470C68B0" w:rsidR="000E6ADE" w:rsidRPr="000E6ADE" w:rsidRDefault="007C6690" w:rsidP="00B64FB4">
      <w:pPr>
        <w:pStyle w:val="Liststycke"/>
      </w:pPr>
      <w:r>
        <w:t>D</w:t>
      </w:r>
      <w:r w:rsidR="000E6ADE" w:rsidRPr="000E6ADE">
        <w:t>osering</w:t>
      </w:r>
    </w:p>
    <w:p w14:paraId="7719044C" w14:textId="5468E0D6" w:rsidR="000E6ADE" w:rsidRPr="000E6ADE" w:rsidRDefault="007C6690" w:rsidP="00B64FB4">
      <w:pPr>
        <w:pStyle w:val="Liststycke"/>
      </w:pPr>
      <w:proofErr w:type="spellStart"/>
      <w:r>
        <w:t>M</w:t>
      </w:r>
      <w:r w:rsidR="000E6ADE" w:rsidRPr="000E6ADE">
        <w:t>axdos</w:t>
      </w:r>
      <w:proofErr w:type="spellEnd"/>
    </w:p>
    <w:p w14:paraId="15C6CC80" w14:textId="56864702" w:rsidR="000E6ADE" w:rsidRPr="000E6ADE" w:rsidRDefault="007C6690" w:rsidP="00B64FB4">
      <w:pPr>
        <w:pStyle w:val="Liststycke"/>
      </w:pPr>
      <w:r>
        <w:t>A</w:t>
      </w:r>
      <w:r w:rsidR="000E6ADE" w:rsidRPr="000E6ADE">
        <w:t xml:space="preserve">dministreringssätt </w:t>
      </w:r>
    </w:p>
    <w:p w14:paraId="06A00BC4" w14:textId="5719FA36" w:rsidR="000E6ADE" w:rsidRPr="000E6ADE" w:rsidRDefault="007C6690" w:rsidP="00B64FB4">
      <w:pPr>
        <w:pStyle w:val="Liststycke"/>
      </w:pPr>
      <w:r>
        <w:t>I</w:t>
      </w:r>
      <w:r w:rsidR="000E6ADE" w:rsidRPr="000E6ADE">
        <w:t>ndikationer och kontraindikationer</w:t>
      </w:r>
    </w:p>
    <w:p w14:paraId="4A16A40B" w14:textId="12920206" w:rsidR="000E6ADE" w:rsidRPr="000E6ADE" w:rsidRDefault="007C6690" w:rsidP="00B64FB4">
      <w:pPr>
        <w:pStyle w:val="Liststycke"/>
      </w:pPr>
      <w:r>
        <w:t>A</w:t>
      </w:r>
      <w:r w:rsidR="000E6ADE" w:rsidRPr="000E6ADE">
        <w:t xml:space="preserve">ntalet tillfällen som läkemedlet får ges utan att en läkare kontaktas </w:t>
      </w:r>
    </w:p>
    <w:p w14:paraId="57FD09B2" w14:textId="7F0FBF5C" w:rsidR="000E6ADE" w:rsidRPr="000E6ADE" w:rsidRDefault="000E6ADE" w:rsidP="001E5C97">
      <w:r w:rsidRPr="000E6ADE">
        <w:t>Generella direktiv om läkemedelsbehandling ska utfärdas restriktivt och omprövas återkommande</w:t>
      </w:r>
      <w:r w:rsidR="00B64FB4">
        <w:t>.</w:t>
      </w:r>
    </w:p>
    <w:p w14:paraId="2169C43D" w14:textId="77777777" w:rsidR="000E6ADE" w:rsidRPr="000E6ADE" w:rsidRDefault="000E6ADE" w:rsidP="001E5C97">
      <w:pPr>
        <w:rPr>
          <w:b/>
          <w:bCs/>
        </w:rPr>
      </w:pPr>
      <w:r w:rsidRPr="000E6ADE">
        <w:rPr>
          <w:b/>
          <w:bCs/>
        </w:rPr>
        <w:t>En sjuksköterska ska bedöma patientens behov av läkemedlet</w:t>
      </w:r>
    </w:p>
    <w:p w14:paraId="2E7DC2F3" w14:textId="541570DA" w:rsidR="001E5C97" w:rsidRDefault="000E6ADE" w:rsidP="001E5C97">
      <w:r w:rsidRPr="000E6ADE">
        <w:lastRenderedPageBreak/>
        <w:t>Innan ett läkemedel med stöd av ett generellt direktiv</w:t>
      </w:r>
      <w:r w:rsidR="00B64FB4">
        <w:t>,</w:t>
      </w:r>
      <w:r w:rsidRPr="000E6ADE">
        <w:t xml:space="preserve"> om läkemedelsbehandling iordningställs och administreras eller överlämnas till en patient</w:t>
      </w:r>
      <w:r w:rsidR="00B64FB4">
        <w:t>,</w:t>
      </w:r>
      <w:r w:rsidRPr="000E6ADE">
        <w:t xml:space="preserve"> ska en sjuksköterska:</w:t>
      </w:r>
    </w:p>
    <w:p w14:paraId="4BD5EAEF" w14:textId="77777777" w:rsidR="001E5C97" w:rsidRDefault="007C6690" w:rsidP="00B64FB4">
      <w:pPr>
        <w:pStyle w:val="Liststycke"/>
        <w:numPr>
          <w:ilvl w:val="0"/>
          <w:numId w:val="22"/>
        </w:numPr>
      </w:pPr>
      <w:r w:rsidRPr="001E5C97">
        <w:t>G</w:t>
      </w:r>
      <w:r w:rsidR="000E6ADE" w:rsidRPr="001E5C97">
        <w:t>öra en bedömning av patientens behov av läkemedlet</w:t>
      </w:r>
    </w:p>
    <w:p w14:paraId="3E42BF39" w14:textId="490E7CC8" w:rsidR="000E6ADE" w:rsidRPr="001E5C97" w:rsidRDefault="007C6690" w:rsidP="00B64FB4">
      <w:pPr>
        <w:pStyle w:val="Liststycke"/>
        <w:numPr>
          <w:ilvl w:val="0"/>
          <w:numId w:val="22"/>
        </w:numPr>
      </w:pPr>
      <w:r w:rsidRPr="001E5C97">
        <w:t>K</w:t>
      </w:r>
      <w:r w:rsidR="000E6ADE" w:rsidRPr="001E5C97">
        <w:t xml:space="preserve">ontrollera läkemedlets indikation och kontraindikationer </w:t>
      </w:r>
    </w:p>
    <w:p w14:paraId="5320C5DE" w14:textId="0B67BE97" w:rsidR="00922E5D" w:rsidRDefault="000E6ADE" w:rsidP="007B58B0">
      <w:r w:rsidRPr="000E6ADE">
        <w:t>Vid en behovsbedömning är det särskilt viktigt att kontrollera eventuell överkänslighet och interaktioner med övriga läkemedel som patienten är ordinerad. Det är även viktigt att kontrollera vilka läkemedel patienten redan har ordinerats så att dubbelmedicinering undviks.</w:t>
      </w:r>
    </w:p>
    <w:p w14:paraId="48292334" w14:textId="77777777" w:rsidR="00922E5D" w:rsidRDefault="00922E5D" w:rsidP="007B58B0">
      <w:pPr>
        <w:ind w:left="0"/>
      </w:pPr>
    </w:p>
    <w:p w14:paraId="2CF66D8A" w14:textId="77777777" w:rsidR="00062810" w:rsidRDefault="00062810" w:rsidP="00062810">
      <w:pPr>
        <w:ind w:left="0"/>
        <w:sectPr w:rsidR="00062810"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pPr>
    </w:p>
    <w:p w14:paraId="30D43C43" w14:textId="77777777" w:rsidR="00922E5D" w:rsidRDefault="00922E5D" w:rsidP="00062810">
      <w:pPr>
        <w:ind w:left="0"/>
      </w:pPr>
    </w:p>
    <w:p w14:paraId="092FECF2" w14:textId="604E330B" w:rsidR="009213D0" w:rsidRDefault="000E6ADE" w:rsidP="007B58B0">
      <w:pPr>
        <w:ind w:left="0"/>
        <w:rPr>
          <w:i/>
          <w:iCs/>
        </w:rPr>
      </w:pPr>
      <w:r w:rsidRPr="004D3955">
        <w:rPr>
          <w:i/>
          <w:iCs/>
        </w:rPr>
        <w:t>Bedömningen enligt 1 ska dokumenteras i patientjournalen.</w:t>
      </w:r>
    </w:p>
    <w:p w14:paraId="2BE00CCA" w14:textId="23A4F437" w:rsidR="001E169F" w:rsidRDefault="000B4B64" w:rsidP="007B58B0">
      <w:pPr>
        <w:ind w:left="0"/>
        <w:rPr>
          <w:i/>
          <w:iCs/>
        </w:rPr>
      </w:pPr>
      <w:r>
        <w:rPr>
          <w:i/>
          <w:iCs/>
        </w:rPr>
        <w:t>Ansvarig sjuksköterska är skyldig att känna till informationen i FASS om det aktuella läkemedlet</w:t>
      </w:r>
      <w:r w:rsidR="003D6321">
        <w:rPr>
          <w:i/>
          <w:iCs/>
        </w:rPr>
        <w:t xml:space="preserve"> innan det ges till patient.</w:t>
      </w:r>
    </w:p>
    <w:tbl>
      <w:tblPr>
        <w:tblStyle w:val="Rutntstabell1ljusdekorfrg11"/>
        <w:tblW w:w="0" w:type="auto"/>
        <w:tblLook w:val="04A0" w:firstRow="1" w:lastRow="0" w:firstColumn="1" w:lastColumn="0" w:noHBand="0" w:noVBand="1"/>
      </w:tblPr>
      <w:tblGrid>
        <w:gridCol w:w="1880"/>
        <w:gridCol w:w="740"/>
        <w:gridCol w:w="731"/>
        <w:gridCol w:w="767"/>
        <w:gridCol w:w="1263"/>
        <w:gridCol w:w="1963"/>
        <w:gridCol w:w="3489"/>
        <w:gridCol w:w="3303"/>
      </w:tblGrid>
      <w:tr w:rsidR="00785138" w:rsidRPr="00AF7253" w14:paraId="22F6F953" w14:textId="77777777" w:rsidTr="00636E8C">
        <w:trPr>
          <w:cnfStyle w:val="100000000000" w:firstRow="1" w:lastRow="0" w:firstColumn="0" w:lastColumn="0" w:oddVBand="0" w:evenVBand="0" w:oddHBand="0" w:evenHBand="0" w:firstRowFirstColumn="0" w:firstRowLastColumn="0" w:lastRowFirstColumn="0" w:lastRowLastColumn="0"/>
          <w:trHeight w:val="267"/>
          <w:tblHeader/>
        </w:trPr>
        <w:tc>
          <w:tcPr>
            <w:cnfStyle w:val="001000000000" w:firstRow="0" w:lastRow="0" w:firstColumn="1" w:lastColumn="0" w:oddVBand="0" w:evenVBand="0" w:oddHBand="0" w:evenHBand="0" w:firstRowFirstColumn="0" w:firstRowLastColumn="0" w:lastRowFirstColumn="0" w:lastRowLastColumn="0"/>
            <w:tcW w:w="1888" w:type="dxa"/>
          </w:tcPr>
          <w:p w14:paraId="4A22E6ED"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Läkemedel</w:t>
            </w:r>
          </w:p>
        </w:tc>
        <w:tc>
          <w:tcPr>
            <w:tcW w:w="769" w:type="dxa"/>
          </w:tcPr>
          <w:p w14:paraId="3801E0FF" w14:textId="77777777" w:rsidR="00AF7253" w:rsidRPr="00AF7253" w:rsidRDefault="00AF7253" w:rsidP="00AF7253">
            <w:pPr>
              <w:spacing w:after="160" w:line="259"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Dos</w:t>
            </w:r>
          </w:p>
        </w:tc>
        <w:tc>
          <w:tcPr>
            <w:tcW w:w="695" w:type="dxa"/>
          </w:tcPr>
          <w:p w14:paraId="3B217ABE" w14:textId="77777777" w:rsidR="00AF7253" w:rsidRPr="00AF7253" w:rsidRDefault="00AF7253" w:rsidP="00AF7253">
            <w:pPr>
              <w:spacing w:after="160" w:line="259"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Gånger</w:t>
            </w:r>
          </w:p>
        </w:tc>
        <w:tc>
          <w:tcPr>
            <w:tcW w:w="805" w:type="dxa"/>
          </w:tcPr>
          <w:p w14:paraId="0E6E9847" w14:textId="77777777" w:rsidR="00AF7253" w:rsidRPr="00AF7253" w:rsidRDefault="00AF7253" w:rsidP="00AF7253">
            <w:pPr>
              <w:spacing w:after="160" w:line="259"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Maxdos</w:t>
            </w:r>
            <w:proofErr w:type="spellEnd"/>
          </w:p>
        </w:tc>
        <w:tc>
          <w:tcPr>
            <w:tcW w:w="1215" w:type="dxa"/>
          </w:tcPr>
          <w:p w14:paraId="43D499AF" w14:textId="77777777" w:rsidR="00AF7253" w:rsidRPr="00AF7253" w:rsidRDefault="00AF7253" w:rsidP="00AF7253">
            <w:pPr>
              <w:spacing w:after="160" w:line="259"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Administration</w:t>
            </w:r>
          </w:p>
        </w:tc>
        <w:tc>
          <w:tcPr>
            <w:tcW w:w="1977" w:type="dxa"/>
          </w:tcPr>
          <w:p w14:paraId="4E18A9C3" w14:textId="77777777" w:rsidR="00AF7253" w:rsidRPr="00AF7253" w:rsidRDefault="00AF7253" w:rsidP="00AF7253">
            <w:pPr>
              <w:spacing w:after="160" w:line="259"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Indikation</w:t>
            </w:r>
          </w:p>
        </w:tc>
        <w:tc>
          <w:tcPr>
            <w:tcW w:w="3427" w:type="dxa"/>
          </w:tcPr>
          <w:p w14:paraId="233579DB" w14:textId="77777777" w:rsidR="00AF7253" w:rsidRPr="00AF7253" w:rsidRDefault="00AF7253" w:rsidP="00AF7253">
            <w:pPr>
              <w:spacing w:after="160" w:line="259"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Kontraindikation</w:t>
            </w:r>
          </w:p>
        </w:tc>
        <w:tc>
          <w:tcPr>
            <w:tcW w:w="3360" w:type="dxa"/>
          </w:tcPr>
          <w:p w14:paraId="55907C22" w14:textId="77777777" w:rsidR="00AF7253" w:rsidRPr="00AF7253" w:rsidRDefault="00AF7253" w:rsidP="00AF7253">
            <w:pPr>
              <w:spacing w:after="160" w:line="259" w:lineRule="auto"/>
              <w:ind w:left="0" w:right="0"/>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Anmärkning</w:t>
            </w:r>
          </w:p>
        </w:tc>
      </w:tr>
      <w:tr w:rsidR="00785138" w:rsidRPr="00AF7253" w14:paraId="3EAD9CD4"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77C797E0"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Alimemazin</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Orifarm</w:t>
            </w:r>
            <w:proofErr w:type="spellEnd"/>
            <w:r w:rsidRPr="00AF7253">
              <w:rPr>
                <w:rFonts w:ascii="Times New Roman" w:hAnsi="Times New Roman"/>
                <w:sz w:val="16"/>
                <w:szCs w:val="16"/>
              </w:rPr>
              <w:t xml:space="preserve">, Orala droppar, lösning 40mg/ml </w:t>
            </w:r>
            <w:proofErr w:type="spellStart"/>
            <w:r w:rsidRPr="00AF7253">
              <w:rPr>
                <w:rFonts w:ascii="Times New Roman" w:hAnsi="Times New Roman"/>
                <w:sz w:val="16"/>
                <w:szCs w:val="16"/>
              </w:rPr>
              <w:t>Orifarm</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Generics</w:t>
            </w:r>
            <w:proofErr w:type="spellEnd"/>
            <w:r w:rsidRPr="00AF7253">
              <w:rPr>
                <w:rFonts w:ascii="Times New Roman" w:hAnsi="Times New Roman"/>
                <w:sz w:val="16"/>
                <w:szCs w:val="16"/>
              </w:rPr>
              <w:t xml:space="preserve"> AB </w:t>
            </w:r>
          </w:p>
        </w:tc>
        <w:tc>
          <w:tcPr>
            <w:tcW w:w="769" w:type="dxa"/>
          </w:tcPr>
          <w:p w14:paraId="3F1A6B7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0,5-1ml</w:t>
            </w:r>
          </w:p>
        </w:tc>
        <w:tc>
          <w:tcPr>
            <w:tcW w:w="695" w:type="dxa"/>
          </w:tcPr>
          <w:p w14:paraId="73991D6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w:t>
            </w:r>
          </w:p>
        </w:tc>
        <w:tc>
          <w:tcPr>
            <w:tcW w:w="805" w:type="dxa"/>
          </w:tcPr>
          <w:p w14:paraId="5408DCB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2ml</w:t>
            </w:r>
          </w:p>
        </w:tc>
        <w:tc>
          <w:tcPr>
            <w:tcW w:w="1215" w:type="dxa"/>
          </w:tcPr>
          <w:p w14:paraId="7308479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1FAFA0B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Oro, ångest, sömnrubbning</w:t>
            </w:r>
          </w:p>
          <w:p w14:paraId="2FB6125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427" w:type="dxa"/>
          </w:tcPr>
          <w:p w14:paraId="76EB008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aktiv substans eller något av hjälpämnena. Ej till personer över 65 år.</w:t>
            </w:r>
          </w:p>
        </w:tc>
        <w:tc>
          <w:tcPr>
            <w:tcW w:w="3360" w:type="dxa"/>
          </w:tcPr>
          <w:p w14:paraId="3080223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Kan före intagandet spädas med lämplig dryck, t ex juice, saft, kaffe, dock ej mjölk.</w:t>
            </w:r>
          </w:p>
        </w:tc>
      </w:tr>
      <w:tr w:rsidR="00785138" w:rsidRPr="00AF7253" w14:paraId="2EBE111A"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25664CBB"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Alvedon Filmdragerad tablett 500mg/ Alvedon Brustablett 500 mg</w:t>
            </w:r>
          </w:p>
        </w:tc>
        <w:tc>
          <w:tcPr>
            <w:tcW w:w="769" w:type="dxa"/>
          </w:tcPr>
          <w:p w14:paraId="609A61F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1-2st</w:t>
            </w:r>
          </w:p>
        </w:tc>
        <w:tc>
          <w:tcPr>
            <w:tcW w:w="695" w:type="dxa"/>
          </w:tcPr>
          <w:p w14:paraId="1DAE591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4</w:t>
            </w:r>
          </w:p>
        </w:tc>
        <w:tc>
          <w:tcPr>
            <w:tcW w:w="805" w:type="dxa"/>
          </w:tcPr>
          <w:p w14:paraId="449C9EF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8st</w:t>
            </w:r>
          </w:p>
        </w:tc>
        <w:tc>
          <w:tcPr>
            <w:tcW w:w="1215" w:type="dxa"/>
          </w:tcPr>
          <w:p w14:paraId="478A90B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29DE9E6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Huvud-, tand- mens-, muskel- och ledvärk, feber vid förkylningssjukdomar</w:t>
            </w:r>
          </w:p>
        </w:tc>
        <w:tc>
          <w:tcPr>
            <w:tcW w:w="3427" w:type="dxa"/>
          </w:tcPr>
          <w:p w14:paraId="5C700B7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Överkänslighet mot </w:t>
            </w:r>
            <w:proofErr w:type="spellStart"/>
            <w:r w:rsidRPr="00AF7253">
              <w:rPr>
                <w:rFonts w:ascii="Times New Roman" w:hAnsi="Times New Roman"/>
                <w:sz w:val="16"/>
                <w:szCs w:val="16"/>
              </w:rPr>
              <w:t>innehållet,grav</w:t>
            </w:r>
            <w:proofErr w:type="spellEnd"/>
            <w:r w:rsidRPr="00AF7253">
              <w:rPr>
                <w:rFonts w:ascii="Times New Roman" w:hAnsi="Times New Roman"/>
                <w:sz w:val="16"/>
                <w:szCs w:val="16"/>
              </w:rPr>
              <w:t xml:space="preserve"> leversvikt</w:t>
            </w:r>
          </w:p>
        </w:tc>
        <w:tc>
          <w:tcPr>
            <w:tcW w:w="3360" w:type="dxa"/>
          </w:tcPr>
          <w:p w14:paraId="5175C97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Paracetamol</w:t>
            </w:r>
            <w:proofErr w:type="spellEnd"/>
            <w:r w:rsidRPr="00AF7253">
              <w:rPr>
                <w:rFonts w:ascii="Times New Roman" w:hAnsi="Times New Roman"/>
                <w:sz w:val="16"/>
                <w:szCs w:val="16"/>
              </w:rPr>
              <w:t xml:space="preserve"> bör användas med försiktighet vid leversvikt, kronisk alkoholism, svår njursvikt</w:t>
            </w:r>
          </w:p>
        </w:tc>
      </w:tr>
      <w:tr w:rsidR="00785138" w:rsidRPr="00AF7253" w14:paraId="0A531F72" w14:textId="77777777" w:rsidTr="00636E8C">
        <w:trPr>
          <w:trHeight w:val="258"/>
        </w:trPr>
        <w:tc>
          <w:tcPr>
            <w:cnfStyle w:val="001000000000" w:firstRow="0" w:lastRow="0" w:firstColumn="1" w:lastColumn="0" w:oddVBand="0" w:evenVBand="0" w:oddHBand="0" w:evenHBand="0" w:firstRowFirstColumn="0" w:firstRowLastColumn="0" w:lastRowFirstColumn="0" w:lastRowLastColumn="0"/>
            <w:tcW w:w="1888" w:type="dxa"/>
          </w:tcPr>
          <w:p w14:paraId="4CA2E17F"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Artelac</w:t>
            </w:r>
            <w:proofErr w:type="spellEnd"/>
          </w:p>
          <w:p w14:paraId="1FB190D1"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FörmånsstatusBausch</w:t>
            </w:r>
            <w:proofErr w:type="spellEnd"/>
            <w:r w:rsidRPr="00AF7253">
              <w:rPr>
                <w:rFonts w:ascii="Times New Roman" w:hAnsi="Times New Roman"/>
                <w:sz w:val="16"/>
                <w:szCs w:val="16"/>
              </w:rPr>
              <w:t xml:space="preserve"> &amp; </w:t>
            </w:r>
            <w:proofErr w:type="spellStart"/>
            <w:r w:rsidRPr="00AF7253">
              <w:rPr>
                <w:rFonts w:ascii="Times New Roman" w:hAnsi="Times New Roman"/>
                <w:sz w:val="16"/>
                <w:szCs w:val="16"/>
              </w:rPr>
              <w:t>Lomb</w:t>
            </w:r>
            <w:proofErr w:type="spellEnd"/>
          </w:p>
          <w:p w14:paraId="7A0D66EE"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 xml:space="preserve">Ögondroppar, lösning i </w:t>
            </w:r>
            <w:proofErr w:type="spellStart"/>
            <w:r w:rsidRPr="00AF7253">
              <w:rPr>
                <w:rFonts w:ascii="Times New Roman" w:hAnsi="Times New Roman"/>
                <w:sz w:val="16"/>
                <w:szCs w:val="16"/>
              </w:rPr>
              <w:t>endosbehållare</w:t>
            </w:r>
            <w:proofErr w:type="spellEnd"/>
          </w:p>
        </w:tc>
        <w:tc>
          <w:tcPr>
            <w:tcW w:w="769" w:type="dxa"/>
          </w:tcPr>
          <w:p w14:paraId="6F32C3D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 droppe i vartdera ögat.</w:t>
            </w:r>
          </w:p>
        </w:tc>
        <w:tc>
          <w:tcPr>
            <w:tcW w:w="695" w:type="dxa"/>
          </w:tcPr>
          <w:p w14:paraId="098F702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w:t>
            </w:r>
          </w:p>
        </w:tc>
        <w:tc>
          <w:tcPr>
            <w:tcW w:w="805" w:type="dxa"/>
          </w:tcPr>
          <w:p w14:paraId="5ECEAE2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4</w:t>
            </w:r>
          </w:p>
        </w:tc>
        <w:tc>
          <w:tcPr>
            <w:tcW w:w="1215" w:type="dxa"/>
          </w:tcPr>
          <w:p w14:paraId="39FB350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okulärt</w:t>
            </w:r>
          </w:p>
        </w:tc>
        <w:tc>
          <w:tcPr>
            <w:tcW w:w="1977" w:type="dxa"/>
          </w:tcPr>
          <w:p w14:paraId="752D3B5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Tårsubstitut för behandling av torra ögon</w:t>
            </w:r>
          </w:p>
        </w:tc>
        <w:tc>
          <w:tcPr>
            <w:tcW w:w="3427" w:type="dxa"/>
          </w:tcPr>
          <w:p w14:paraId="634B03A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något innehållsämne </w:t>
            </w:r>
          </w:p>
        </w:tc>
        <w:tc>
          <w:tcPr>
            <w:tcW w:w="3360" w:type="dxa"/>
          </w:tcPr>
          <w:p w14:paraId="4FD7DF3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i/>
                <w:iCs/>
                <w:sz w:val="16"/>
                <w:szCs w:val="16"/>
              </w:rPr>
              <w:t>Artelac</w:t>
            </w:r>
            <w:proofErr w:type="spellEnd"/>
            <w:r w:rsidRPr="00AF7253">
              <w:rPr>
                <w:rFonts w:ascii="Times New Roman" w:hAnsi="Times New Roman"/>
                <w:i/>
                <w:iCs/>
                <w:sz w:val="16"/>
                <w:szCs w:val="16"/>
              </w:rPr>
              <w:t xml:space="preserve"> ögondroppar i </w:t>
            </w:r>
            <w:proofErr w:type="spellStart"/>
            <w:r w:rsidRPr="00AF7253">
              <w:rPr>
                <w:rFonts w:ascii="Times New Roman" w:hAnsi="Times New Roman"/>
                <w:i/>
                <w:iCs/>
                <w:sz w:val="16"/>
                <w:szCs w:val="16"/>
              </w:rPr>
              <w:t>endosbehållare</w:t>
            </w:r>
            <w:proofErr w:type="spellEnd"/>
            <w:r w:rsidRPr="00AF7253">
              <w:rPr>
                <w:rFonts w:ascii="Times New Roman" w:hAnsi="Times New Roman"/>
                <w:i/>
                <w:iCs/>
                <w:sz w:val="16"/>
                <w:szCs w:val="16"/>
              </w:rPr>
              <w:t>:</w:t>
            </w:r>
            <w:r w:rsidRPr="00AF7253">
              <w:rPr>
                <w:rFonts w:ascii="Times New Roman" w:hAnsi="Times New Roman"/>
                <w:sz w:val="16"/>
                <w:szCs w:val="16"/>
              </w:rPr>
              <w:t> 1 droppe i vartdera ögat. En </w:t>
            </w:r>
            <w:proofErr w:type="spellStart"/>
            <w:r w:rsidRPr="00AF7253">
              <w:rPr>
                <w:rFonts w:ascii="Times New Roman" w:hAnsi="Times New Roman"/>
                <w:sz w:val="16"/>
                <w:szCs w:val="16"/>
              </w:rPr>
              <w:t>endosbehållare</w:t>
            </w:r>
            <w:proofErr w:type="spellEnd"/>
            <w:r w:rsidRPr="00AF7253">
              <w:rPr>
                <w:rFonts w:ascii="Times New Roman" w:hAnsi="Times New Roman"/>
                <w:sz w:val="16"/>
                <w:szCs w:val="16"/>
              </w:rPr>
              <w:t> räcker för behandling av båda ögonen.</w:t>
            </w:r>
          </w:p>
          <w:p w14:paraId="279BB1C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Vid administrering av andra läkemedel i ögat skall </w:t>
            </w:r>
            <w:proofErr w:type="spellStart"/>
            <w:r w:rsidRPr="00AF7253">
              <w:rPr>
                <w:rFonts w:ascii="Times New Roman" w:hAnsi="Times New Roman"/>
                <w:sz w:val="16"/>
                <w:szCs w:val="16"/>
              </w:rPr>
              <w:t>Artelac</w:t>
            </w:r>
            <w:proofErr w:type="spellEnd"/>
            <w:r w:rsidRPr="00AF7253">
              <w:rPr>
                <w:rFonts w:ascii="Times New Roman" w:hAnsi="Times New Roman"/>
                <w:sz w:val="16"/>
                <w:szCs w:val="16"/>
              </w:rPr>
              <w:t xml:space="preserve"> alltid tillföras sist och tidigast 5 minuter efter de övriga medlen.</w:t>
            </w:r>
          </w:p>
          <w:p w14:paraId="1B00D75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Artelac</w:t>
            </w:r>
            <w:proofErr w:type="spellEnd"/>
            <w:r w:rsidRPr="00AF7253">
              <w:rPr>
                <w:rFonts w:ascii="Times New Roman" w:hAnsi="Times New Roman"/>
                <w:sz w:val="16"/>
                <w:szCs w:val="16"/>
              </w:rPr>
              <w:t> ögondroppar i </w:t>
            </w:r>
            <w:proofErr w:type="spellStart"/>
            <w:r w:rsidRPr="00AF7253">
              <w:rPr>
                <w:rFonts w:ascii="Times New Roman" w:hAnsi="Times New Roman"/>
                <w:sz w:val="16"/>
                <w:szCs w:val="16"/>
              </w:rPr>
              <w:t>endosbehållare</w:t>
            </w:r>
            <w:proofErr w:type="spellEnd"/>
            <w:r w:rsidRPr="00AF7253">
              <w:rPr>
                <w:rFonts w:ascii="Times New Roman" w:hAnsi="Times New Roman"/>
                <w:sz w:val="16"/>
                <w:szCs w:val="16"/>
              </w:rPr>
              <w:t> innehåller inte konserveringsmedel varför de kan användas tillsammans med kontaktlinser.</w:t>
            </w:r>
          </w:p>
        </w:tc>
      </w:tr>
      <w:tr w:rsidR="00785138" w:rsidRPr="00AF7253" w14:paraId="4F841A04" w14:textId="77777777" w:rsidTr="00636E8C">
        <w:trPr>
          <w:trHeight w:val="258"/>
        </w:trPr>
        <w:tc>
          <w:tcPr>
            <w:cnfStyle w:val="001000000000" w:firstRow="0" w:lastRow="0" w:firstColumn="1" w:lastColumn="0" w:oddVBand="0" w:evenVBand="0" w:oddHBand="0" w:evenHBand="0" w:firstRowFirstColumn="0" w:firstRowLastColumn="0" w:lastRowFirstColumn="0" w:lastRowLastColumn="0"/>
            <w:tcW w:w="1888" w:type="dxa"/>
          </w:tcPr>
          <w:p w14:paraId="31EA1A47"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Buccolam</w:t>
            </w:r>
            <w:proofErr w:type="spellEnd"/>
            <w:r w:rsidRPr="00AF7253">
              <w:rPr>
                <w:rFonts w:ascii="Times New Roman" w:hAnsi="Times New Roman"/>
                <w:sz w:val="16"/>
                <w:szCs w:val="16"/>
              </w:rPr>
              <w:t xml:space="preserve"> munhålelösning 10 mg</w:t>
            </w:r>
          </w:p>
          <w:p w14:paraId="7CFEE2AA"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Neuraxpharm</w:t>
            </w:r>
            <w:proofErr w:type="spellEnd"/>
            <w:r w:rsidRPr="00AF7253">
              <w:rPr>
                <w:rFonts w:ascii="Times New Roman" w:hAnsi="Times New Roman"/>
                <w:sz w:val="16"/>
                <w:szCs w:val="16"/>
              </w:rPr>
              <w:t xml:space="preserve"> Sweden</w:t>
            </w:r>
          </w:p>
          <w:p w14:paraId="594AA1E5" w14:textId="77777777" w:rsidR="00AF7253" w:rsidRPr="00AF7253" w:rsidRDefault="00AF7253" w:rsidP="00AF7253">
            <w:pPr>
              <w:spacing w:after="160" w:line="259" w:lineRule="auto"/>
              <w:ind w:left="0" w:right="0"/>
              <w:rPr>
                <w:rFonts w:ascii="Times New Roman" w:hAnsi="Times New Roman"/>
                <w:sz w:val="16"/>
                <w:szCs w:val="16"/>
              </w:rPr>
            </w:pPr>
          </w:p>
        </w:tc>
        <w:tc>
          <w:tcPr>
            <w:tcW w:w="769" w:type="dxa"/>
          </w:tcPr>
          <w:p w14:paraId="1F31BE1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10mg</w:t>
            </w:r>
          </w:p>
        </w:tc>
        <w:tc>
          <w:tcPr>
            <w:tcW w:w="695" w:type="dxa"/>
          </w:tcPr>
          <w:p w14:paraId="5255268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w:t>
            </w:r>
          </w:p>
        </w:tc>
        <w:tc>
          <w:tcPr>
            <w:tcW w:w="805" w:type="dxa"/>
          </w:tcPr>
          <w:p w14:paraId="27B4FF0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20mg</w:t>
            </w:r>
          </w:p>
        </w:tc>
        <w:tc>
          <w:tcPr>
            <w:tcW w:w="1215" w:type="dxa"/>
          </w:tcPr>
          <w:p w14:paraId="65A7DF5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74310BB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Ep-Anfall</w:t>
            </w:r>
          </w:p>
        </w:tc>
        <w:tc>
          <w:tcPr>
            <w:tcW w:w="3427" w:type="dxa"/>
          </w:tcPr>
          <w:p w14:paraId="189B3AE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den aktiva substansen eller mot något hjälpämne</w:t>
            </w:r>
          </w:p>
          <w:p w14:paraId="162F9E7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Sömnapnésyndrom, </w:t>
            </w:r>
            <w:proofErr w:type="spellStart"/>
            <w:r w:rsidRPr="00AF7253">
              <w:rPr>
                <w:rFonts w:ascii="Times New Roman" w:hAnsi="Times New Roman"/>
                <w:sz w:val="16"/>
                <w:szCs w:val="16"/>
              </w:rPr>
              <w:t>Myasthenia</w:t>
            </w:r>
            <w:proofErr w:type="spellEnd"/>
            <w:r w:rsidRPr="00AF7253">
              <w:rPr>
                <w:rFonts w:ascii="Times New Roman" w:hAnsi="Times New Roman"/>
                <w:sz w:val="16"/>
                <w:szCs w:val="16"/>
              </w:rPr>
              <w:t xml:space="preserve"> gravis, svår andningsinsufficiens, nedsatt leverfunktion</w:t>
            </w:r>
          </w:p>
        </w:tc>
        <w:tc>
          <w:tcPr>
            <w:tcW w:w="3360" w:type="dxa"/>
          </w:tcPr>
          <w:p w14:paraId="3BDE057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Kan upprepas efter </w:t>
            </w:r>
            <w:proofErr w:type="gramStart"/>
            <w:r w:rsidRPr="00AF7253">
              <w:rPr>
                <w:rFonts w:ascii="Times New Roman" w:hAnsi="Times New Roman"/>
                <w:sz w:val="16"/>
                <w:szCs w:val="16"/>
              </w:rPr>
              <w:t>15-20</w:t>
            </w:r>
            <w:proofErr w:type="gramEnd"/>
            <w:r w:rsidRPr="00AF7253">
              <w:rPr>
                <w:rFonts w:ascii="Times New Roman" w:hAnsi="Times New Roman"/>
                <w:sz w:val="16"/>
                <w:szCs w:val="16"/>
              </w:rPr>
              <w:t xml:space="preserve"> minuter igen vid behov</w:t>
            </w:r>
          </w:p>
        </w:tc>
      </w:tr>
      <w:tr w:rsidR="00785138" w:rsidRPr="00AF7253" w14:paraId="30D669E9" w14:textId="77777777" w:rsidTr="00636E8C">
        <w:trPr>
          <w:trHeight w:val="258"/>
        </w:trPr>
        <w:tc>
          <w:tcPr>
            <w:cnfStyle w:val="001000000000" w:firstRow="0" w:lastRow="0" w:firstColumn="1" w:lastColumn="0" w:oddVBand="0" w:evenVBand="0" w:oddHBand="0" w:evenHBand="0" w:firstRowFirstColumn="0" w:firstRowLastColumn="0" w:lastRowFirstColumn="0" w:lastRowLastColumn="0"/>
            <w:tcW w:w="1888" w:type="dxa"/>
          </w:tcPr>
          <w:p w14:paraId="19E6F45B"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Dentan</w:t>
            </w:r>
            <w:proofErr w:type="spellEnd"/>
            <w:r w:rsidRPr="00AF7253">
              <w:rPr>
                <w:rFonts w:ascii="Times New Roman" w:hAnsi="Times New Roman"/>
                <w:sz w:val="16"/>
                <w:szCs w:val="16"/>
              </w:rPr>
              <w:t xml:space="preserve"> Mint munsköljvätska 0,2 %</w:t>
            </w:r>
          </w:p>
        </w:tc>
        <w:tc>
          <w:tcPr>
            <w:tcW w:w="769" w:type="dxa"/>
          </w:tcPr>
          <w:p w14:paraId="4C3905E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10ml</w:t>
            </w:r>
          </w:p>
        </w:tc>
        <w:tc>
          <w:tcPr>
            <w:tcW w:w="695" w:type="dxa"/>
          </w:tcPr>
          <w:p w14:paraId="42A517C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gramStart"/>
            <w:r w:rsidRPr="00AF7253">
              <w:rPr>
                <w:rFonts w:ascii="Times New Roman" w:hAnsi="Times New Roman"/>
                <w:sz w:val="16"/>
                <w:szCs w:val="16"/>
              </w:rPr>
              <w:t>1-2</w:t>
            </w:r>
            <w:proofErr w:type="gramEnd"/>
            <w:r w:rsidRPr="00AF7253">
              <w:rPr>
                <w:rFonts w:ascii="Times New Roman" w:hAnsi="Times New Roman"/>
                <w:color w:val="222222"/>
                <w:sz w:val="16"/>
                <w:szCs w:val="16"/>
              </w:rPr>
              <w:t xml:space="preserve"> </w:t>
            </w:r>
          </w:p>
          <w:p w14:paraId="528E46D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805" w:type="dxa"/>
          </w:tcPr>
          <w:p w14:paraId="373FC71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20ml</w:t>
            </w:r>
          </w:p>
        </w:tc>
        <w:tc>
          <w:tcPr>
            <w:tcW w:w="1215" w:type="dxa"/>
          </w:tcPr>
          <w:p w14:paraId="24C5D7A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lokalt munsöljamedel</w:t>
            </w:r>
          </w:p>
        </w:tc>
        <w:tc>
          <w:tcPr>
            <w:tcW w:w="1977" w:type="dxa"/>
          </w:tcPr>
          <w:p w14:paraId="54EE3B9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Förhöjd kariesrisk, hög kariesaktivitet</w:t>
            </w:r>
          </w:p>
          <w:p w14:paraId="5271E71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427" w:type="dxa"/>
          </w:tcPr>
          <w:p w14:paraId="76BBADF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den aktiva substansen eller mot något hjälpämne</w:t>
            </w:r>
          </w:p>
        </w:tc>
        <w:tc>
          <w:tcPr>
            <w:tcW w:w="3360" w:type="dxa"/>
          </w:tcPr>
          <w:p w14:paraId="190D5DD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785138" w:rsidRPr="00AF7253" w14:paraId="73079CBA" w14:textId="77777777" w:rsidTr="00636E8C">
        <w:trPr>
          <w:trHeight w:val="258"/>
        </w:trPr>
        <w:tc>
          <w:tcPr>
            <w:cnfStyle w:val="001000000000" w:firstRow="0" w:lastRow="0" w:firstColumn="1" w:lastColumn="0" w:oddVBand="0" w:evenVBand="0" w:oddHBand="0" w:evenHBand="0" w:firstRowFirstColumn="0" w:firstRowLastColumn="0" w:lastRowFirstColumn="0" w:lastRowLastColumn="0"/>
            <w:tcW w:w="1888" w:type="dxa"/>
          </w:tcPr>
          <w:p w14:paraId="2CA9D0D5"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lastRenderedPageBreak/>
              <w:t>Desloratadin</w:t>
            </w:r>
            <w:proofErr w:type="spellEnd"/>
            <w:r w:rsidRPr="00AF7253">
              <w:rPr>
                <w:rFonts w:ascii="Times New Roman" w:hAnsi="Times New Roman"/>
                <w:sz w:val="16"/>
                <w:szCs w:val="16"/>
              </w:rPr>
              <w:t xml:space="preserve"> filmdragerad tablett 5 mg</w:t>
            </w:r>
          </w:p>
        </w:tc>
        <w:tc>
          <w:tcPr>
            <w:tcW w:w="769" w:type="dxa"/>
          </w:tcPr>
          <w:p w14:paraId="09BD5645"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3FA35535"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7808984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1215" w:type="dxa"/>
          </w:tcPr>
          <w:p w14:paraId="7CC8088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20FC30B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För lindring av symtom i samband med:</w:t>
            </w:r>
          </w:p>
          <w:p w14:paraId="05E6625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allergisk rinit </w:t>
            </w:r>
          </w:p>
          <w:p w14:paraId="7258108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w:t>
            </w:r>
            <w:proofErr w:type="spellStart"/>
            <w:r w:rsidRPr="00AF7253">
              <w:rPr>
                <w:rFonts w:ascii="Times New Roman" w:hAnsi="Times New Roman"/>
                <w:sz w:val="16"/>
                <w:szCs w:val="16"/>
              </w:rPr>
              <w:t>urtikaria</w:t>
            </w:r>
            <w:proofErr w:type="spellEnd"/>
            <w:r w:rsidRPr="00AF7253">
              <w:rPr>
                <w:rFonts w:ascii="Times New Roman" w:hAnsi="Times New Roman"/>
                <w:sz w:val="16"/>
                <w:szCs w:val="16"/>
              </w:rPr>
              <w:t> </w:t>
            </w:r>
          </w:p>
        </w:tc>
        <w:tc>
          <w:tcPr>
            <w:tcW w:w="3427" w:type="dxa"/>
          </w:tcPr>
          <w:p w14:paraId="377EF23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den aktiva substansen eller mot något hjälpämne</w:t>
            </w:r>
          </w:p>
        </w:tc>
        <w:tc>
          <w:tcPr>
            <w:tcW w:w="3360" w:type="dxa"/>
          </w:tcPr>
          <w:p w14:paraId="1C1F2CD5"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785138" w:rsidRPr="00AF7253" w14:paraId="2E28469D"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06147200"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Diazepam</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Destin</w:t>
            </w:r>
            <w:proofErr w:type="spellEnd"/>
            <w:r w:rsidRPr="00AF7253">
              <w:rPr>
                <w:rFonts w:ascii="Times New Roman" w:hAnsi="Times New Roman"/>
                <w:sz w:val="16"/>
                <w:szCs w:val="16"/>
              </w:rPr>
              <w:t xml:space="preserve"> rektallösning 10mg </w:t>
            </w:r>
            <w:proofErr w:type="spellStart"/>
            <w:r w:rsidRPr="00AF7253">
              <w:rPr>
                <w:rFonts w:ascii="Times New Roman" w:hAnsi="Times New Roman"/>
                <w:sz w:val="16"/>
                <w:szCs w:val="16"/>
              </w:rPr>
              <w:t>Destin</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Pharma</w:t>
            </w:r>
            <w:proofErr w:type="spellEnd"/>
          </w:p>
        </w:tc>
        <w:tc>
          <w:tcPr>
            <w:tcW w:w="769" w:type="dxa"/>
          </w:tcPr>
          <w:p w14:paraId="5966292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3F460ED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7DB34A9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1215" w:type="dxa"/>
          </w:tcPr>
          <w:p w14:paraId="6241FE9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rektal</w:t>
            </w:r>
          </w:p>
        </w:tc>
        <w:tc>
          <w:tcPr>
            <w:tcW w:w="1977" w:type="dxa"/>
          </w:tcPr>
          <w:p w14:paraId="18D1B2D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Vid akut epilepsianfall</w:t>
            </w:r>
          </w:p>
        </w:tc>
        <w:tc>
          <w:tcPr>
            <w:tcW w:w="3427" w:type="dxa"/>
          </w:tcPr>
          <w:p w14:paraId="3FC79C5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den aktiva substansen eller mot något hjälpämne</w:t>
            </w:r>
          </w:p>
          <w:p w14:paraId="67C6214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Sömnapnésyndrom, </w:t>
            </w:r>
            <w:proofErr w:type="spellStart"/>
            <w:r w:rsidRPr="00AF7253">
              <w:rPr>
                <w:rFonts w:ascii="Times New Roman" w:hAnsi="Times New Roman"/>
                <w:sz w:val="16"/>
                <w:szCs w:val="16"/>
              </w:rPr>
              <w:t>Myasthenia</w:t>
            </w:r>
            <w:proofErr w:type="spellEnd"/>
            <w:r w:rsidRPr="00AF7253">
              <w:rPr>
                <w:rFonts w:ascii="Times New Roman" w:hAnsi="Times New Roman"/>
                <w:sz w:val="16"/>
                <w:szCs w:val="16"/>
              </w:rPr>
              <w:t xml:space="preserve"> gravis, svår andningsinsufficiens, nedsatt leverfunktion</w:t>
            </w:r>
          </w:p>
        </w:tc>
        <w:tc>
          <w:tcPr>
            <w:tcW w:w="3360" w:type="dxa"/>
          </w:tcPr>
          <w:p w14:paraId="36F69E6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Vid behandling av äldre eller svagare patienter med högre doser bör andning och blodtryck följas</w:t>
            </w:r>
          </w:p>
        </w:tc>
      </w:tr>
      <w:tr w:rsidR="00785138" w:rsidRPr="00AF7253" w14:paraId="0E7792C6"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5A29C369"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Dimor</w:t>
            </w:r>
            <w:proofErr w:type="spellEnd"/>
            <w:r w:rsidRPr="00AF7253">
              <w:rPr>
                <w:rFonts w:ascii="Times New Roman" w:hAnsi="Times New Roman"/>
                <w:sz w:val="16"/>
                <w:szCs w:val="16"/>
              </w:rPr>
              <w:t xml:space="preserve"> 2mg</w:t>
            </w:r>
          </w:p>
        </w:tc>
        <w:tc>
          <w:tcPr>
            <w:tcW w:w="769" w:type="dxa"/>
          </w:tcPr>
          <w:p w14:paraId="0F3A6CD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2st</w:t>
            </w:r>
          </w:p>
        </w:tc>
        <w:tc>
          <w:tcPr>
            <w:tcW w:w="695" w:type="dxa"/>
          </w:tcPr>
          <w:p w14:paraId="4F6E117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4</w:t>
            </w:r>
          </w:p>
        </w:tc>
        <w:tc>
          <w:tcPr>
            <w:tcW w:w="805" w:type="dxa"/>
          </w:tcPr>
          <w:p w14:paraId="4CA156F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8st</w:t>
            </w:r>
          </w:p>
        </w:tc>
        <w:tc>
          <w:tcPr>
            <w:tcW w:w="1215" w:type="dxa"/>
          </w:tcPr>
          <w:p w14:paraId="64919C1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411EFDB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Vid akuta ospecifika diarréer och kroniska diarrétillstånd</w:t>
            </w:r>
          </w:p>
        </w:tc>
        <w:tc>
          <w:tcPr>
            <w:tcW w:w="3427" w:type="dxa"/>
          </w:tcPr>
          <w:p w14:paraId="5CF7647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Överkänslighet mot den aktiva substansen eller mot något hjälpämne </w:t>
            </w:r>
            <w:proofErr w:type="spellStart"/>
            <w:r w:rsidRPr="00AF7253">
              <w:rPr>
                <w:rFonts w:ascii="Times New Roman" w:hAnsi="Times New Roman"/>
                <w:sz w:val="16"/>
                <w:szCs w:val="16"/>
              </w:rPr>
              <w:t>Dimor</w:t>
            </w:r>
            <w:proofErr w:type="spellEnd"/>
            <w:r w:rsidRPr="00AF7253">
              <w:rPr>
                <w:rFonts w:ascii="Times New Roman" w:hAnsi="Times New Roman"/>
                <w:sz w:val="16"/>
                <w:szCs w:val="16"/>
              </w:rPr>
              <w:t xml:space="preserve"> ska inte användas som förstahandsterapi:</w:t>
            </w:r>
          </w:p>
          <w:p w14:paraId="19D6EC8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hos patienter med akut dysenteri karakteriserad av blod i avföringen och hög feber,</w:t>
            </w:r>
            <w:r w:rsidRPr="00AF7253">
              <w:rPr>
                <w:rFonts w:ascii="Times New Roman" w:hAnsi="Times New Roman"/>
                <w:sz w:val="16"/>
                <w:szCs w:val="16"/>
              </w:rPr>
              <w:br/>
              <w:t>- hos patienter med akut ulcerös kolit,</w:t>
            </w:r>
            <w:r w:rsidRPr="00AF7253">
              <w:rPr>
                <w:rFonts w:ascii="Times New Roman" w:hAnsi="Times New Roman"/>
                <w:sz w:val="16"/>
                <w:szCs w:val="16"/>
              </w:rPr>
              <w:br/>
              <w:t>- hos patienter med bakteriell </w:t>
            </w:r>
            <w:proofErr w:type="spellStart"/>
            <w:r w:rsidRPr="00AF7253">
              <w:rPr>
                <w:rFonts w:ascii="Times New Roman" w:hAnsi="Times New Roman"/>
                <w:sz w:val="16"/>
                <w:szCs w:val="16"/>
              </w:rPr>
              <w:t>enterokolit</w:t>
            </w:r>
            <w:proofErr w:type="spellEnd"/>
            <w:r w:rsidRPr="00AF7253">
              <w:rPr>
                <w:rFonts w:ascii="Times New Roman" w:hAnsi="Times New Roman"/>
                <w:sz w:val="16"/>
                <w:szCs w:val="16"/>
              </w:rPr>
              <w:t xml:space="preserve"> orsakad av </w:t>
            </w:r>
            <w:proofErr w:type="spellStart"/>
            <w:r w:rsidRPr="00AF7253">
              <w:rPr>
                <w:rFonts w:ascii="Times New Roman" w:hAnsi="Times New Roman"/>
                <w:sz w:val="16"/>
                <w:szCs w:val="16"/>
              </w:rPr>
              <w:t>invasiva</w:t>
            </w:r>
            <w:proofErr w:type="spellEnd"/>
            <w:r w:rsidRPr="00AF7253">
              <w:rPr>
                <w:rFonts w:ascii="Times New Roman" w:hAnsi="Times New Roman"/>
                <w:sz w:val="16"/>
                <w:szCs w:val="16"/>
              </w:rPr>
              <w:t> organismer, inklusive Salmonella, </w:t>
            </w:r>
            <w:proofErr w:type="spellStart"/>
            <w:r w:rsidRPr="00AF7253">
              <w:rPr>
                <w:rFonts w:ascii="Times New Roman" w:hAnsi="Times New Roman"/>
                <w:sz w:val="16"/>
                <w:szCs w:val="16"/>
              </w:rPr>
              <w:t>Shigella</w:t>
            </w:r>
            <w:proofErr w:type="spellEnd"/>
            <w:r w:rsidRPr="00AF7253">
              <w:rPr>
                <w:rFonts w:ascii="Times New Roman" w:hAnsi="Times New Roman"/>
                <w:sz w:val="16"/>
                <w:szCs w:val="16"/>
              </w:rPr>
              <w:t> och </w:t>
            </w:r>
            <w:proofErr w:type="spellStart"/>
            <w:r w:rsidRPr="00AF7253">
              <w:rPr>
                <w:rFonts w:ascii="Times New Roman" w:hAnsi="Times New Roman"/>
                <w:sz w:val="16"/>
                <w:szCs w:val="16"/>
              </w:rPr>
              <w:t>Campylobacter</w:t>
            </w:r>
            <w:proofErr w:type="spellEnd"/>
            <w:r w:rsidRPr="00AF7253">
              <w:rPr>
                <w:rFonts w:ascii="Times New Roman" w:hAnsi="Times New Roman"/>
                <w:sz w:val="16"/>
                <w:szCs w:val="16"/>
              </w:rPr>
              <w:t>,</w:t>
            </w:r>
            <w:r w:rsidRPr="00AF7253">
              <w:rPr>
                <w:rFonts w:ascii="Times New Roman" w:hAnsi="Times New Roman"/>
                <w:sz w:val="16"/>
                <w:szCs w:val="16"/>
              </w:rPr>
              <w:br/>
              <w:t xml:space="preserve">- hos patienter med </w:t>
            </w:r>
            <w:proofErr w:type="spellStart"/>
            <w:r w:rsidRPr="00AF7253">
              <w:rPr>
                <w:rFonts w:ascii="Times New Roman" w:hAnsi="Times New Roman"/>
                <w:sz w:val="16"/>
                <w:szCs w:val="16"/>
              </w:rPr>
              <w:t>pseudomembranös</w:t>
            </w:r>
            <w:proofErr w:type="spellEnd"/>
            <w:r w:rsidRPr="00AF7253">
              <w:rPr>
                <w:rFonts w:ascii="Times New Roman" w:hAnsi="Times New Roman"/>
                <w:sz w:val="16"/>
                <w:szCs w:val="16"/>
              </w:rPr>
              <w:t> kolit till följd av behandling med bredspektrumantibiotika.</w:t>
            </w:r>
          </w:p>
          <w:p w14:paraId="653D883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Dimor</w:t>
            </w:r>
            <w:proofErr w:type="spellEnd"/>
            <w:r w:rsidRPr="00AF7253">
              <w:rPr>
                <w:rFonts w:ascii="Times New Roman" w:hAnsi="Times New Roman"/>
                <w:sz w:val="16"/>
                <w:szCs w:val="16"/>
              </w:rPr>
              <w:t xml:space="preserve"> bör inte användas när hämmad peristaltik ska undvikas på grund av möjlig risk för betydande </w:t>
            </w:r>
            <w:proofErr w:type="spellStart"/>
            <w:r w:rsidRPr="00AF7253">
              <w:rPr>
                <w:rFonts w:ascii="Times New Roman" w:hAnsi="Times New Roman"/>
                <w:sz w:val="16"/>
                <w:szCs w:val="16"/>
              </w:rPr>
              <w:t>sequele</w:t>
            </w:r>
            <w:proofErr w:type="spellEnd"/>
            <w:r w:rsidRPr="00AF7253">
              <w:rPr>
                <w:rFonts w:ascii="Times New Roman" w:hAnsi="Times New Roman"/>
                <w:sz w:val="16"/>
                <w:szCs w:val="16"/>
              </w:rPr>
              <w:t>, inklusive </w:t>
            </w:r>
            <w:proofErr w:type="spellStart"/>
            <w:r w:rsidRPr="00AF7253">
              <w:rPr>
                <w:rFonts w:ascii="Times New Roman" w:hAnsi="Times New Roman"/>
                <w:sz w:val="16"/>
                <w:szCs w:val="16"/>
              </w:rPr>
              <w:t>ileus</w:t>
            </w:r>
            <w:proofErr w:type="spellEnd"/>
            <w:r w:rsidRPr="00AF7253">
              <w:rPr>
                <w:rFonts w:ascii="Times New Roman" w:hAnsi="Times New Roman"/>
                <w:sz w:val="16"/>
                <w:szCs w:val="16"/>
              </w:rPr>
              <w:t>, megakolon och toxisk megakolon. Vid förstoppning, utspänd buk eller </w:t>
            </w:r>
            <w:proofErr w:type="spellStart"/>
            <w:r w:rsidRPr="00AF7253">
              <w:rPr>
                <w:rFonts w:ascii="Times New Roman" w:hAnsi="Times New Roman"/>
                <w:sz w:val="16"/>
                <w:szCs w:val="16"/>
              </w:rPr>
              <w:t>ileus</w:t>
            </w:r>
            <w:proofErr w:type="spellEnd"/>
            <w:r w:rsidRPr="00AF7253">
              <w:rPr>
                <w:rFonts w:ascii="Times New Roman" w:hAnsi="Times New Roman"/>
                <w:sz w:val="16"/>
                <w:szCs w:val="16"/>
              </w:rPr>
              <w:t xml:space="preserve"> ska behandling med </w:t>
            </w:r>
            <w:proofErr w:type="spellStart"/>
            <w:r w:rsidRPr="00AF7253">
              <w:rPr>
                <w:rFonts w:ascii="Times New Roman" w:hAnsi="Times New Roman"/>
                <w:sz w:val="16"/>
                <w:szCs w:val="16"/>
              </w:rPr>
              <w:t>Dimor</w:t>
            </w:r>
            <w:proofErr w:type="spellEnd"/>
            <w:r w:rsidRPr="00AF7253">
              <w:rPr>
                <w:rFonts w:ascii="Times New Roman" w:hAnsi="Times New Roman"/>
                <w:sz w:val="16"/>
                <w:szCs w:val="16"/>
              </w:rPr>
              <w:t xml:space="preserve"> avbrytas omedelbart.</w:t>
            </w:r>
          </w:p>
        </w:tc>
        <w:tc>
          <w:tcPr>
            <w:tcW w:w="3360" w:type="dxa"/>
          </w:tcPr>
          <w:p w14:paraId="04A0235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Behandlingen inleds med 4 mg. Därefter 2 mg efter varje avföringstillfälle med diarré. Vänta dock </w:t>
            </w:r>
            <w:proofErr w:type="gramStart"/>
            <w:r w:rsidRPr="00AF7253">
              <w:rPr>
                <w:rFonts w:ascii="Times New Roman" w:hAnsi="Times New Roman"/>
                <w:sz w:val="16"/>
                <w:szCs w:val="16"/>
              </w:rPr>
              <w:t>2-3</w:t>
            </w:r>
            <w:proofErr w:type="gramEnd"/>
            <w:r w:rsidRPr="00AF7253">
              <w:rPr>
                <w:rFonts w:ascii="Times New Roman" w:hAnsi="Times New Roman"/>
                <w:sz w:val="16"/>
                <w:szCs w:val="16"/>
              </w:rPr>
              <w:t xml:space="preserve"> timmar mellan första och andra dosen. Dygnsdosen bör inte överskrida 16 mg.</w:t>
            </w:r>
          </w:p>
        </w:tc>
      </w:tr>
      <w:tr w:rsidR="00785138" w:rsidRPr="00AF7253" w14:paraId="4ABBB15F"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1C468030"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Fludent</w:t>
            </w:r>
            <w:proofErr w:type="spellEnd"/>
            <w:r w:rsidRPr="00AF7253">
              <w:rPr>
                <w:rFonts w:ascii="Times New Roman" w:hAnsi="Times New Roman"/>
                <w:sz w:val="16"/>
                <w:szCs w:val="16"/>
              </w:rPr>
              <w:t xml:space="preserve"> Mint Sugtablett Karo </w:t>
            </w:r>
            <w:proofErr w:type="spellStart"/>
            <w:r w:rsidRPr="00AF7253">
              <w:rPr>
                <w:rFonts w:ascii="Times New Roman" w:hAnsi="Times New Roman"/>
                <w:sz w:val="16"/>
                <w:szCs w:val="16"/>
              </w:rPr>
              <w:t>Pharma</w:t>
            </w:r>
            <w:proofErr w:type="spellEnd"/>
          </w:p>
        </w:tc>
        <w:tc>
          <w:tcPr>
            <w:tcW w:w="769" w:type="dxa"/>
          </w:tcPr>
          <w:p w14:paraId="57B0652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2524D64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6</w:t>
            </w:r>
          </w:p>
        </w:tc>
        <w:tc>
          <w:tcPr>
            <w:tcW w:w="805" w:type="dxa"/>
          </w:tcPr>
          <w:p w14:paraId="113DC84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6st</w:t>
            </w:r>
          </w:p>
        </w:tc>
        <w:tc>
          <w:tcPr>
            <w:tcW w:w="1215" w:type="dxa"/>
          </w:tcPr>
          <w:p w14:paraId="0A38F4C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46135DD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Förhöjd kariesrisk. Hög kariesaktivitet.</w:t>
            </w:r>
          </w:p>
        </w:tc>
        <w:tc>
          <w:tcPr>
            <w:tcW w:w="3427" w:type="dxa"/>
          </w:tcPr>
          <w:p w14:paraId="7004025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det aktiva innehållsämnet eller mot något hjälpämne</w:t>
            </w:r>
          </w:p>
        </w:tc>
        <w:tc>
          <w:tcPr>
            <w:tcW w:w="3360" w:type="dxa"/>
          </w:tcPr>
          <w:p w14:paraId="64DB438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785138" w:rsidRPr="00AF7253" w14:paraId="42FF6336"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1D905CFC"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Hirudoid</w:t>
            </w:r>
            <w:proofErr w:type="spellEnd"/>
            <w:r w:rsidRPr="00AF7253">
              <w:rPr>
                <w:rFonts w:ascii="Times New Roman" w:hAnsi="Times New Roman"/>
                <w:sz w:val="16"/>
                <w:szCs w:val="16"/>
              </w:rPr>
              <w:t xml:space="preserve"> Kräm STADA Nordic </w:t>
            </w:r>
            <w:proofErr w:type="spellStart"/>
            <w:r w:rsidRPr="00AF7253">
              <w:rPr>
                <w:rFonts w:ascii="Times New Roman" w:hAnsi="Times New Roman"/>
                <w:sz w:val="16"/>
                <w:szCs w:val="16"/>
              </w:rPr>
              <w:t>ApS</w:t>
            </w:r>
            <w:proofErr w:type="spellEnd"/>
          </w:p>
        </w:tc>
        <w:tc>
          <w:tcPr>
            <w:tcW w:w="769" w:type="dxa"/>
          </w:tcPr>
          <w:p w14:paraId="464BF05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1dos/er</w:t>
            </w:r>
          </w:p>
        </w:tc>
        <w:tc>
          <w:tcPr>
            <w:tcW w:w="695" w:type="dxa"/>
          </w:tcPr>
          <w:p w14:paraId="6A50D7D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4</w:t>
            </w:r>
          </w:p>
        </w:tc>
        <w:tc>
          <w:tcPr>
            <w:tcW w:w="805" w:type="dxa"/>
          </w:tcPr>
          <w:p w14:paraId="3A74DB2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4 dos/er</w:t>
            </w:r>
          </w:p>
        </w:tc>
        <w:tc>
          <w:tcPr>
            <w:tcW w:w="1215" w:type="dxa"/>
          </w:tcPr>
          <w:p w14:paraId="30071ED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utvärtes</w:t>
            </w:r>
          </w:p>
        </w:tc>
        <w:tc>
          <w:tcPr>
            <w:tcW w:w="1977" w:type="dxa"/>
          </w:tcPr>
          <w:p w14:paraId="1C35D04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Hematom</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tromboflebiter</w:t>
            </w:r>
            <w:proofErr w:type="spellEnd"/>
            <w:r w:rsidRPr="00AF7253">
              <w:rPr>
                <w:rFonts w:ascii="Times New Roman" w:hAnsi="Times New Roman"/>
                <w:sz w:val="16"/>
                <w:szCs w:val="16"/>
              </w:rPr>
              <w:t xml:space="preserve">, infusions- och </w:t>
            </w:r>
            <w:proofErr w:type="spellStart"/>
            <w:r w:rsidRPr="00AF7253">
              <w:rPr>
                <w:rFonts w:ascii="Times New Roman" w:hAnsi="Times New Roman"/>
                <w:sz w:val="16"/>
                <w:szCs w:val="16"/>
              </w:rPr>
              <w:t>injektionstromboflebiter</w:t>
            </w:r>
            <w:proofErr w:type="spellEnd"/>
          </w:p>
        </w:tc>
        <w:tc>
          <w:tcPr>
            <w:tcW w:w="3427" w:type="dxa"/>
          </w:tcPr>
          <w:p w14:paraId="57840EE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aktiv substans eller mot hjälpämnen.</w:t>
            </w:r>
          </w:p>
          <w:p w14:paraId="003CAF5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360" w:type="dxa"/>
          </w:tcPr>
          <w:p w14:paraId="331EE33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Bör inte användas på öppna sår, på skadad hud eller i ögonen.</w:t>
            </w:r>
          </w:p>
        </w:tc>
      </w:tr>
      <w:tr w:rsidR="00785138" w:rsidRPr="00AF7253" w14:paraId="1902A8CB"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5A8DF99D"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lastRenderedPageBreak/>
              <w:t xml:space="preserve">Hydrokortison </w:t>
            </w:r>
            <w:proofErr w:type="spellStart"/>
            <w:r w:rsidRPr="00AF7253">
              <w:rPr>
                <w:rFonts w:ascii="Times New Roman" w:hAnsi="Times New Roman"/>
                <w:sz w:val="16"/>
                <w:szCs w:val="16"/>
              </w:rPr>
              <w:t>Evolan</w:t>
            </w:r>
            <w:proofErr w:type="spellEnd"/>
            <w:r w:rsidRPr="00AF7253">
              <w:rPr>
                <w:rFonts w:ascii="Times New Roman" w:hAnsi="Times New Roman"/>
                <w:sz w:val="16"/>
                <w:szCs w:val="16"/>
              </w:rPr>
              <w:t xml:space="preserve"> Kräm 10mg/g </w:t>
            </w:r>
            <w:proofErr w:type="spellStart"/>
            <w:r w:rsidRPr="00AF7253">
              <w:rPr>
                <w:rFonts w:ascii="Times New Roman" w:hAnsi="Times New Roman"/>
                <w:sz w:val="16"/>
                <w:szCs w:val="16"/>
              </w:rPr>
              <w:t>Evolan</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Pharma</w:t>
            </w:r>
            <w:proofErr w:type="spellEnd"/>
          </w:p>
        </w:tc>
        <w:tc>
          <w:tcPr>
            <w:tcW w:w="769" w:type="dxa"/>
          </w:tcPr>
          <w:p w14:paraId="13ADE49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1dos/er</w:t>
            </w:r>
          </w:p>
        </w:tc>
        <w:tc>
          <w:tcPr>
            <w:tcW w:w="695" w:type="dxa"/>
          </w:tcPr>
          <w:p w14:paraId="11262AB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w:t>
            </w:r>
          </w:p>
        </w:tc>
        <w:tc>
          <w:tcPr>
            <w:tcW w:w="805" w:type="dxa"/>
          </w:tcPr>
          <w:p w14:paraId="0040EC5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 dos/er</w:t>
            </w:r>
          </w:p>
        </w:tc>
        <w:tc>
          <w:tcPr>
            <w:tcW w:w="1215" w:type="dxa"/>
          </w:tcPr>
          <w:p w14:paraId="55B6D0B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utvärtes</w:t>
            </w:r>
          </w:p>
        </w:tc>
        <w:tc>
          <w:tcPr>
            <w:tcW w:w="1977" w:type="dxa"/>
          </w:tcPr>
          <w:p w14:paraId="6171EEE5"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Vid lättare kliande hudirritationer utan infektion.</w:t>
            </w:r>
          </w:p>
        </w:tc>
        <w:tc>
          <w:tcPr>
            <w:tcW w:w="3427" w:type="dxa"/>
          </w:tcPr>
          <w:p w14:paraId="6AE6BD6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Vid infektioner, förorsakade av bakterier, patogena svampar eller parasiter.</w:t>
            </w:r>
          </w:p>
        </w:tc>
        <w:tc>
          <w:tcPr>
            <w:tcW w:w="3360" w:type="dxa"/>
          </w:tcPr>
          <w:p w14:paraId="30FDF09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Ej i ansiktet.</w:t>
            </w:r>
          </w:p>
        </w:tc>
      </w:tr>
      <w:tr w:rsidR="00785138" w:rsidRPr="00AF7253" w14:paraId="4BD33EDD"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16123D7A"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 xml:space="preserve">Ibuprofen 400mg </w:t>
            </w:r>
          </w:p>
        </w:tc>
        <w:tc>
          <w:tcPr>
            <w:tcW w:w="769" w:type="dxa"/>
          </w:tcPr>
          <w:p w14:paraId="54CD40F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6142472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3</w:t>
            </w:r>
          </w:p>
        </w:tc>
        <w:tc>
          <w:tcPr>
            <w:tcW w:w="805" w:type="dxa"/>
          </w:tcPr>
          <w:p w14:paraId="46B093E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3st</w:t>
            </w:r>
          </w:p>
        </w:tc>
        <w:tc>
          <w:tcPr>
            <w:tcW w:w="1215" w:type="dxa"/>
          </w:tcPr>
          <w:p w14:paraId="7F281FD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4159BFF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i/>
                <w:iCs/>
                <w:sz w:val="16"/>
                <w:szCs w:val="16"/>
              </w:rPr>
            </w:pPr>
            <w:r w:rsidRPr="00AF7253">
              <w:rPr>
                <w:rFonts w:ascii="Times New Roman" w:hAnsi="Times New Roman"/>
                <w:i/>
                <w:iCs/>
                <w:sz w:val="16"/>
                <w:szCs w:val="16"/>
              </w:rPr>
              <w:t>Akuta smärttillstånd och feber vid förkylningssjukdomar:</w:t>
            </w:r>
          </w:p>
          <w:p w14:paraId="2B271AC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i/>
                <w:iCs/>
                <w:sz w:val="16"/>
                <w:szCs w:val="16"/>
              </w:rPr>
            </w:pPr>
            <w:r w:rsidRPr="00AF7253">
              <w:rPr>
                <w:rFonts w:ascii="Times New Roman" w:hAnsi="Times New Roman"/>
                <w:i/>
                <w:iCs/>
                <w:sz w:val="16"/>
                <w:szCs w:val="16"/>
              </w:rPr>
              <w:t xml:space="preserve">Vuxna (över 40 kg): 400mg givet som enkeldos eller 3 gånger/dygn. </w:t>
            </w:r>
          </w:p>
          <w:p w14:paraId="163A7A1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i/>
                <w:iCs/>
                <w:sz w:val="16"/>
                <w:szCs w:val="16"/>
              </w:rPr>
            </w:pPr>
          </w:p>
          <w:p w14:paraId="5C6B8B1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i/>
                <w:iCs/>
                <w:sz w:val="16"/>
                <w:szCs w:val="16"/>
              </w:rPr>
              <w:t>Dysmenorré</w:t>
            </w:r>
            <w:proofErr w:type="spellEnd"/>
            <w:r w:rsidRPr="00AF7253">
              <w:rPr>
                <w:rFonts w:ascii="Times New Roman" w:hAnsi="Times New Roman"/>
                <w:i/>
                <w:iCs/>
                <w:sz w:val="16"/>
                <w:szCs w:val="16"/>
              </w:rPr>
              <w:t>:</w:t>
            </w:r>
          </w:p>
          <w:p w14:paraId="24C4DCE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400 mg </w:t>
            </w:r>
            <w:proofErr w:type="gramStart"/>
            <w:r w:rsidRPr="00AF7253">
              <w:rPr>
                <w:rFonts w:ascii="Times New Roman" w:hAnsi="Times New Roman"/>
                <w:sz w:val="16"/>
                <w:szCs w:val="16"/>
              </w:rPr>
              <w:t>1-3</w:t>
            </w:r>
            <w:proofErr w:type="gramEnd"/>
            <w:r w:rsidRPr="00AF7253">
              <w:rPr>
                <w:rFonts w:ascii="Times New Roman" w:hAnsi="Times New Roman"/>
                <w:sz w:val="16"/>
                <w:szCs w:val="16"/>
              </w:rPr>
              <w:t xml:space="preserve"> gånger/dygn </w:t>
            </w:r>
            <w:proofErr w:type="spellStart"/>
            <w:r w:rsidRPr="00AF7253">
              <w:rPr>
                <w:rFonts w:ascii="Times New Roman" w:hAnsi="Times New Roman"/>
                <w:sz w:val="16"/>
                <w:szCs w:val="16"/>
              </w:rPr>
              <w:t>vb</w:t>
            </w:r>
            <w:proofErr w:type="spellEnd"/>
            <w:r w:rsidRPr="00AF7253">
              <w:rPr>
                <w:rFonts w:ascii="Times New Roman" w:hAnsi="Times New Roman"/>
                <w:sz w:val="16"/>
                <w:szCs w:val="16"/>
              </w:rPr>
              <w:t xml:space="preserve"> Behandlingen påbörjas vid första tecken på menstruationsbesvär.</w:t>
            </w:r>
          </w:p>
        </w:tc>
        <w:tc>
          <w:tcPr>
            <w:tcW w:w="3427" w:type="dxa"/>
          </w:tcPr>
          <w:p w14:paraId="2F5B966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den aktiva substansen.</w:t>
            </w:r>
          </w:p>
          <w:p w14:paraId="67A603B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Aktivt </w:t>
            </w:r>
            <w:proofErr w:type="spellStart"/>
            <w:r w:rsidRPr="00AF7253">
              <w:rPr>
                <w:rFonts w:ascii="Times New Roman" w:hAnsi="Times New Roman"/>
                <w:sz w:val="16"/>
                <w:szCs w:val="16"/>
              </w:rPr>
              <w:t>ulcus</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ventriculi</w:t>
            </w:r>
            <w:proofErr w:type="spellEnd"/>
            <w:r w:rsidRPr="00AF7253">
              <w:rPr>
                <w:rFonts w:ascii="Times New Roman" w:hAnsi="Times New Roman"/>
                <w:sz w:val="16"/>
                <w:szCs w:val="16"/>
              </w:rPr>
              <w:t xml:space="preserve"> et </w:t>
            </w:r>
            <w:proofErr w:type="spellStart"/>
            <w:r w:rsidRPr="00AF7253">
              <w:rPr>
                <w:rFonts w:ascii="Times New Roman" w:hAnsi="Times New Roman"/>
                <w:sz w:val="16"/>
                <w:szCs w:val="16"/>
              </w:rPr>
              <w:t>duodeni</w:t>
            </w:r>
            <w:proofErr w:type="spellEnd"/>
            <w:r w:rsidRPr="00AF7253">
              <w:rPr>
                <w:rFonts w:ascii="Times New Roman" w:hAnsi="Times New Roman"/>
                <w:sz w:val="16"/>
                <w:szCs w:val="16"/>
              </w:rPr>
              <w:t xml:space="preserve"> eller anamnes på återkommande </w:t>
            </w:r>
            <w:proofErr w:type="spellStart"/>
            <w:r w:rsidRPr="00AF7253">
              <w:rPr>
                <w:rFonts w:ascii="Times New Roman" w:hAnsi="Times New Roman"/>
                <w:sz w:val="16"/>
                <w:szCs w:val="16"/>
              </w:rPr>
              <w:t>gastrointestinalt</w:t>
            </w:r>
            <w:proofErr w:type="spellEnd"/>
            <w:r w:rsidRPr="00AF7253">
              <w:rPr>
                <w:rFonts w:ascii="Times New Roman" w:hAnsi="Times New Roman"/>
                <w:sz w:val="16"/>
                <w:szCs w:val="16"/>
              </w:rPr>
              <w:t xml:space="preserve"> sår/ blödning (två eller flera tydliga episoder av påvisad </w:t>
            </w:r>
            <w:proofErr w:type="spellStart"/>
            <w:r w:rsidRPr="00AF7253">
              <w:rPr>
                <w:rFonts w:ascii="Times New Roman" w:hAnsi="Times New Roman"/>
                <w:sz w:val="16"/>
                <w:szCs w:val="16"/>
              </w:rPr>
              <w:t>ulceration</w:t>
            </w:r>
            <w:proofErr w:type="spellEnd"/>
            <w:r w:rsidRPr="00AF7253">
              <w:rPr>
                <w:rFonts w:ascii="Times New Roman" w:hAnsi="Times New Roman"/>
                <w:sz w:val="16"/>
                <w:szCs w:val="16"/>
              </w:rPr>
              <w:t> eller blödning).</w:t>
            </w:r>
          </w:p>
          <w:p w14:paraId="66E9B84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Gravt nedsatt leverfunktion.</w:t>
            </w:r>
          </w:p>
          <w:p w14:paraId="2F4F877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Svår hjärtsvikt. (NYHA-klass IV).</w:t>
            </w:r>
          </w:p>
          <w:p w14:paraId="190C838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Svår njursjukdom (</w:t>
            </w:r>
            <w:proofErr w:type="spellStart"/>
            <w:r w:rsidRPr="00AF7253">
              <w:rPr>
                <w:rFonts w:ascii="Times New Roman" w:hAnsi="Times New Roman"/>
                <w:sz w:val="16"/>
                <w:szCs w:val="16"/>
              </w:rPr>
              <w:t>glomerulusfiltration</w:t>
            </w:r>
            <w:proofErr w:type="spellEnd"/>
            <w:r w:rsidRPr="00AF7253">
              <w:rPr>
                <w:rFonts w:ascii="Times New Roman" w:hAnsi="Times New Roman"/>
                <w:sz w:val="16"/>
                <w:szCs w:val="16"/>
              </w:rPr>
              <w:t> under 30 ml/minut).</w:t>
            </w:r>
          </w:p>
          <w:p w14:paraId="101E745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Tillstånd med ökad blödningsbenägenhet.</w:t>
            </w:r>
          </w:p>
          <w:p w14:paraId="7B62CE9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Gastrointestinal</w:t>
            </w:r>
            <w:proofErr w:type="spellEnd"/>
            <w:r w:rsidRPr="00AF7253">
              <w:rPr>
                <w:rFonts w:ascii="Times New Roman" w:hAnsi="Times New Roman"/>
                <w:sz w:val="16"/>
                <w:szCs w:val="16"/>
              </w:rPr>
              <w:t> blödning eller perforation i samband med tidigare behandling med NSAID-preparat.</w:t>
            </w:r>
          </w:p>
          <w:p w14:paraId="189CDA5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Tredje </w:t>
            </w:r>
            <w:proofErr w:type="spellStart"/>
            <w:r w:rsidRPr="00AF7253">
              <w:rPr>
                <w:rFonts w:ascii="Times New Roman" w:hAnsi="Times New Roman"/>
                <w:sz w:val="16"/>
                <w:szCs w:val="16"/>
              </w:rPr>
              <w:t>trimestern</w:t>
            </w:r>
            <w:proofErr w:type="spellEnd"/>
            <w:r w:rsidRPr="00AF7253">
              <w:rPr>
                <w:rFonts w:ascii="Times New Roman" w:hAnsi="Times New Roman"/>
                <w:sz w:val="16"/>
                <w:szCs w:val="16"/>
              </w:rPr>
              <w:t xml:space="preserve"> av graviditeten </w:t>
            </w:r>
          </w:p>
          <w:p w14:paraId="547100C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Ska inte användas omedelbart före eller efter hjärtkirurgi.</w:t>
            </w:r>
          </w:p>
        </w:tc>
        <w:tc>
          <w:tcPr>
            <w:tcW w:w="3360" w:type="dxa"/>
          </w:tcPr>
          <w:p w14:paraId="0E372BC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På grund av korsreaktion ska Ipren inte ges till patienter som fått symtom på astma, rinit eller </w:t>
            </w:r>
            <w:proofErr w:type="spellStart"/>
            <w:r w:rsidRPr="00AF7253">
              <w:rPr>
                <w:rFonts w:ascii="Times New Roman" w:hAnsi="Times New Roman"/>
                <w:sz w:val="16"/>
                <w:szCs w:val="16"/>
              </w:rPr>
              <w:t>urtikaria</w:t>
            </w:r>
            <w:proofErr w:type="spellEnd"/>
            <w:r w:rsidRPr="00AF7253">
              <w:rPr>
                <w:rFonts w:ascii="Times New Roman" w:hAnsi="Times New Roman"/>
                <w:sz w:val="16"/>
                <w:szCs w:val="16"/>
              </w:rPr>
              <w:t> vid intag av acetylsalicylsyra eller andra antiinflammatoriska medel av icke-</w:t>
            </w:r>
            <w:proofErr w:type="gramStart"/>
            <w:r w:rsidRPr="00AF7253">
              <w:rPr>
                <w:rFonts w:ascii="Times New Roman" w:hAnsi="Times New Roman"/>
                <w:sz w:val="16"/>
                <w:szCs w:val="16"/>
              </w:rPr>
              <w:t>steroid natur</w:t>
            </w:r>
            <w:proofErr w:type="gramEnd"/>
            <w:r w:rsidRPr="00AF7253">
              <w:rPr>
                <w:rFonts w:ascii="Times New Roman" w:hAnsi="Times New Roman"/>
                <w:sz w:val="16"/>
                <w:szCs w:val="16"/>
              </w:rPr>
              <w:t>.</w:t>
            </w:r>
          </w:p>
          <w:p w14:paraId="7597638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785138" w:rsidRPr="00AF7253" w14:paraId="5FA3B334"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021F7CEE"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Lergigan 25mg</w:t>
            </w:r>
          </w:p>
        </w:tc>
        <w:tc>
          <w:tcPr>
            <w:tcW w:w="769" w:type="dxa"/>
          </w:tcPr>
          <w:p w14:paraId="0D08655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1-2st</w:t>
            </w:r>
          </w:p>
        </w:tc>
        <w:tc>
          <w:tcPr>
            <w:tcW w:w="695" w:type="dxa"/>
          </w:tcPr>
          <w:p w14:paraId="162595C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3</w:t>
            </w:r>
          </w:p>
        </w:tc>
        <w:tc>
          <w:tcPr>
            <w:tcW w:w="805" w:type="dxa"/>
          </w:tcPr>
          <w:p w14:paraId="3AEEC5F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6st</w:t>
            </w:r>
          </w:p>
        </w:tc>
        <w:tc>
          <w:tcPr>
            <w:tcW w:w="1215" w:type="dxa"/>
          </w:tcPr>
          <w:p w14:paraId="752DCD3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7927955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Klåda, ångest och oro, sömnrubbning, illamående</w:t>
            </w:r>
          </w:p>
        </w:tc>
        <w:tc>
          <w:tcPr>
            <w:tcW w:w="3427" w:type="dxa"/>
          </w:tcPr>
          <w:p w14:paraId="7E99384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Inga kända</w:t>
            </w:r>
          </w:p>
          <w:p w14:paraId="571181A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360" w:type="dxa"/>
          </w:tcPr>
          <w:p w14:paraId="55A850A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Ålder </w:t>
            </w:r>
            <w:proofErr w:type="spellStart"/>
            <w:r w:rsidRPr="00AF7253">
              <w:rPr>
                <w:rFonts w:ascii="Times New Roman" w:hAnsi="Times New Roman"/>
                <w:sz w:val="16"/>
                <w:szCs w:val="16"/>
              </w:rPr>
              <w:t>pga</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antikolinerga</w:t>
            </w:r>
            <w:proofErr w:type="spellEnd"/>
            <w:r w:rsidRPr="00AF7253">
              <w:rPr>
                <w:rFonts w:ascii="Times New Roman" w:hAnsi="Times New Roman"/>
                <w:sz w:val="16"/>
                <w:szCs w:val="16"/>
              </w:rPr>
              <w:t xml:space="preserve"> biverkningar.</w:t>
            </w:r>
          </w:p>
          <w:p w14:paraId="352B77E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Försiktighet till personer över 65 års</w:t>
            </w:r>
          </w:p>
        </w:tc>
      </w:tr>
      <w:tr w:rsidR="00785138" w:rsidRPr="00AF7253" w14:paraId="35DCB851"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261ECD60"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Mellozzan</w:t>
            </w:r>
            <w:proofErr w:type="spellEnd"/>
            <w:r w:rsidRPr="00AF7253">
              <w:rPr>
                <w:rFonts w:ascii="Times New Roman" w:hAnsi="Times New Roman"/>
                <w:sz w:val="16"/>
                <w:szCs w:val="16"/>
              </w:rPr>
              <w:t xml:space="preserve"> 5 mg, tablett</w:t>
            </w:r>
          </w:p>
        </w:tc>
        <w:tc>
          <w:tcPr>
            <w:tcW w:w="769" w:type="dxa"/>
          </w:tcPr>
          <w:p w14:paraId="06B99C8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695" w:type="dxa"/>
          </w:tcPr>
          <w:p w14:paraId="19B72A9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w:t>
            </w:r>
          </w:p>
        </w:tc>
        <w:tc>
          <w:tcPr>
            <w:tcW w:w="805" w:type="dxa"/>
          </w:tcPr>
          <w:p w14:paraId="22EA594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w:t>
            </w:r>
          </w:p>
        </w:tc>
        <w:tc>
          <w:tcPr>
            <w:tcW w:w="1215" w:type="dxa"/>
          </w:tcPr>
          <w:p w14:paraId="13707C0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po</w:t>
            </w:r>
            <w:proofErr w:type="spellEnd"/>
          </w:p>
        </w:tc>
        <w:tc>
          <w:tcPr>
            <w:tcW w:w="1977" w:type="dxa"/>
          </w:tcPr>
          <w:p w14:paraId="5D539E1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Sömnstörning</w:t>
            </w:r>
          </w:p>
        </w:tc>
        <w:tc>
          <w:tcPr>
            <w:tcW w:w="3427" w:type="dxa"/>
          </w:tcPr>
          <w:p w14:paraId="6BE5C2D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Autoimmun sjukdom </w:t>
            </w:r>
          </w:p>
          <w:p w14:paraId="6871433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den aktiva substansen eller mot något hjälpämne.</w:t>
            </w:r>
          </w:p>
        </w:tc>
        <w:tc>
          <w:tcPr>
            <w:tcW w:w="3360" w:type="dxa"/>
          </w:tcPr>
          <w:p w14:paraId="5C2C985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Försiktighet vid </w:t>
            </w:r>
            <w:proofErr w:type="spellStart"/>
            <w:r w:rsidRPr="00AF7253">
              <w:rPr>
                <w:rFonts w:ascii="Times New Roman" w:hAnsi="Times New Roman"/>
                <w:sz w:val="16"/>
                <w:szCs w:val="16"/>
              </w:rPr>
              <w:t>polyfarmaci</w:t>
            </w:r>
            <w:proofErr w:type="spellEnd"/>
          </w:p>
        </w:tc>
      </w:tr>
      <w:tr w:rsidR="00785138" w:rsidRPr="00AF7253" w14:paraId="24B1EDAE"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6F97C12E"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Microlax</w:t>
            </w:r>
            <w:r w:rsidRPr="00AF7253">
              <w:rPr>
                <w:rFonts w:ascii="Times New Roman" w:hAnsi="Times New Roman"/>
                <w:color w:val="222222"/>
                <w:sz w:val="16"/>
                <w:szCs w:val="16"/>
                <w:shd w:val="clear" w:color="auto" w:fill="FFFFFF"/>
              </w:rPr>
              <w:t xml:space="preserve"> r</w:t>
            </w:r>
            <w:r w:rsidRPr="00AF7253">
              <w:rPr>
                <w:rFonts w:ascii="Times New Roman" w:hAnsi="Times New Roman"/>
                <w:sz w:val="16"/>
                <w:szCs w:val="16"/>
              </w:rPr>
              <w:t>ektallösning</w:t>
            </w:r>
            <w:r w:rsidRPr="00AF7253">
              <w:rPr>
                <w:rFonts w:ascii="Times New Roman" w:hAnsi="Times New Roman"/>
                <w:sz w:val="16"/>
                <w:szCs w:val="16"/>
              </w:rPr>
              <w:br/>
              <w:t>(Vit plasttub)</w:t>
            </w:r>
          </w:p>
        </w:tc>
        <w:tc>
          <w:tcPr>
            <w:tcW w:w="769" w:type="dxa"/>
          </w:tcPr>
          <w:p w14:paraId="2BDB060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0C8358B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25EF4F55"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1215" w:type="dxa"/>
          </w:tcPr>
          <w:p w14:paraId="68C3241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rektalt</w:t>
            </w:r>
          </w:p>
        </w:tc>
        <w:tc>
          <w:tcPr>
            <w:tcW w:w="1977" w:type="dxa"/>
          </w:tcPr>
          <w:p w14:paraId="214CEA7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Obstipation</w:t>
            </w:r>
          </w:p>
        </w:tc>
        <w:tc>
          <w:tcPr>
            <w:tcW w:w="3427" w:type="dxa"/>
          </w:tcPr>
          <w:p w14:paraId="1ECAA13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Microlax innehåller </w:t>
            </w:r>
            <w:proofErr w:type="spellStart"/>
            <w:r w:rsidRPr="00AF7253">
              <w:rPr>
                <w:rFonts w:ascii="Times New Roman" w:hAnsi="Times New Roman"/>
                <w:sz w:val="16"/>
                <w:szCs w:val="16"/>
              </w:rPr>
              <w:t>sorbinsyra</w:t>
            </w:r>
            <w:proofErr w:type="spellEnd"/>
            <w:r w:rsidRPr="00AF7253">
              <w:rPr>
                <w:rFonts w:ascii="Times New Roman" w:hAnsi="Times New Roman"/>
                <w:sz w:val="16"/>
                <w:szCs w:val="16"/>
              </w:rPr>
              <w:t xml:space="preserve"> som kan ge lokala hudreaktioner, (t.ex. kontakteksem).</w:t>
            </w:r>
          </w:p>
          <w:p w14:paraId="5E98266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Sorbitol</w:t>
            </w:r>
            <w:proofErr w:type="spellEnd"/>
            <w:r w:rsidRPr="00AF7253">
              <w:rPr>
                <w:rFonts w:ascii="Times New Roman" w:hAnsi="Times New Roman"/>
                <w:sz w:val="16"/>
                <w:szCs w:val="16"/>
              </w:rPr>
              <w:t xml:space="preserve"> ingår som hjälpämne i Microlax. Risk för tarmnekros föreligger vid samtidig </w:t>
            </w:r>
            <w:r w:rsidRPr="00AF7253">
              <w:rPr>
                <w:rFonts w:ascii="Times New Roman" w:hAnsi="Times New Roman"/>
                <w:sz w:val="16"/>
                <w:szCs w:val="16"/>
              </w:rPr>
              <w:lastRenderedPageBreak/>
              <w:t xml:space="preserve">oral/rektal administrering av </w:t>
            </w:r>
            <w:proofErr w:type="spellStart"/>
            <w:r w:rsidRPr="00AF7253">
              <w:rPr>
                <w:rFonts w:ascii="Times New Roman" w:hAnsi="Times New Roman"/>
                <w:sz w:val="16"/>
                <w:szCs w:val="16"/>
              </w:rPr>
              <w:t>sorbitol</w:t>
            </w:r>
            <w:proofErr w:type="spellEnd"/>
            <w:r w:rsidRPr="00AF7253">
              <w:rPr>
                <w:rFonts w:ascii="Times New Roman" w:hAnsi="Times New Roman"/>
                <w:sz w:val="16"/>
                <w:szCs w:val="16"/>
              </w:rPr>
              <w:t xml:space="preserve"> och </w:t>
            </w:r>
            <w:proofErr w:type="spellStart"/>
            <w:r w:rsidRPr="00AF7253">
              <w:rPr>
                <w:rFonts w:ascii="Times New Roman" w:hAnsi="Times New Roman"/>
                <w:sz w:val="16"/>
                <w:szCs w:val="16"/>
              </w:rPr>
              <w:t>natriumpolystyrensulfonat</w:t>
            </w:r>
            <w:proofErr w:type="spellEnd"/>
            <w:r w:rsidRPr="00AF7253">
              <w:rPr>
                <w:rFonts w:ascii="Times New Roman" w:hAnsi="Times New Roman"/>
                <w:sz w:val="16"/>
                <w:szCs w:val="16"/>
              </w:rPr>
              <w:t xml:space="preserve"> (jonbindare för behandling av </w:t>
            </w:r>
            <w:proofErr w:type="spellStart"/>
            <w:r w:rsidRPr="00AF7253">
              <w:rPr>
                <w:rFonts w:ascii="Times New Roman" w:hAnsi="Times New Roman"/>
                <w:sz w:val="16"/>
                <w:szCs w:val="16"/>
              </w:rPr>
              <w:t>hyperkalemi</w:t>
            </w:r>
            <w:proofErr w:type="spellEnd"/>
            <w:r w:rsidRPr="00AF7253">
              <w:rPr>
                <w:rFonts w:ascii="Times New Roman" w:hAnsi="Times New Roman"/>
                <w:sz w:val="16"/>
                <w:szCs w:val="16"/>
              </w:rPr>
              <w:t> i samband med njurinsufficiens).</w:t>
            </w:r>
          </w:p>
        </w:tc>
        <w:tc>
          <w:tcPr>
            <w:tcW w:w="3360" w:type="dxa"/>
          </w:tcPr>
          <w:p w14:paraId="0E0632A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lastRenderedPageBreak/>
              <w:t>Undvik långvarigt bruk.</w:t>
            </w:r>
          </w:p>
          <w:p w14:paraId="1ED3215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785138" w:rsidRPr="00AF7253" w14:paraId="0D092D9F"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58F7EA1A"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Nezeril</w:t>
            </w:r>
            <w:proofErr w:type="spellEnd"/>
            <w:r w:rsidRPr="00AF7253">
              <w:rPr>
                <w:rFonts w:ascii="Times New Roman" w:hAnsi="Times New Roman"/>
                <w:sz w:val="16"/>
                <w:szCs w:val="16"/>
              </w:rPr>
              <w:t xml:space="preserve"> Näsdroppar, lösning i endosbehållare0,5mg/ml </w:t>
            </w:r>
            <w:proofErr w:type="spellStart"/>
            <w:r w:rsidRPr="00AF7253">
              <w:rPr>
                <w:rFonts w:ascii="Times New Roman" w:hAnsi="Times New Roman"/>
                <w:sz w:val="16"/>
                <w:szCs w:val="16"/>
              </w:rPr>
              <w:t>Perrigo</w:t>
            </w:r>
            <w:proofErr w:type="spellEnd"/>
            <w:r w:rsidRPr="00AF7253">
              <w:rPr>
                <w:rFonts w:ascii="Times New Roman" w:hAnsi="Times New Roman"/>
                <w:sz w:val="16"/>
                <w:szCs w:val="16"/>
              </w:rPr>
              <w:t xml:space="preserve"> Sverige AB</w:t>
            </w:r>
          </w:p>
        </w:tc>
        <w:tc>
          <w:tcPr>
            <w:tcW w:w="769" w:type="dxa"/>
          </w:tcPr>
          <w:p w14:paraId="39DCC2A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1-2st</w:t>
            </w:r>
          </w:p>
        </w:tc>
        <w:tc>
          <w:tcPr>
            <w:tcW w:w="695" w:type="dxa"/>
          </w:tcPr>
          <w:p w14:paraId="65239CD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3</w:t>
            </w:r>
          </w:p>
        </w:tc>
        <w:tc>
          <w:tcPr>
            <w:tcW w:w="805" w:type="dxa"/>
          </w:tcPr>
          <w:p w14:paraId="2245A63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6st</w:t>
            </w:r>
          </w:p>
        </w:tc>
        <w:tc>
          <w:tcPr>
            <w:tcW w:w="1215" w:type="dxa"/>
          </w:tcPr>
          <w:p w14:paraId="6506ADA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Nasalt</w:t>
            </w:r>
          </w:p>
        </w:tc>
        <w:tc>
          <w:tcPr>
            <w:tcW w:w="1977" w:type="dxa"/>
          </w:tcPr>
          <w:p w14:paraId="4C419EF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Vid nästäppa</w:t>
            </w:r>
          </w:p>
          <w:p w14:paraId="0C7B35E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1 </w:t>
            </w:r>
            <w:proofErr w:type="spellStart"/>
            <w:r w:rsidRPr="00AF7253">
              <w:rPr>
                <w:rFonts w:ascii="Times New Roman" w:hAnsi="Times New Roman"/>
                <w:sz w:val="16"/>
                <w:szCs w:val="16"/>
              </w:rPr>
              <w:t>endosbehållare</w:t>
            </w:r>
            <w:proofErr w:type="spellEnd"/>
            <w:r w:rsidRPr="00AF7253">
              <w:rPr>
                <w:rFonts w:ascii="Times New Roman" w:hAnsi="Times New Roman"/>
                <w:sz w:val="16"/>
                <w:szCs w:val="16"/>
              </w:rPr>
              <w:t xml:space="preserve"> töms i vardera näsborren</w:t>
            </w:r>
          </w:p>
          <w:p w14:paraId="6DCFBB2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 </w:t>
            </w:r>
          </w:p>
        </w:tc>
        <w:tc>
          <w:tcPr>
            <w:tcW w:w="3427" w:type="dxa"/>
          </w:tcPr>
          <w:p w14:paraId="554BB80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aktiv substans eller något av hjälpämnena.</w:t>
            </w:r>
          </w:p>
        </w:tc>
        <w:tc>
          <w:tcPr>
            <w:tcW w:w="3360" w:type="dxa"/>
          </w:tcPr>
          <w:p w14:paraId="54DF13D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Nezeril</w:t>
            </w:r>
            <w:proofErr w:type="spellEnd"/>
            <w:r w:rsidRPr="00AF7253">
              <w:rPr>
                <w:rFonts w:ascii="Times New Roman" w:hAnsi="Times New Roman"/>
                <w:sz w:val="16"/>
                <w:szCs w:val="16"/>
              </w:rPr>
              <w:t xml:space="preserve"> näsdroppar bör användas högst 10 dagar i följd</w:t>
            </w:r>
          </w:p>
        </w:tc>
      </w:tr>
      <w:tr w:rsidR="00785138" w:rsidRPr="00AF7253" w14:paraId="571B1687"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3427F2AC"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Nicotinell</w:t>
            </w:r>
            <w:proofErr w:type="spellEnd"/>
            <w:r w:rsidRPr="00AF7253">
              <w:rPr>
                <w:rFonts w:ascii="Times New Roman" w:hAnsi="Times New Roman"/>
                <w:sz w:val="16"/>
                <w:szCs w:val="16"/>
              </w:rPr>
              <w:t xml:space="preserve"> Depotplåster 7mg/24timmar </w:t>
            </w:r>
          </w:p>
        </w:tc>
        <w:tc>
          <w:tcPr>
            <w:tcW w:w="769" w:type="dxa"/>
          </w:tcPr>
          <w:p w14:paraId="7B95760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2FDD66D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5BC056B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1215" w:type="dxa"/>
          </w:tcPr>
          <w:p w14:paraId="7CCCC02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Utvärtes</w:t>
            </w:r>
          </w:p>
        </w:tc>
        <w:tc>
          <w:tcPr>
            <w:tcW w:w="1977" w:type="dxa"/>
          </w:tcPr>
          <w:p w14:paraId="55F40E5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Nikotinabstinens</w:t>
            </w:r>
          </w:p>
          <w:p w14:paraId="0ED7747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427" w:type="dxa"/>
          </w:tcPr>
          <w:p w14:paraId="7A9C47B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Akut </w:t>
            </w:r>
            <w:proofErr w:type="spellStart"/>
            <w:r w:rsidRPr="00AF7253">
              <w:rPr>
                <w:rFonts w:ascii="Times New Roman" w:hAnsi="Times New Roman"/>
                <w:sz w:val="16"/>
                <w:szCs w:val="16"/>
              </w:rPr>
              <w:t>myokardinfarkt</w:t>
            </w:r>
            <w:proofErr w:type="spellEnd"/>
            <w:r w:rsidRPr="00AF7253">
              <w:rPr>
                <w:rFonts w:ascii="Times New Roman" w:hAnsi="Times New Roman"/>
                <w:sz w:val="16"/>
                <w:szCs w:val="16"/>
              </w:rPr>
              <w:t>, instabil angina pectoris, allvarlig hjärtarytmi, nyligen genomgången cerebrovaskulär sjukdom.</w:t>
            </w:r>
          </w:p>
          <w:p w14:paraId="5878C1D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360" w:type="dxa"/>
          </w:tcPr>
          <w:p w14:paraId="2BB197D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Styrka ska väljas utifrån patientens nikotinkonsumtion</w:t>
            </w:r>
          </w:p>
        </w:tc>
      </w:tr>
      <w:tr w:rsidR="00785138" w:rsidRPr="00AF7253" w14:paraId="67C6D348"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453C29CF"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Nicotinell</w:t>
            </w:r>
            <w:proofErr w:type="spellEnd"/>
            <w:r w:rsidRPr="00AF7253">
              <w:rPr>
                <w:rFonts w:ascii="Times New Roman" w:hAnsi="Times New Roman"/>
                <w:sz w:val="16"/>
                <w:szCs w:val="16"/>
              </w:rPr>
              <w:t xml:space="preserve"> Depotplåster 14mg/24timmar</w:t>
            </w:r>
          </w:p>
        </w:tc>
        <w:tc>
          <w:tcPr>
            <w:tcW w:w="769" w:type="dxa"/>
          </w:tcPr>
          <w:p w14:paraId="301CD23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5CB8CCD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3898081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1215" w:type="dxa"/>
          </w:tcPr>
          <w:p w14:paraId="3B7A161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Utvärtes</w:t>
            </w:r>
          </w:p>
        </w:tc>
        <w:tc>
          <w:tcPr>
            <w:tcW w:w="1977" w:type="dxa"/>
          </w:tcPr>
          <w:p w14:paraId="55AF619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Nikotinabstinens</w:t>
            </w:r>
          </w:p>
          <w:p w14:paraId="44402F9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427" w:type="dxa"/>
          </w:tcPr>
          <w:p w14:paraId="6D6E2A6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Akut </w:t>
            </w:r>
            <w:proofErr w:type="spellStart"/>
            <w:r w:rsidRPr="00AF7253">
              <w:rPr>
                <w:rFonts w:ascii="Times New Roman" w:hAnsi="Times New Roman"/>
                <w:sz w:val="16"/>
                <w:szCs w:val="16"/>
              </w:rPr>
              <w:t>myokardinfarkt</w:t>
            </w:r>
            <w:proofErr w:type="spellEnd"/>
            <w:r w:rsidRPr="00AF7253">
              <w:rPr>
                <w:rFonts w:ascii="Times New Roman" w:hAnsi="Times New Roman"/>
                <w:sz w:val="16"/>
                <w:szCs w:val="16"/>
              </w:rPr>
              <w:t>, instabil angina pectoris, allvarlig hjärtarytmi, nyligen genomgången cerebrovaskulär sjukdom.</w:t>
            </w:r>
          </w:p>
          <w:p w14:paraId="365E02B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360" w:type="dxa"/>
          </w:tcPr>
          <w:p w14:paraId="4F9A269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Styrka ska väljas utifrån patientens nikotinkonsumtion</w:t>
            </w:r>
          </w:p>
        </w:tc>
      </w:tr>
      <w:tr w:rsidR="00785138" w:rsidRPr="00AF7253" w14:paraId="5FF63B32" w14:textId="77777777" w:rsidTr="00636E8C">
        <w:trPr>
          <w:trHeight w:val="258"/>
        </w:trPr>
        <w:tc>
          <w:tcPr>
            <w:cnfStyle w:val="001000000000" w:firstRow="0" w:lastRow="0" w:firstColumn="1" w:lastColumn="0" w:oddVBand="0" w:evenVBand="0" w:oddHBand="0" w:evenHBand="0" w:firstRowFirstColumn="0" w:firstRowLastColumn="0" w:lastRowFirstColumn="0" w:lastRowLastColumn="0"/>
            <w:tcW w:w="1888" w:type="dxa"/>
          </w:tcPr>
          <w:p w14:paraId="51A450FD"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Nicotinell</w:t>
            </w:r>
            <w:proofErr w:type="spellEnd"/>
            <w:r w:rsidRPr="00AF7253">
              <w:rPr>
                <w:rFonts w:ascii="Times New Roman" w:hAnsi="Times New Roman"/>
                <w:sz w:val="16"/>
                <w:szCs w:val="16"/>
              </w:rPr>
              <w:t xml:space="preserve"> Depotplåster 21mg/24timmar</w:t>
            </w:r>
          </w:p>
        </w:tc>
        <w:tc>
          <w:tcPr>
            <w:tcW w:w="769" w:type="dxa"/>
          </w:tcPr>
          <w:p w14:paraId="27C3DFF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2073C95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14FFFAC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1215" w:type="dxa"/>
          </w:tcPr>
          <w:p w14:paraId="3B456F6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Utvärtes</w:t>
            </w:r>
          </w:p>
        </w:tc>
        <w:tc>
          <w:tcPr>
            <w:tcW w:w="1977" w:type="dxa"/>
          </w:tcPr>
          <w:p w14:paraId="71CF8F9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Nikotinabstinens</w:t>
            </w:r>
          </w:p>
          <w:p w14:paraId="42C4978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427" w:type="dxa"/>
          </w:tcPr>
          <w:p w14:paraId="0AF50F4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Akut </w:t>
            </w:r>
            <w:proofErr w:type="spellStart"/>
            <w:r w:rsidRPr="00AF7253">
              <w:rPr>
                <w:rFonts w:ascii="Times New Roman" w:hAnsi="Times New Roman"/>
                <w:sz w:val="16"/>
                <w:szCs w:val="16"/>
              </w:rPr>
              <w:t>myokardinfarkt</w:t>
            </w:r>
            <w:proofErr w:type="spellEnd"/>
            <w:r w:rsidRPr="00AF7253">
              <w:rPr>
                <w:rFonts w:ascii="Times New Roman" w:hAnsi="Times New Roman"/>
                <w:sz w:val="16"/>
                <w:szCs w:val="16"/>
              </w:rPr>
              <w:t>, instabil angina pectoris, allvarlig hjärtarytmi, nyligen genomgången cerebrovaskulär sjukdom.</w:t>
            </w:r>
          </w:p>
          <w:p w14:paraId="7656C67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360" w:type="dxa"/>
          </w:tcPr>
          <w:p w14:paraId="7A09AB1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Styrka ska väljas utifrån patientens nikotinkonsumtion</w:t>
            </w:r>
          </w:p>
        </w:tc>
      </w:tr>
      <w:tr w:rsidR="00785138" w:rsidRPr="00AF7253" w14:paraId="37AEF7A2"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0449C7E8"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Nicotinell</w:t>
            </w:r>
            <w:proofErr w:type="spellEnd"/>
            <w:r w:rsidRPr="00AF7253">
              <w:rPr>
                <w:rFonts w:ascii="Times New Roman" w:hAnsi="Times New Roman"/>
                <w:sz w:val="16"/>
                <w:szCs w:val="16"/>
              </w:rPr>
              <w:t xml:space="preserve"> Mint Komprimerad sugtablett 2mg</w:t>
            </w:r>
          </w:p>
        </w:tc>
        <w:tc>
          <w:tcPr>
            <w:tcW w:w="769" w:type="dxa"/>
          </w:tcPr>
          <w:p w14:paraId="1D86C17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55B9805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15</w:t>
            </w:r>
          </w:p>
        </w:tc>
        <w:tc>
          <w:tcPr>
            <w:tcW w:w="805" w:type="dxa"/>
          </w:tcPr>
          <w:p w14:paraId="487DA90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30mg</w:t>
            </w:r>
          </w:p>
        </w:tc>
        <w:tc>
          <w:tcPr>
            <w:tcW w:w="1215" w:type="dxa"/>
          </w:tcPr>
          <w:p w14:paraId="17CB45F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Per os</w:t>
            </w:r>
          </w:p>
        </w:tc>
        <w:tc>
          <w:tcPr>
            <w:tcW w:w="1977" w:type="dxa"/>
          </w:tcPr>
          <w:p w14:paraId="6C470FC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Nikotinabstinens</w:t>
            </w:r>
          </w:p>
          <w:p w14:paraId="7D36493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427" w:type="dxa"/>
          </w:tcPr>
          <w:p w14:paraId="26A2EAA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Akut </w:t>
            </w:r>
            <w:proofErr w:type="spellStart"/>
            <w:r w:rsidRPr="00AF7253">
              <w:rPr>
                <w:rFonts w:ascii="Times New Roman" w:hAnsi="Times New Roman"/>
                <w:sz w:val="16"/>
                <w:szCs w:val="16"/>
              </w:rPr>
              <w:t>myokardinfarkt</w:t>
            </w:r>
            <w:proofErr w:type="spellEnd"/>
            <w:r w:rsidRPr="00AF7253">
              <w:rPr>
                <w:rFonts w:ascii="Times New Roman" w:hAnsi="Times New Roman"/>
                <w:sz w:val="16"/>
                <w:szCs w:val="16"/>
              </w:rPr>
              <w:t>, instabil angina pectoris, allvarlig hjärtarytmi, nyligen genomgången cerebrovaskulär sjukdom.</w:t>
            </w:r>
          </w:p>
        </w:tc>
        <w:tc>
          <w:tcPr>
            <w:tcW w:w="3360" w:type="dxa"/>
          </w:tcPr>
          <w:p w14:paraId="53106992"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Kan återupprepas varje timme. Undvik föda och dryck samtidigt som tuggummianvändning</w:t>
            </w:r>
          </w:p>
        </w:tc>
      </w:tr>
      <w:tr w:rsidR="00785138" w:rsidRPr="00AF7253" w14:paraId="3B06703F"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4E5EC36A"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Novalucol</w:t>
            </w:r>
            <w:proofErr w:type="spellEnd"/>
            <w:r w:rsidRPr="00AF7253">
              <w:rPr>
                <w:rFonts w:ascii="Times New Roman" w:hAnsi="Times New Roman"/>
                <w:sz w:val="16"/>
                <w:szCs w:val="16"/>
              </w:rPr>
              <w:t xml:space="preserve"> </w:t>
            </w:r>
            <w:r w:rsidRPr="00AF7253">
              <w:rPr>
                <w:rFonts w:ascii="Times New Roman" w:hAnsi="Times New Roman"/>
                <w:sz w:val="16"/>
                <w:szCs w:val="16"/>
                <w:vertAlign w:val="superscript"/>
              </w:rPr>
              <w:t>®</w:t>
            </w:r>
            <w:r w:rsidRPr="00AF7253">
              <w:rPr>
                <w:rFonts w:ascii="Times New Roman" w:hAnsi="Times New Roman"/>
                <w:sz w:val="16"/>
                <w:szCs w:val="16"/>
              </w:rPr>
              <w:t xml:space="preserve"> Tuggtablett </w:t>
            </w:r>
            <w:proofErr w:type="spellStart"/>
            <w:r w:rsidRPr="00AF7253">
              <w:rPr>
                <w:rFonts w:ascii="Times New Roman" w:hAnsi="Times New Roman"/>
                <w:sz w:val="16"/>
                <w:szCs w:val="16"/>
              </w:rPr>
              <w:t>Viatris</w:t>
            </w:r>
            <w:proofErr w:type="spellEnd"/>
            <w:r w:rsidRPr="00AF7253">
              <w:rPr>
                <w:rFonts w:ascii="Times New Roman" w:hAnsi="Times New Roman"/>
                <w:sz w:val="16"/>
                <w:szCs w:val="16"/>
              </w:rPr>
              <w:t xml:space="preserve"> AB</w:t>
            </w:r>
          </w:p>
        </w:tc>
        <w:tc>
          <w:tcPr>
            <w:tcW w:w="769" w:type="dxa"/>
          </w:tcPr>
          <w:p w14:paraId="247B90E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1-2st</w:t>
            </w:r>
          </w:p>
        </w:tc>
        <w:tc>
          <w:tcPr>
            <w:tcW w:w="695" w:type="dxa"/>
          </w:tcPr>
          <w:p w14:paraId="3371B34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4</w:t>
            </w:r>
          </w:p>
        </w:tc>
        <w:tc>
          <w:tcPr>
            <w:tcW w:w="805" w:type="dxa"/>
          </w:tcPr>
          <w:p w14:paraId="2BF74C5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8st</w:t>
            </w:r>
          </w:p>
        </w:tc>
        <w:tc>
          <w:tcPr>
            <w:tcW w:w="1215" w:type="dxa"/>
          </w:tcPr>
          <w:p w14:paraId="49394DA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Per os</w:t>
            </w:r>
          </w:p>
        </w:tc>
        <w:tc>
          <w:tcPr>
            <w:tcW w:w="1977" w:type="dxa"/>
          </w:tcPr>
          <w:p w14:paraId="3664A62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Halsbränna</w:t>
            </w:r>
          </w:p>
        </w:tc>
        <w:tc>
          <w:tcPr>
            <w:tcW w:w="3427" w:type="dxa"/>
          </w:tcPr>
          <w:p w14:paraId="4E481A7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aktiv substans eller något av hjälpämnena.</w:t>
            </w:r>
          </w:p>
        </w:tc>
        <w:tc>
          <w:tcPr>
            <w:tcW w:w="3360" w:type="dxa"/>
          </w:tcPr>
          <w:p w14:paraId="3F2CF6D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Tabletterna bör tuggas väl</w:t>
            </w:r>
          </w:p>
        </w:tc>
      </w:tr>
      <w:tr w:rsidR="00785138" w:rsidRPr="00AF7253" w14:paraId="3EB490A4"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010CE813"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Nyxoid</w:t>
            </w:r>
            <w:proofErr w:type="spellEnd"/>
            <w:r w:rsidRPr="00AF7253">
              <w:rPr>
                <w:rFonts w:ascii="Times New Roman" w:hAnsi="Times New Roman"/>
                <w:sz w:val="16"/>
                <w:szCs w:val="16"/>
              </w:rPr>
              <w:t xml:space="preserve"> </w:t>
            </w:r>
            <w:r w:rsidRPr="00AF7253">
              <w:rPr>
                <w:rFonts w:ascii="Times New Roman" w:hAnsi="Times New Roman"/>
                <w:sz w:val="16"/>
                <w:szCs w:val="16"/>
                <w:vertAlign w:val="superscript"/>
              </w:rPr>
              <w:t>®</w:t>
            </w:r>
            <w:r w:rsidRPr="00AF7253">
              <w:rPr>
                <w:rFonts w:ascii="Times New Roman" w:hAnsi="Times New Roman"/>
                <w:sz w:val="16"/>
                <w:szCs w:val="16"/>
              </w:rPr>
              <w:t> Nässpray lösning</w:t>
            </w:r>
          </w:p>
        </w:tc>
        <w:tc>
          <w:tcPr>
            <w:tcW w:w="769" w:type="dxa"/>
          </w:tcPr>
          <w:p w14:paraId="672FC37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1dos/er</w:t>
            </w:r>
          </w:p>
        </w:tc>
        <w:tc>
          <w:tcPr>
            <w:tcW w:w="695" w:type="dxa"/>
          </w:tcPr>
          <w:p w14:paraId="2E69BC2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10</w:t>
            </w:r>
          </w:p>
        </w:tc>
        <w:tc>
          <w:tcPr>
            <w:tcW w:w="805" w:type="dxa"/>
          </w:tcPr>
          <w:p w14:paraId="29637A3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10dos/er</w:t>
            </w:r>
          </w:p>
        </w:tc>
        <w:tc>
          <w:tcPr>
            <w:tcW w:w="1215" w:type="dxa"/>
          </w:tcPr>
          <w:p w14:paraId="685427E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Nasalt</w:t>
            </w:r>
          </w:p>
        </w:tc>
        <w:tc>
          <w:tcPr>
            <w:tcW w:w="1977" w:type="dxa"/>
          </w:tcPr>
          <w:p w14:paraId="7F8AE0C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Akut behandling av andningssvikt vid </w:t>
            </w:r>
            <w:proofErr w:type="spellStart"/>
            <w:r w:rsidRPr="00AF7253">
              <w:rPr>
                <w:rFonts w:ascii="Times New Roman" w:hAnsi="Times New Roman"/>
                <w:sz w:val="16"/>
                <w:szCs w:val="16"/>
              </w:rPr>
              <w:t>opioidöverdos</w:t>
            </w:r>
            <w:proofErr w:type="spellEnd"/>
          </w:p>
        </w:tc>
        <w:tc>
          <w:tcPr>
            <w:tcW w:w="3427" w:type="dxa"/>
          </w:tcPr>
          <w:p w14:paraId="0DDDACF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Överkänslighet mot innehållet </w:t>
            </w:r>
          </w:p>
          <w:p w14:paraId="0C41AA5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360" w:type="dxa"/>
          </w:tcPr>
          <w:p w14:paraId="4E30BC4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Om otillräcklig effekt ges dos nr 2 efter 2 min i andra näsborren. Vid återfall av andningssvikt ges dos nr 2 direkt. Fler doser kan ges vid behov</w:t>
            </w:r>
          </w:p>
        </w:tc>
      </w:tr>
      <w:tr w:rsidR="00785138" w:rsidRPr="00AF7253" w14:paraId="17265602"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301DC609"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lastRenderedPageBreak/>
              <w:t>Omnilax</w:t>
            </w:r>
            <w:proofErr w:type="spellEnd"/>
            <w:r w:rsidRPr="00AF7253">
              <w:rPr>
                <w:rFonts w:ascii="Times New Roman" w:hAnsi="Times New Roman"/>
                <w:sz w:val="16"/>
                <w:szCs w:val="16"/>
                <w:vertAlign w:val="superscript"/>
              </w:rPr>
              <w:t>®</w:t>
            </w:r>
            <w:r w:rsidRPr="00AF7253">
              <w:rPr>
                <w:rFonts w:ascii="Times New Roman" w:hAnsi="Times New Roman"/>
                <w:sz w:val="16"/>
                <w:szCs w:val="16"/>
              </w:rPr>
              <w:t> </w:t>
            </w:r>
          </w:p>
          <w:p w14:paraId="014314AD"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 xml:space="preserve">Pro Health </w:t>
            </w:r>
            <w:proofErr w:type="spellStart"/>
            <w:r w:rsidRPr="00AF7253">
              <w:rPr>
                <w:rFonts w:ascii="Times New Roman" w:hAnsi="Times New Roman"/>
                <w:sz w:val="16"/>
                <w:szCs w:val="16"/>
              </w:rPr>
              <w:t>Pharma</w:t>
            </w:r>
            <w:proofErr w:type="spellEnd"/>
          </w:p>
          <w:p w14:paraId="057CD651"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 xml:space="preserve">Pulver till oral lösning i </w:t>
            </w:r>
            <w:proofErr w:type="spellStart"/>
            <w:r w:rsidRPr="00AF7253">
              <w:rPr>
                <w:rFonts w:ascii="Times New Roman" w:hAnsi="Times New Roman"/>
                <w:sz w:val="16"/>
                <w:szCs w:val="16"/>
              </w:rPr>
              <w:t>dospåse</w:t>
            </w:r>
            <w:proofErr w:type="spellEnd"/>
            <w:r w:rsidRPr="00AF7253">
              <w:rPr>
                <w:rFonts w:ascii="Times New Roman" w:hAnsi="Times New Roman"/>
                <w:sz w:val="16"/>
                <w:szCs w:val="16"/>
              </w:rPr>
              <w:t xml:space="preserve"> 10g</w:t>
            </w:r>
          </w:p>
        </w:tc>
        <w:tc>
          <w:tcPr>
            <w:tcW w:w="769" w:type="dxa"/>
          </w:tcPr>
          <w:p w14:paraId="21368E0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1dos</w:t>
            </w:r>
          </w:p>
          <w:p w14:paraId="44F2CAF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p w14:paraId="3162017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695" w:type="dxa"/>
          </w:tcPr>
          <w:p w14:paraId="17DE571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47C0F88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1dos</w:t>
            </w:r>
          </w:p>
        </w:tc>
        <w:tc>
          <w:tcPr>
            <w:tcW w:w="1215" w:type="dxa"/>
          </w:tcPr>
          <w:p w14:paraId="510B630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Per os</w:t>
            </w:r>
          </w:p>
        </w:tc>
        <w:tc>
          <w:tcPr>
            <w:tcW w:w="1977" w:type="dxa"/>
          </w:tcPr>
          <w:p w14:paraId="3CE3EE45"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Symtomatisk behandling av obstipation hos vuxna </w:t>
            </w:r>
          </w:p>
          <w:p w14:paraId="0F38B34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p w14:paraId="0D422E9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Innan behandlingen påbörjas bör organisk sjukdom ha uteslutits</w:t>
            </w:r>
          </w:p>
          <w:p w14:paraId="3F0320F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427" w:type="dxa"/>
          </w:tcPr>
          <w:p w14:paraId="76156F9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Allvarlig inflammatorisk tarmsjukdom (ulcerös kolit, </w:t>
            </w:r>
            <w:proofErr w:type="spellStart"/>
            <w:r w:rsidRPr="00AF7253">
              <w:rPr>
                <w:rFonts w:ascii="Times New Roman" w:hAnsi="Times New Roman"/>
                <w:sz w:val="16"/>
                <w:szCs w:val="16"/>
              </w:rPr>
              <w:t>Crohns</w:t>
            </w:r>
            <w:proofErr w:type="spellEnd"/>
            <w:r w:rsidRPr="00AF7253">
              <w:rPr>
                <w:rFonts w:ascii="Times New Roman" w:hAnsi="Times New Roman"/>
                <w:sz w:val="16"/>
                <w:szCs w:val="16"/>
              </w:rPr>
              <w:t xml:space="preserve"> sjukdom) eller toxisk megakolon</w:t>
            </w:r>
          </w:p>
          <w:p w14:paraId="2F66B9F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Gastrointestinal</w:t>
            </w:r>
            <w:proofErr w:type="spellEnd"/>
            <w:r w:rsidRPr="00AF7253">
              <w:rPr>
                <w:rFonts w:ascii="Times New Roman" w:hAnsi="Times New Roman"/>
                <w:sz w:val="16"/>
                <w:szCs w:val="16"/>
              </w:rPr>
              <w:t> perforation eller risk för </w:t>
            </w:r>
            <w:proofErr w:type="spellStart"/>
            <w:r w:rsidRPr="00AF7253">
              <w:rPr>
                <w:rFonts w:ascii="Times New Roman" w:hAnsi="Times New Roman"/>
                <w:sz w:val="16"/>
                <w:szCs w:val="16"/>
              </w:rPr>
              <w:t>gastrointestinal</w:t>
            </w:r>
            <w:proofErr w:type="spellEnd"/>
            <w:r w:rsidRPr="00AF7253">
              <w:rPr>
                <w:rFonts w:ascii="Times New Roman" w:hAnsi="Times New Roman"/>
                <w:sz w:val="16"/>
                <w:szCs w:val="16"/>
              </w:rPr>
              <w:t> perforation</w:t>
            </w:r>
          </w:p>
          <w:p w14:paraId="12F9F95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Ileus</w:t>
            </w:r>
            <w:proofErr w:type="spellEnd"/>
            <w:r w:rsidRPr="00AF7253">
              <w:rPr>
                <w:rFonts w:ascii="Times New Roman" w:hAnsi="Times New Roman"/>
                <w:sz w:val="16"/>
                <w:szCs w:val="16"/>
              </w:rPr>
              <w:t> eller misstänkt blockerad tarmpassage eller symtomatisk stenos</w:t>
            </w:r>
          </w:p>
          <w:p w14:paraId="1ADFAE6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Magsmärtor utan känd orsak</w:t>
            </w:r>
          </w:p>
          <w:p w14:paraId="1231EAC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Överkänslighet mot den aktiva substansen eller mot något </w:t>
            </w:r>
          </w:p>
        </w:tc>
        <w:tc>
          <w:tcPr>
            <w:tcW w:w="3360" w:type="dxa"/>
          </w:tcPr>
          <w:p w14:paraId="200798F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Omnilax</w:t>
            </w:r>
            <w:proofErr w:type="spellEnd"/>
            <w:r w:rsidRPr="00AF7253">
              <w:rPr>
                <w:rFonts w:ascii="Times New Roman" w:hAnsi="Times New Roman"/>
                <w:sz w:val="16"/>
                <w:szCs w:val="16"/>
              </w:rPr>
              <w:t xml:space="preserve"> verkar inom </w:t>
            </w:r>
            <w:proofErr w:type="gramStart"/>
            <w:r w:rsidRPr="00AF7253">
              <w:rPr>
                <w:rFonts w:ascii="Times New Roman" w:hAnsi="Times New Roman"/>
                <w:sz w:val="16"/>
                <w:szCs w:val="16"/>
              </w:rPr>
              <w:t>24-48</w:t>
            </w:r>
            <w:proofErr w:type="gramEnd"/>
            <w:r w:rsidRPr="00AF7253">
              <w:rPr>
                <w:rFonts w:ascii="Times New Roman" w:hAnsi="Times New Roman"/>
                <w:sz w:val="16"/>
                <w:szCs w:val="16"/>
              </w:rPr>
              <w:t xml:space="preserve"> timmar efter administrering.</w:t>
            </w:r>
          </w:p>
          <w:p w14:paraId="5E845E66"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785138" w:rsidRPr="00AF7253" w14:paraId="083BFBF8"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34BE543B"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Pantoprazol</w:t>
            </w:r>
            <w:proofErr w:type="spellEnd"/>
            <w:r w:rsidRPr="00AF7253">
              <w:rPr>
                <w:rFonts w:ascii="Times New Roman" w:hAnsi="Times New Roman"/>
                <w:sz w:val="16"/>
                <w:szCs w:val="16"/>
              </w:rPr>
              <w:t xml:space="preserve"> 20mg </w:t>
            </w:r>
            <w:proofErr w:type="spellStart"/>
            <w:r w:rsidRPr="00AF7253">
              <w:rPr>
                <w:rFonts w:ascii="Times New Roman" w:hAnsi="Times New Roman"/>
                <w:sz w:val="16"/>
                <w:szCs w:val="16"/>
              </w:rPr>
              <w:t>Enterotablett</w:t>
            </w:r>
            <w:proofErr w:type="spellEnd"/>
          </w:p>
        </w:tc>
        <w:tc>
          <w:tcPr>
            <w:tcW w:w="769" w:type="dxa"/>
          </w:tcPr>
          <w:p w14:paraId="04B23C8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20mg</w:t>
            </w:r>
          </w:p>
        </w:tc>
        <w:tc>
          <w:tcPr>
            <w:tcW w:w="695" w:type="dxa"/>
          </w:tcPr>
          <w:p w14:paraId="44C9638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7CFD2E3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20mg</w:t>
            </w:r>
          </w:p>
        </w:tc>
        <w:tc>
          <w:tcPr>
            <w:tcW w:w="1215" w:type="dxa"/>
          </w:tcPr>
          <w:p w14:paraId="17E359A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Per os </w:t>
            </w:r>
          </w:p>
        </w:tc>
        <w:tc>
          <w:tcPr>
            <w:tcW w:w="1977" w:type="dxa"/>
          </w:tcPr>
          <w:p w14:paraId="07F291B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Halsbränna</w:t>
            </w:r>
          </w:p>
        </w:tc>
        <w:tc>
          <w:tcPr>
            <w:tcW w:w="3427" w:type="dxa"/>
          </w:tcPr>
          <w:p w14:paraId="7FCCE89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Överkänslighet mot den aktiva substansen, substituerade </w:t>
            </w:r>
            <w:proofErr w:type="spellStart"/>
            <w:r w:rsidRPr="00AF7253">
              <w:rPr>
                <w:rFonts w:ascii="Times New Roman" w:hAnsi="Times New Roman"/>
                <w:sz w:val="16"/>
                <w:szCs w:val="16"/>
              </w:rPr>
              <w:t>benzimidazoler</w:t>
            </w:r>
            <w:proofErr w:type="spellEnd"/>
            <w:r w:rsidRPr="00AF7253">
              <w:rPr>
                <w:rFonts w:ascii="Times New Roman" w:hAnsi="Times New Roman"/>
                <w:sz w:val="16"/>
                <w:szCs w:val="16"/>
              </w:rPr>
              <w:t xml:space="preserve"> eller mot något hjälpämne</w:t>
            </w:r>
          </w:p>
        </w:tc>
        <w:tc>
          <w:tcPr>
            <w:tcW w:w="3360" w:type="dxa"/>
          </w:tcPr>
          <w:p w14:paraId="730454F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Det har förekommit rapporter om falskt positiva urinprovsresultat avseende </w:t>
            </w:r>
            <w:proofErr w:type="spellStart"/>
            <w:r w:rsidRPr="00AF7253">
              <w:rPr>
                <w:rFonts w:ascii="Times New Roman" w:hAnsi="Times New Roman"/>
                <w:sz w:val="16"/>
                <w:szCs w:val="16"/>
              </w:rPr>
              <w:t>tetrahydrocannabinol</w:t>
            </w:r>
            <w:proofErr w:type="spellEnd"/>
            <w:r w:rsidRPr="00AF7253">
              <w:rPr>
                <w:rFonts w:ascii="Times New Roman" w:hAnsi="Times New Roman"/>
                <w:sz w:val="16"/>
                <w:szCs w:val="16"/>
              </w:rPr>
              <w:t xml:space="preserve"> (THC) hos patienter som får </w:t>
            </w:r>
            <w:proofErr w:type="spellStart"/>
            <w:r w:rsidRPr="00AF7253">
              <w:rPr>
                <w:rFonts w:ascii="Times New Roman" w:hAnsi="Times New Roman"/>
                <w:sz w:val="16"/>
                <w:szCs w:val="16"/>
              </w:rPr>
              <w:t>pantoprazol</w:t>
            </w:r>
            <w:proofErr w:type="spellEnd"/>
            <w:r w:rsidRPr="00AF7253">
              <w:rPr>
                <w:rFonts w:ascii="Times New Roman" w:hAnsi="Times New Roman"/>
                <w:sz w:val="16"/>
                <w:szCs w:val="16"/>
              </w:rPr>
              <w:t>. En alternativ metod för verifiering av positiva resultat ska övervägas.</w:t>
            </w:r>
          </w:p>
        </w:tc>
      </w:tr>
      <w:tr w:rsidR="00785138" w:rsidRPr="00AF7253" w14:paraId="2A255B86"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003E1F28"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Propavan</w:t>
            </w:r>
            <w:r w:rsidRPr="00AF7253">
              <w:rPr>
                <w:rFonts w:ascii="Times New Roman" w:hAnsi="Times New Roman"/>
                <w:sz w:val="16"/>
                <w:szCs w:val="16"/>
                <w:vertAlign w:val="superscript"/>
              </w:rPr>
              <w:t>®</w:t>
            </w:r>
            <w:r w:rsidRPr="00AF7253">
              <w:rPr>
                <w:rFonts w:ascii="Times New Roman" w:hAnsi="Times New Roman"/>
                <w:sz w:val="16"/>
                <w:szCs w:val="16"/>
              </w:rPr>
              <w:t> tablett 25mg</w:t>
            </w:r>
          </w:p>
        </w:tc>
        <w:tc>
          <w:tcPr>
            <w:tcW w:w="769" w:type="dxa"/>
          </w:tcPr>
          <w:p w14:paraId="6A3DEEA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1-2st</w:t>
            </w:r>
          </w:p>
        </w:tc>
        <w:tc>
          <w:tcPr>
            <w:tcW w:w="695" w:type="dxa"/>
          </w:tcPr>
          <w:p w14:paraId="64F8CA6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37794B20"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50mg</w:t>
            </w:r>
          </w:p>
        </w:tc>
        <w:tc>
          <w:tcPr>
            <w:tcW w:w="1215" w:type="dxa"/>
          </w:tcPr>
          <w:p w14:paraId="4343DA9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Per os</w:t>
            </w:r>
          </w:p>
        </w:tc>
        <w:tc>
          <w:tcPr>
            <w:tcW w:w="1977" w:type="dxa"/>
          </w:tcPr>
          <w:p w14:paraId="1D250BF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Insomningsvårigheter</w:t>
            </w:r>
            <w:proofErr w:type="spellEnd"/>
          </w:p>
          <w:p w14:paraId="31492FBE"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 </w:t>
            </w:r>
          </w:p>
        </w:tc>
        <w:tc>
          <w:tcPr>
            <w:tcW w:w="3427" w:type="dxa"/>
          </w:tcPr>
          <w:p w14:paraId="5FB94F2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aktiv substans eller något av hjälpämnena. Ej vid Parkinson. Undvik ge till patienter 65 år och äldre</w:t>
            </w:r>
          </w:p>
        </w:tc>
        <w:tc>
          <w:tcPr>
            <w:tcW w:w="3360" w:type="dxa"/>
          </w:tcPr>
          <w:p w14:paraId="631EA824"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Försiktighet vid nedsatt lever- och njurfunktion.</w:t>
            </w:r>
          </w:p>
        </w:tc>
      </w:tr>
      <w:tr w:rsidR="00785138" w:rsidRPr="00AF7253" w14:paraId="001DEE5A"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7634F37A"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Zofran</w:t>
            </w:r>
            <w:bookmarkStart w:id="2" w:name="_Hlk207614795"/>
            <w:proofErr w:type="spellEnd"/>
            <w:r w:rsidRPr="00AF7253">
              <w:rPr>
                <w:rFonts w:ascii="Times New Roman" w:hAnsi="Times New Roman"/>
                <w:sz w:val="16"/>
                <w:szCs w:val="16"/>
                <w:vertAlign w:val="superscript"/>
              </w:rPr>
              <w:t>®</w:t>
            </w:r>
            <w:r w:rsidRPr="00AF7253">
              <w:rPr>
                <w:rFonts w:ascii="Times New Roman" w:hAnsi="Times New Roman"/>
                <w:sz w:val="16"/>
                <w:szCs w:val="16"/>
              </w:rPr>
              <w:t> </w:t>
            </w:r>
            <w:bookmarkEnd w:id="2"/>
            <w:r w:rsidRPr="00AF7253">
              <w:rPr>
                <w:rFonts w:ascii="Times New Roman" w:hAnsi="Times New Roman"/>
                <w:sz w:val="16"/>
                <w:szCs w:val="16"/>
              </w:rPr>
              <w:t>munlöslig</w:t>
            </w:r>
          </w:p>
          <w:p w14:paraId="686D7A51" w14:textId="77777777" w:rsidR="00AF7253" w:rsidRPr="00AF7253" w:rsidRDefault="00AF7253" w:rsidP="00AF7253">
            <w:pPr>
              <w:spacing w:after="160" w:line="259" w:lineRule="auto"/>
              <w:ind w:left="0" w:right="0"/>
              <w:rPr>
                <w:rFonts w:ascii="Times New Roman" w:hAnsi="Times New Roman"/>
                <w:sz w:val="16"/>
                <w:szCs w:val="16"/>
              </w:rPr>
            </w:pPr>
            <w:r w:rsidRPr="00AF7253">
              <w:rPr>
                <w:rFonts w:ascii="Times New Roman" w:hAnsi="Times New Roman"/>
                <w:sz w:val="16"/>
                <w:szCs w:val="16"/>
              </w:rPr>
              <w:t>Frystorkad tablett 4 mg</w:t>
            </w:r>
          </w:p>
          <w:p w14:paraId="4AFA5DF3" w14:textId="77777777" w:rsidR="00AF7253" w:rsidRPr="00AF7253" w:rsidRDefault="00AF7253" w:rsidP="00AF7253">
            <w:pPr>
              <w:spacing w:after="160" w:line="259" w:lineRule="auto"/>
              <w:ind w:left="0" w:right="0"/>
              <w:rPr>
                <w:rFonts w:ascii="Times New Roman" w:hAnsi="Times New Roman"/>
                <w:sz w:val="16"/>
                <w:szCs w:val="16"/>
              </w:rPr>
            </w:pPr>
          </w:p>
        </w:tc>
        <w:tc>
          <w:tcPr>
            <w:tcW w:w="769" w:type="dxa"/>
          </w:tcPr>
          <w:p w14:paraId="01F31C0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1-2st</w:t>
            </w:r>
          </w:p>
        </w:tc>
        <w:tc>
          <w:tcPr>
            <w:tcW w:w="695" w:type="dxa"/>
          </w:tcPr>
          <w:p w14:paraId="66870FD5"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2</w:t>
            </w:r>
          </w:p>
        </w:tc>
        <w:tc>
          <w:tcPr>
            <w:tcW w:w="805" w:type="dxa"/>
          </w:tcPr>
          <w:p w14:paraId="66774FAC"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16mg</w:t>
            </w:r>
          </w:p>
        </w:tc>
        <w:tc>
          <w:tcPr>
            <w:tcW w:w="1215" w:type="dxa"/>
          </w:tcPr>
          <w:p w14:paraId="0A385C8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Per os</w:t>
            </w:r>
          </w:p>
        </w:tc>
        <w:tc>
          <w:tcPr>
            <w:tcW w:w="1977" w:type="dxa"/>
          </w:tcPr>
          <w:p w14:paraId="2F42F8E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Profylax och behandling av illamående och kräkningar</w:t>
            </w:r>
          </w:p>
        </w:tc>
        <w:tc>
          <w:tcPr>
            <w:tcW w:w="3427" w:type="dxa"/>
          </w:tcPr>
          <w:p w14:paraId="37542098"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den aktiva substansen eller mot något hjälpämne</w:t>
            </w:r>
          </w:p>
          <w:p w14:paraId="31733D2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 xml:space="preserve">Samtidig användning med </w:t>
            </w:r>
            <w:proofErr w:type="spellStart"/>
            <w:r w:rsidRPr="00AF7253">
              <w:rPr>
                <w:rFonts w:ascii="Times New Roman" w:hAnsi="Times New Roman"/>
                <w:sz w:val="16"/>
                <w:szCs w:val="16"/>
              </w:rPr>
              <w:t>apomorfin</w:t>
            </w:r>
            <w:proofErr w:type="spellEnd"/>
          </w:p>
        </w:tc>
        <w:tc>
          <w:tcPr>
            <w:tcW w:w="3360" w:type="dxa"/>
          </w:tcPr>
          <w:p w14:paraId="2CFE34D9"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Inga justeringar av dos eller doseringsfrekvens krävs för äldre patienter.</w:t>
            </w:r>
          </w:p>
          <w:p w14:paraId="2F3E3257"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785138" w:rsidRPr="00AF7253" w14:paraId="01C09A64" w14:textId="77777777" w:rsidTr="00636E8C">
        <w:trPr>
          <w:trHeight w:val="267"/>
        </w:trPr>
        <w:tc>
          <w:tcPr>
            <w:cnfStyle w:val="001000000000" w:firstRow="0" w:lastRow="0" w:firstColumn="1" w:lastColumn="0" w:oddVBand="0" w:evenVBand="0" w:oddHBand="0" w:evenHBand="0" w:firstRowFirstColumn="0" w:firstRowLastColumn="0" w:lastRowFirstColumn="0" w:lastRowLastColumn="0"/>
            <w:tcW w:w="1888" w:type="dxa"/>
          </w:tcPr>
          <w:p w14:paraId="174DB5C2" w14:textId="77777777" w:rsidR="00AF7253" w:rsidRPr="00AF7253" w:rsidRDefault="00AF7253" w:rsidP="00AF7253">
            <w:pPr>
              <w:spacing w:after="160" w:line="259" w:lineRule="auto"/>
              <w:ind w:left="0" w:right="0"/>
              <w:rPr>
                <w:rFonts w:ascii="Times New Roman" w:hAnsi="Times New Roman"/>
                <w:sz w:val="16"/>
                <w:szCs w:val="16"/>
              </w:rPr>
            </w:pPr>
            <w:proofErr w:type="spellStart"/>
            <w:r w:rsidRPr="00AF7253">
              <w:rPr>
                <w:rFonts w:ascii="Times New Roman" w:hAnsi="Times New Roman"/>
                <w:sz w:val="16"/>
                <w:szCs w:val="16"/>
              </w:rPr>
              <w:t>Xyloproct</w:t>
            </w:r>
            <w:proofErr w:type="spellEnd"/>
            <w:r w:rsidRPr="00AF7253">
              <w:rPr>
                <w:rFonts w:ascii="Times New Roman" w:hAnsi="Times New Roman"/>
                <w:sz w:val="16"/>
                <w:szCs w:val="16"/>
              </w:rPr>
              <w:t xml:space="preserve"> </w:t>
            </w:r>
            <w:proofErr w:type="spellStart"/>
            <w:r w:rsidRPr="00AF7253">
              <w:rPr>
                <w:rFonts w:ascii="Times New Roman" w:hAnsi="Times New Roman"/>
                <w:sz w:val="16"/>
                <w:szCs w:val="16"/>
              </w:rPr>
              <w:t>supp</w:t>
            </w:r>
            <w:proofErr w:type="spellEnd"/>
          </w:p>
        </w:tc>
        <w:tc>
          <w:tcPr>
            <w:tcW w:w="769" w:type="dxa"/>
          </w:tcPr>
          <w:p w14:paraId="1B429CC3"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695" w:type="dxa"/>
          </w:tcPr>
          <w:p w14:paraId="6584990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w:t>
            </w:r>
          </w:p>
        </w:tc>
        <w:tc>
          <w:tcPr>
            <w:tcW w:w="805" w:type="dxa"/>
          </w:tcPr>
          <w:p w14:paraId="2AF033DB"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1st</w:t>
            </w:r>
          </w:p>
        </w:tc>
        <w:tc>
          <w:tcPr>
            <w:tcW w:w="1215" w:type="dxa"/>
          </w:tcPr>
          <w:p w14:paraId="5C0231DF"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Rektalt</w:t>
            </w:r>
          </w:p>
        </w:tc>
        <w:tc>
          <w:tcPr>
            <w:tcW w:w="1977" w:type="dxa"/>
          </w:tcPr>
          <w:p w14:paraId="5B4025A1"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roofErr w:type="spellStart"/>
            <w:r w:rsidRPr="00AF7253">
              <w:rPr>
                <w:rFonts w:ascii="Times New Roman" w:hAnsi="Times New Roman"/>
                <w:sz w:val="16"/>
                <w:szCs w:val="16"/>
              </w:rPr>
              <w:t>Hemorroider</w:t>
            </w:r>
            <w:proofErr w:type="spellEnd"/>
          </w:p>
        </w:tc>
        <w:tc>
          <w:tcPr>
            <w:tcW w:w="3427" w:type="dxa"/>
          </w:tcPr>
          <w:p w14:paraId="46F087BA"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AF7253">
              <w:rPr>
                <w:rFonts w:ascii="Times New Roman" w:hAnsi="Times New Roman"/>
                <w:sz w:val="16"/>
                <w:szCs w:val="16"/>
              </w:rPr>
              <w:t>Överkänslighet mot de aktiva substanserna eller mot något hjälpämne</w:t>
            </w:r>
          </w:p>
        </w:tc>
        <w:tc>
          <w:tcPr>
            <w:tcW w:w="3360" w:type="dxa"/>
          </w:tcPr>
          <w:p w14:paraId="1493B62D" w14:textId="77777777" w:rsidR="00AF7253" w:rsidRPr="00AF7253" w:rsidRDefault="00AF7253" w:rsidP="00AF7253">
            <w:pPr>
              <w:spacing w:after="160" w:line="259" w:lineRule="auto"/>
              <w:ind w:left="0" w:right="0"/>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bl>
    <w:p w14:paraId="0A7D80A2" w14:textId="238A806C" w:rsidR="000E6ADE" w:rsidRPr="009213D0" w:rsidRDefault="000E6ADE" w:rsidP="00504AF8">
      <w:pPr>
        <w:ind w:left="0"/>
      </w:pPr>
    </w:p>
    <w:sectPr w:rsidR="000E6ADE" w:rsidRPr="009213D0" w:rsidSect="00902DA4">
      <w:type w:val="continuous"/>
      <w:pgSz w:w="16840" w:h="11900" w:orient="landscape" w:code="9"/>
      <w:pgMar w:top="-1205"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F414D8" w14:textId="77777777" w:rsidR="00C66B30" w:rsidRDefault="00C66B30">
      <w:r>
        <w:separator/>
      </w:r>
    </w:p>
  </w:endnote>
  <w:endnote w:type="continuationSeparator" w:id="0">
    <w:p w14:paraId="07560F6C" w14:textId="77777777" w:rsidR="00C66B30" w:rsidRDefault="00C66B30">
      <w:r>
        <w:continuationSeparator/>
      </w:r>
    </w:p>
  </w:endnote>
  <w:endnote w:type="continuationNotice" w:id="1">
    <w:p w14:paraId="3A570E8B" w14:textId="77777777" w:rsidR="00C66B30" w:rsidRDefault="00C66B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charset w:val="00"/>
    <w:family w:val="roman"/>
    <w:pitch w:val="variable"/>
  </w:font>
  <w:font w:name="Lucida Grande">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88718796" name="Bildobjekt 28871879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7BC64B" w14:textId="77777777" w:rsidR="00C66B30" w:rsidRDefault="00C66B30"/>
  </w:footnote>
  <w:footnote w:type="continuationSeparator" w:id="0">
    <w:p w14:paraId="0B2EC549" w14:textId="77777777" w:rsidR="00C66B30" w:rsidRDefault="00C66B30">
      <w:r>
        <w:continuationSeparator/>
      </w:r>
    </w:p>
  </w:footnote>
  <w:footnote w:type="continuationNotice" w:id="1">
    <w:p w14:paraId="3CF185A8" w14:textId="77777777" w:rsidR="00C66B30" w:rsidRDefault="00C66B3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9D51525" w:rsidR="008A4EB9" w:rsidRPr="007B58B0" w:rsidRDefault="007B58B0" w:rsidP="007B58B0">
    <w:pPr>
      <w:pStyle w:val="Sidhuvud"/>
    </w:pPr>
    <w:r>
      <w:rPr>
        <w:noProof/>
        <w:sz w:val="20"/>
        <w:szCs w:val="20"/>
      </w:rPr>
      <mc:AlternateContent>
        <mc:Choice Requires="wps">
          <w:drawing>
            <wp:anchor distT="0" distB="0" distL="114300" distR="114300" simplePos="0" relativeHeight="251674625" behindDoc="0" locked="0" layoutInCell="1" allowOverlap="1" wp14:anchorId="1E98F99F" wp14:editId="6DACFFAF">
              <wp:simplePos x="0" y="0"/>
              <wp:positionH relativeFrom="column">
                <wp:posOffset>0</wp:posOffset>
              </wp:positionH>
              <wp:positionV relativeFrom="paragraph">
                <wp:posOffset>-635</wp:posOffset>
              </wp:positionV>
              <wp:extent cx="4667250" cy="323850"/>
              <wp:effectExtent l="0" t="0" r="0" b="0"/>
              <wp:wrapNone/>
              <wp:docPr id="1485293358" name="Textruta 148529335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C8C9FA3" w14:textId="77777777" w:rsidR="007B58B0" w:rsidRDefault="007B58B0" w:rsidP="007B58B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E98F99F" id="_x0000_t202" coordsize="21600,21600" o:spt="202" path="m,l,21600r21600,l21600,xe">
              <v:stroke joinstyle="miter"/>
              <v:path gradientshapeok="t" o:connecttype="rect"/>
            </v:shapetype>
            <v:shape id="Textruta 1485293358" o:spid="_x0000_s1028" type="#_x0000_t202" style="position:absolute;left:0;text-align:left;margin-left:0;margin-top:-.05pt;width:367.5pt;height:25.5pt;z-index:25167462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" filled="f" stroked="f" strokeweight=".5pt">
              <v:textbox>
                <w:txbxContent>
                  <w:p w14:paraId="5C8C9FA3" w14:textId="77777777" w:rsidR="007B58B0" w:rsidRDefault="007B58B0" w:rsidP="007B58B0">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21E3C22"/>
    <w:multiLevelType w:val="hybridMultilevel"/>
    <w:tmpl w:val="4B9AAB4A"/>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CF069B7E"/>
    <w:lvl w:ilvl="0" w:tplc="B156E158">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5962521"/>
    <w:multiLevelType w:val="hybridMultilevel"/>
    <w:tmpl w:val="5E9630DC"/>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7694CEA"/>
    <w:multiLevelType w:val="hybridMultilevel"/>
    <w:tmpl w:val="D4846E70"/>
    <w:lvl w:ilvl="0" w:tplc="041D000F">
      <w:start w:val="1"/>
      <w:numFmt w:val="decimal"/>
      <w:lvlText w:val="%1."/>
      <w:lvlJc w:val="left"/>
      <w:pPr>
        <w:ind w:left="2075" w:hanging="360"/>
      </w:p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36293191">
    <w:abstractNumId w:val="20"/>
  </w:num>
  <w:num w:numId="2" w16cid:durableId="578976751">
    <w:abstractNumId w:val="16"/>
  </w:num>
  <w:num w:numId="3" w16cid:durableId="581453606">
    <w:abstractNumId w:val="0"/>
  </w:num>
  <w:num w:numId="4" w16cid:durableId="896625212">
    <w:abstractNumId w:val="6"/>
  </w:num>
  <w:num w:numId="5" w16cid:durableId="1869639082">
    <w:abstractNumId w:val="17"/>
  </w:num>
  <w:num w:numId="6" w16cid:durableId="1497770508">
    <w:abstractNumId w:val="2"/>
  </w:num>
  <w:num w:numId="7" w16cid:durableId="355160319">
    <w:abstractNumId w:val="11"/>
  </w:num>
  <w:num w:numId="8" w16cid:durableId="1157651639">
    <w:abstractNumId w:val="8"/>
  </w:num>
  <w:num w:numId="9" w16cid:durableId="760445153">
    <w:abstractNumId w:val="1"/>
  </w:num>
  <w:num w:numId="10" w16cid:durableId="2142115608">
    <w:abstractNumId w:val="1"/>
  </w:num>
  <w:num w:numId="11" w16cid:durableId="49351080">
    <w:abstractNumId w:val="3"/>
  </w:num>
  <w:num w:numId="12" w16cid:durableId="996884029">
    <w:abstractNumId w:val="4"/>
  </w:num>
  <w:num w:numId="13" w16cid:durableId="1504510950">
    <w:abstractNumId w:val="14"/>
  </w:num>
  <w:num w:numId="14" w16cid:durableId="1392576468">
    <w:abstractNumId w:val="9"/>
  </w:num>
  <w:num w:numId="15" w16cid:durableId="1882325394">
    <w:abstractNumId w:val="7"/>
  </w:num>
  <w:num w:numId="16" w16cid:durableId="664280947">
    <w:abstractNumId w:val="13"/>
  </w:num>
  <w:num w:numId="17" w16cid:durableId="474373548">
    <w:abstractNumId w:val="5"/>
  </w:num>
  <w:num w:numId="18" w16cid:durableId="893272186">
    <w:abstractNumId w:val="10"/>
  </w:num>
  <w:num w:numId="19" w16cid:durableId="2135634828">
    <w:abstractNumId w:val="19"/>
  </w:num>
  <w:num w:numId="20" w16cid:durableId="1692105247">
    <w:abstractNumId w:val="15"/>
  </w:num>
  <w:num w:numId="21" w16cid:durableId="146825203">
    <w:abstractNumId w:val="12"/>
  </w:num>
  <w:num w:numId="22" w16cid:durableId="1430073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FF4"/>
    <w:rsid w:val="00030DDD"/>
    <w:rsid w:val="000313BB"/>
    <w:rsid w:val="00033ED5"/>
    <w:rsid w:val="00050500"/>
    <w:rsid w:val="0005691C"/>
    <w:rsid w:val="00056ECB"/>
    <w:rsid w:val="00056ED5"/>
    <w:rsid w:val="00061969"/>
    <w:rsid w:val="00062810"/>
    <w:rsid w:val="000655CC"/>
    <w:rsid w:val="000700AE"/>
    <w:rsid w:val="00084024"/>
    <w:rsid w:val="0009062C"/>
    <w:rsid w:val="00095368"/>
    <w:rsid w:val="000954C4"/>
    <w:rsid w:val="000A1A00"/>
    <w:rsid w:val="000A611A"/>
    <w:rsid w:val="000B12D9"/>
    <w:rsid w:val="000B4536"/>
    <w:rsid w:val="000B4B64"/>
    <w:rsid w:val="000B7715"/>
    <w:rsid w:val="000E463B"/>
    <w:rsid w:val="000E5A7E"/>
    <w:rsid w:val="000E6ADE"/>
    <w:rsid w:val="000F43A3"/>
    <w:rsid w:val="000F7681"/>
    <w:rsid w:val="00103031"/>
    <w:rsid w:val="001044FE"/>
    <w:rsid w:val="001139D4"/>
    <w:rsid w:val="00131B08"/>
    <w:rsid w:val="001322C1"/>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169F"/>
    <w:rsid w:val="001E3789"/>
    <w:rsid w:val="001E5C9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50D5"/>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321"/>
    <w:rsid w:val="003D6DF1"/>
    <w:rsid w:val="003E0705"/>
    <w:rsid w:val="003E2FF7"/>
    <w:rsid w:val="003F1013"/>
    <w:rsid w:val="003F1ACF"/>
    <w:rsid w:val="00404948"/>
    <w:rsid w:val="00406BEA"/>
    <w:rsid w:val="00413A60"/>
    <w:rsid w:val="004230F7"/>
    <w:rsid w:val="004268BA"/>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04AF8"/>
    <w:rsid w:val="00504BBA"/>
    <w:rsid w:val="005115F9"/>
    <w:rsid w:val="00511CC4"/>
    <w:rsid w:val="005218AA"/>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6E8C"/>
    <w:rsid w:val="00642A07"/>
    <w:rsid w:val="0065595B"/>
    <w:rsid w:val="00656DCD"/>
    <w:rsid w:val="00660269"/>
    <w:rsid w:val="00665F89"/>
    <w:rsid w:val="006675B0"/>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5138"/>
    <w:rsid w:val="0078609F"/>
    <w:rsid w:val="007917BA"/>
    <w:rsid w:val="007A334E"/>
    <w:rsid w:val="007A5C6F"/>
    <w:rsid w:val="007B58B0"/>
    <w:rsid w:val="007C6690"/>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93704"/>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2DA4"/>
    <w:rsid w:val="00906238"/>
    <w:rsid w:val="00907EF9"/>
    <w:rsid w:val="00911231"/>
    <w:rsid w:val="0091295C"/>
    <w:rsid w:val="00914D58"/>
    <w:rsid w:val="009213D0"/>
    <w:rsid w:val="00921F47"/>
    <w:rsid w:val="009228AB"/>
    <w:rsid w:val="00922E5D"/>
    <w:rsid w:val="0093085B"/>
    <w:rsid w:val="00931C57"/>
    <w:rsid w:val="009347A5"/>
    <w:rsid w:val="00942257"/>
    <w:rsid w:val="009471BF"/>
    <w:rsid w:val="00950E4E"/>
    <w:rsid w:val="009529BD"/>
    <w:rsid w:val="009533B4"/>
    <w:rsid w:val="00957D35"/>
    <w:rsid w:val="00971D93"/>
    <w:rsid w:val="00986D9B"/>
    <w:rsid w:val="009B1F6B"/>
    <w:rsid w:val="009C0D12"/>
    <w:rsid w:val="009C1587"/>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0506"/>
    <w:rsid w:val="00A264BE"/>
    <w:rsid w:val="00A272CA"/>
    <w:rsid w:val="00A33051"/>
    <w:rsid w:val="00A407AD"/>
    <w:rsid w:val="00A40923"/>
    <w:rsid w:val="00A41C05"/>
    <w:rsid w:val="00A42426"/>
    <w:rsid w:val="00A514B7"/>
    <w:rsid w:val="00A54A0B"/>
    <w:rsid w:val="00A65FD4"/>
    <w:rsid w:val="00A747F6"/>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253"/>
    <w:rsid w:val="00B046D8"/>
    <w:rsid w:val="00B13F4C"/>
    <w:rsid w:val="00B16219"/>
    <w:rsid w:val="00B16C59"/>
    <w:rsid w:val="00B33FDD"/>
    <w:rsid w:val="00B359CC"/>
    <w:rsid w:val="00B36107"/>
    <w:rsid w:val="00B41789"/>
    <w:rsid w:val="00B46C03"/>
    <w:rsid w:val="00B60C6C"/>
    <w:rsid w:val="00B619A9"/>
    <w:rsid w:val="00B64FB4"/>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595C"/>
    <w:rsid w:val="00C66B30"/>
    <w:rsid w:val="00C70E19"/>
    <w:rsid w:val="00C72574"/>
    <w:rsid w:val="00C7430C"/>
    <w:rsid w:val="00C85DA1"/>
    <w:rsid w:val="00C9071C"/>
    <w:rsid w:val="00C908FF"/>
    <w:rsid w:val="00C97BD3"/>
    <w:rsid w:val="00CA39EF"/>
    <w:rsid w:val="00CA521F"/>
    <w:rsid w:val="00CB0493"/>
    <w:rsid w:val="00CB17FF"/>
    <w:rsid w:val="00CB1ED7"/>
    <w:rsid w:val="00CC167C"/>
    <w:rsid w:val="00CC4370"/>
    <w:rsid w:val="00CC52D9"/>
    <w:rsid w:val="00CC65B8"/>
    <w:rsid w:val="00CD6647"/>
    <w:rsid w:val="00CD7B3F"/>
    <w:rsid w:val="00CE099B"/>
    <w:rsid w:val="00CE4B73"/>
    <w:rsid w:val="00CF70BB"/>
    <w:rsid w:val="00D074DB"/>
    <w:rsid w:val="00D139CF"/>
    <w:rsid w:val="00D15F53"/>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5EF"/>
    <w:rsid w:val="00E424E6"/>
    <w:rsid w:val="00E52A86"/>
    <w:rsid w:val="00E54B47"/>
    <w:rsid w:val="00E553BF"/>
    <w:rsid w:val="00E55D93"/>
    <w:rsid w:val="00E61294"/>
    <w:rsid w:val="00E7237C"/>
    <w:rsid w:val="00E77C46"/>
    <w:rsid w:val="00E80137"/>
    <w:rsid w:val="00E86CE8"/>
    <w:rsid w:val="00E90E82"/>
    <w:rsid w:val="00EA00CB"/>
    <w:rsid w:val="00EA1BAA"/>
    <w:rsid w:val="00EA3FCD"/>
    <w:rsid w:val="00EA42A0"/>
    <w:rsid w:val="00EB6714"/>
    <w:rsid w:val="00EC0A68"/>
    <w:rsid w:val="00EC3C32"/>
    <w:rsid w:val="00EC5006"/>
    <w:rsid w:val="00ED49C3"/>
    <w:rsid w:val="00ED6CE8"/>
    <w:rsid w:val="00ED7AA6"/>
    <w:rsid w:val="00ED7B8C"/>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4DA8"/>
    <w:rsid w:val="00FF7C02"/>
    <w:rsid w:val="024801E3"/>
    <w:rsid w:val="376B6543"/>
    <w:rsid w:val="3DFC83E7"/>
    <w:rsid w:val="3E44F878"/>
    <w:rsid w:val="450F5791"/>
    <w:rsid w:val="4A808A97"/>
    <w:rsid w:val="55B98A16"/>
    <w:rsid w:val="647B2B65"/>
    <w:rsid w:val="6B2CF8ED"/>
    <w:rsid w:val="735C011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B7FB7C43-FDA4-4227-979C-AEB85CE94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1E5C9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table" w:customStyle="1" w:styleId="Rutntstabell4dekorfrg51">
    <w:name w:val="Rutnätstabell 4 – dekorfärg 51"/>
    <w:basedOn w:val="Normaltabell"/>
    <w:next w:val="Rutntstabell4dekorfrg5"/>
    <w:uiPriority w:val="49"/>
    <w:rsid w:val="009213D0"/>
    <w:rPr>
      <w:rFonts w:ascii="Calibri" w:eastAsia="Calibri" w:hAnsi="Calibri"/>
      <w:sz w:val="22"/>
      <w:szCs w:val="22"/>
      <w:lang w:eastAsia="en-US"/>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Rutntstabell4dekorfrg5">
    <w:name w:val="Grid Table 4 Accent 5"/>
    <w:basedOn w:val="Normaltabell"/>
    <w:uiPriority w:val="49"/>
    <w:rsid w:val="009213D0"/>
    <w:tblPr>
      <w:tblStyleRowBandSize w:val="1"/>
      <w:tblStyleColBandSize w:val="1"/>
      <w:tblBorders>
        <w:top w:val="single" w:sz="4" w:space="0" w:color="DD6174" w:themeColor="accent5" w:themeTint="99"/>
        <w:left w:val="single" w:sz="4" w:space="0" w:color="DD6174" w:themeColor="accent5" w:themeTint="99"/>
        <w:bottom w:val="single" w:sz="4" w:space="0" w:color="DD6174" w:themeColor="accent5" w:themeTint="99"/>
        <w:right w:val="single" w:sz="4" w:space="0" w:color="DD6174" w:themeColor="accent5" w:themeTint="99"/>
        <w:insideH w:val="single" w:sz="4" w:space="0" w:color="DD6174" w:themeColor="accent5" w:themeTint="99"/>
        <w:insideV w:val="single" w:sz="4" w:space="0" w:color="DD6174" w:themeColor="accent5" w:themeTint="99"/>
      </w:tblBorders>
    </w:tblPr>
    <w:tblStylePr w:type="firstRow">
      <w:rPr>
        <w:b/>
        <w:bCs/>
        <w:color w:val="FFFFFF" w:themeColor="background1"/>
      </w:rPr>
      <w:tblPr/>
      <w:tcPr>
        <w:tcBorders>
          <w:top w:val="single" w:sz="4" w:space="0" w:color="9D2235" w:themeColor="accent5"/>
          <w:left w:val="single" w:sz="4" w:space="0" w:color="9D2235" w:themeColor="accent5"/>
          <w:bottom w:val="single" w:sz="4" w:space="0" w:color="9D2235" w:themeColor="accent5"/>
          <w:right w:val="single" w:sz="4" w:space="0" w:color="9D2235" w:themeColor="accent5"/>
          <w:insideH w:val="nil"/>
          <w:insideV w:val="nil"/>
        </w:tcBorders>
        <w:shd w:val="clear" w:color="auto" w:fill="9D2235" w:themeFill="accent5"/>
      </w:tcPr>
    </w:tblStylePr>
    <w:tblStylePr w:type="lastRow">
      <w:rPr>
        <w:b/>
        <w:bCs/>
      </w:rPr>
      <w:tblPr/>
      <w:tcPr>
        <w:tcBorders>
          <w:top w:val="double" w:sz="4" w:space="0" w:color="9D2235" w:themeColor="accent5"/>
        </w:tcBorders>
      </w:tcPr>
    </w:tblStylePr>
    <w:tblStylePr w:type="firstCol">
      <w:rPr>
        <w:b/>
        <w:bCs/>
      </w:rPr>
    </w:tblStylePr>
    <w:tblStylePr w:type="lastCol">
      <w:rPr>
        <w:b/>
        <w:bCs/>
      </w:rPr>
    </w:tblStylePr>
    <w:tblStylePr w:type="band1Vert">
      <w:tblPr/>
      <w:tcPr>
        <w:shd w:val="clear" w:color="auto" w:fill="F3CAD0" w:themeFill="accent5" w:themeFillTint="33"/>
      </w:tcPr>
    </w:tblStylePr>
    <w:tblStylePr w:type="band1Horz">
      <w:tblPr/>
      <w:tcPr>
        <w:shd w:val="clear" w:color="auto" w:fill="F3CAD0" w:themeFill="accent5" w:themeFillTint="33"/>
      </w:tcPr>
    </w:tblStylePr>
  </w:style>
  <w:style w:type="table" w:customStyle="1" w:styleId="Rutntstabell1ljusdekorfrg11">
    <w:name w:val="Rutnätstabell 1 ljus – dekorfärg 11"/>
    <w:basedOn w:val="Normaltabell"/>
    <w:next w:val="Rutntstabell1ljusdekorfrg1"/>
    <w:uiPriority w:val="46"/>
    <w:rsid w:val="00AF7253"/>
    <w:rPr>
      <w:rFonts w:ascii="Calibri" w:eastAsia="Calibri" w:hAnsi="Calibri"/>
      <w:sz w:val="22"/>
      <w:szCs w:val="22"/>
      <w:lang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Rutntstabell1ljusdekorfrg1">
    <w:name w:val="Grid Table 1 Light Accent 1"/>
    <w:basedOn w:val="Normaltabell"/>
    <w:uiPriority w:val="46"/>
    <w:rsid w:val="00AF7253"/>
    <w:tblPr>
      <w:tblStyleRowBandSize w:val="1"/>
      <w:tblStyleColBandSize w:val="1"/>
      <w:tblBorders>
        <w:top w:val="single" w:sz="4" w:space="0" w:color="6FCBFF" w:themeColor="accent1" w:themeTint="66"/>
        <w:left w:val="single" w:sz="4" w:space="0" w:color="6FCBFF" w:themeColor="accent1" w:themeTint="66"/>
        <w:bottom w:val="single" w:sz="4" w:space="0" w:color="6FCBFF" w:themeColor="accent1" w:themeTint="66"/>
        <w:right w:val="single" w:sz="4" w:space="0" w:color="6FCBFF" w:themeColor="accent1" w:themeTint="66"/>
        <w:insideH w:val="single" w:sz="4" w:space="0" w:color="6FCBFF" w:themeColor="accent1" w:themeTint="66"/>
        <w:insideV w:val="single" w:sz="4" w:space="0" w:color="6FCBFF" w:themeColor="accent1" w:themeTint="66"/>
      </w:tblBorders>
    </w:tblPr>
    <w:tblStylePr w:type="firstRow">
      <w:rPr>
        <w:b/>
        <w:bCs/>
      </w:rPr>
      <w:tblPr/>
      <w:tcPr>
        <w:tcBorders>
          <w:bottom w:val="single" w:sz="12" w:space="0" w:color="28B2FF" w:themeColor="accent1" w:themeTint="99"/>
        </w:tcBorders>
      </w:tcPr>
    </w:tblStylePr>
    <w:tblStylePr w:type="lastRow">
      <w:rPr>
        <w:b/>
        <w:bCs/>
      </w:rPr>
      <w:tblPr/>
      <w:tcPr>
        <w:tcBorders>
          <w:top w:val="double" w:sz="2" w:space="0" w:color="28B2FF"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7</Pages>
  <Words>1402</Words>
  <Characters>9240</Characters>
  <Application>Microsoft Office Word</Application>
  <DocSecurity>0</DocSecurity>
  <Lines>77</Lines>
  <Paragraphs>21</Paragraphs>
  <ScaleCrop>false</ScaleCrop>
  <Manager/>
  <Company/>
  <LinksUpToDate>false</LinksUpToDate>
  <CharactersWithSpaces>10621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Generella ordinationer till sjuksköterskor inom heldygnsvård - Psykiatri</dc:title>
  <dc:subject/>
  <dc:creator/>
  <keywords/>
  <lastModifiedBy>Liselotte Österberg</lastModifiedBy>
  <revision>25</revision>
  <dcterms:created xsi:type="dcterms:W3CDTF">2022-03-09T13:08:00.0000000Z</dcterms:created>
  <dcterms:modified xsi:type="dcterms:W3CDTF">2025-09-04T08:05:00.0000000Z</dcterms:modified>
</coreProperties>
</file>