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AD9571" w14:textId="77777777" w:rsidR="008F2A96" w:rsidRDefault="008F2A96" w:rsidP="00F35B05">
      <w:pPr>
        <w:pStyle w:val="Rubrik2"/>
        <w:sectPr w:rsidR="008F2A96" w:rsidSect="008F2A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B53085" w14:textId="78473AF8" w:rsidR="004731BF" w:rsidRDefault="004731BF" w:rsidP="004731BF">
      <w:pPr>
        <w:pStyle w:val="Rubrik1"/>
      </w:pPr>
      <w:r>
        <w:t>Antibiotikaprofylax inom gynekologi</w:t>
      </w:r>
    </w:p>
    <w:p w14:paraId="1A4AD1B1" w14:textId="6B4DEE20" w:rsidR="008F2A96" w:rsidRPr="008F2A96" w:rsidRDefault="008F2A96" w:rsidP="004731BF">
      <w:pPr>
        <w:pStyle w:val="Rubrik2"/>
      </w:pPr>
      <w:r w:rsidRPr="008F2A96">
        <w:t>Revideringar i denna version</w:t>
      </w:r>
    </w:p>
    <w:p w14:paraId="1B97EA35" w14:textId="7026F65F" w:rsidR="008F2A96" w:rsidRPr="008F2A96" w:rsidRDefault="00C80062" w:rsidP="004731BF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2E00BB90" w14:textId="77777777" w:rsidR="008F2A96" w:rsidRPr="008F2A96" w:rsidRDefault="008F2A96" w:rsidP="004731BF">
      <w:pPr>
        <w:pStyle w:val="Rubrik2"/>
      </w:pPr>
      <w:r w:rsidRPr="008F2A96">
        <w:t>Bakgrund, syfte och mål</w:t>
      </w:r>
    </w:p>
    <w:p w14:paraId="3C6B824E" w14:textId="1679C791" w:rsidR="008F2A96" w:rsidRPr="008F2A96" w:rsidRDefault="008F2A96" w:rsidP="004731BF">
      <w:r w:rsidRPr="008F2A96">
        <w:t>Rent allmänt gäller för antibiotikaprofylax att när kirurgin påbörjas ska adekvata vävnadskoncent</w:t>
      </w:r>
      <w:r w:rsidRPr="008F2A96">
        <w:softHyphen/>
        <w:t>rationer finnas redan när vävnaden kontamine</w:t>
      </w:r>
      <w:r w:rsidR="002C5C25">
        <w:softHyphen/>
      </w:r>
      <w:r w:rsidRPr="008F2A96">
        <w:t>ras. Enkeldos bör eftersträvas. Teoretiskt är det eftersträvansvärt att inte använda samma profylaxantibiotika som man sedan använder i behand</w:t>
      </w:r>
      <w:r w:rsidRPr="008F2A96">
        <w:softHyphen/>
        <w:t>lingen och att inte alla kliniker på samma sjukhus använder samma pro</w:t>
      </w:r>
      <w:r w:rsidR="002C5C25">
        <w:softHyphen/>
      </w:r>
      <w:r w:rsidRPr="008F2A96">
        <w:t xml:space="preserve">fylax som </w:t>
      </w:r>
      <w:proofErr w:type="spellStart"/>
      <w:r w:rsidRPr="008F2A96">
        <w:t>colo</w:t>
      </w:r>
      <w:proofErr w:type="spellEnd"/>
      <w:r w:rsidRPr="008F2A96">
        <w:t xml:space="preserve">-rektalkirurgi då det bakteriella </w:t>
      </w:r>
      <w:proofErr w:type="spellStart"/>
      <w:r w:rsidRPr="008F2A96">
        <w:t>spektrat</w:t>
      </w:r>
      <w:proofErr w:type="spellEnd"/>
      <w:r w:rsidRPr="008F2A96">
        <w:t xml:space="preserve"> i vagina till en del skiljer sig från det i tarmen. Vid små sjukhus måste enkelhet och prak</w:t>
      </w:r>
      <w:r w:rsidR="002C5C25">
        <w:softHyphen/>
      </w:r>
      <w:r w:rsidRPr="008F2A96">
        <w:t>tiska rutiner också vägas in. På en gemensam operationsavdelning kan man inte ha olika profylaxrutiner för varje klinik. Det kommer därför all</w:t>
      </w:r>
      <w:r w:rsidR="002C5C25">
        <w:softHyphen/>
      </w:r>
      <w:r w:rsidRPr="008F2A96">
        <w:t>tid att bli en kompromiss som måste anpassas till det lokala sjukhuset så även i vårt fall.</w:t>
      </w:r>
    </w:p>
    <w:p w14:paraId="617E6AD1" w14:textId="37ED880C" w:rsidR="008F2A96" w:rsidRPr="008F2A96" w:rsidRDefault="008F2A96" w:rsidP="004731BF">
      <w:pPr>
        <w:rPr>
          <w:rFonts w:ascii="Arial" w:hAnsi="Arial" w:cs="Arial"/>
          <w:sz w:val="20"/>
          <w:szCs w:val="20"/>
        </w:rPr>
      </w:pPr>
      <w:r w:rsidRPr="008F2A96">
        <w:t xml:space="preserve">Se även styrdokument </w:t>
      </w:r>
      <w:hyperlink r:id="rId17" w:history="1">
        <w:r w:rsidRPr="008F2A96">
          <w:rPr>
            <w:color w:val="0563C1"/>
            <w:u w:val="single"/>
          </w:rPr>
          <w:t>Antibiotikaprofylax inom obstetrik</w:t>
        </w:r>
      </w:hyperlink>
      <w:r w:rsidRPr="008F2A96">
        <w:t>.</w:t>
      </w:r>
    </w:p>
    <w:p w14:paraId="49D4B602" w14:textId="06A05A6F" w:rsidR="008F2A96" w:rsidRPr="008F2A96" w:rsidRDefault="008F2A96" w:rsidP="004731BF">
      <w:pPr>
        <w:pStyle w:val="Rubrik2"/>
      </w:pPr>
      <w:r w:rsidRPr="008F2A96">
        <w:t>Antibiotikaprofylax vid hysterektomi, abdo</w:t>
      </w:r>
      <w:r w:rsidR="002C5C25">
        <w:softHyphen/>
      </w:r>
      <w:r w:rsidRPr="008F2A96">
        <w:t>minell, laparoskopisk och vaginal</w:t>
      </w:r>
    </w:p>
    <w:p w14:paraId="00573BA7" w14:textId="77777777" w:rsidR="008F2A96" w:rsidRPr="008F2A96" w:rsidRDefault="008F2A96" w:rsidP="004731BF">
      <w:pPr>
        <w:pStyle w:val="MellanrubrikVGR"/>
      </w:pPr>
      <w:r w:rsidRPr="008F2A96">
        <w:t xml:space="preserve">Normalprofylaxen </w:t>
      </w:r>
    </w:p>
    <w:p w14:paraId="426C36BC" w14:textId="4944DF77" w:rsidR="008F2A96" w:rsidRPr="008F2A96" w:rsidRDefault="008F2A96" w:rsidP="004731BF">
      <w:pPr>
        <w:rPr>
          <w:rFonts w:ascii="Arial" w:hAnsi="Arial" w:cs="Arial"/>
          <w:sz w:val="20"/>
          <w:szCs w:val="20"/>
        </w:rPr>
      </w:pPr>
      <w:r w:rsidRPr="008F2A96">
        <w:t xml:space="preserve">Tablett </w:t>
      </w:r>
      <w:proofErr w:type="spellStart"/>
      <w:r w:rsidRPr="008F2A96">
        <w:t>sulfametoxazol</w:t>
      </w:r>
      <w:proofErr w:type="spellEnd"/>
      <w:r w:rsidRPr="008F2A96">
        <w:t xml:space="preserve"> + </w:t>
      </w:r>
      <w:proofErr w:type="spellStart"/>
      <w:r w:rsidRPr="008F2A96">
        <w:t>trimetoprim</w:t>
      </w:r>
      <w:proofErr w:type="spellEnd"/>
      <w:r w:rsidRPr="008F2A96">
        <w:t xml:space="preserve"> (</w:t>
      </w:r>
      <w:proofErr w:type="spellStart"/>
      <w:r w:rsidRPr="008F2A96">
        <w:t>Bactrim</w:t>
      </w:r>
      <w:proofErr w:type="spellEnd"/>
      <w:r w:rsidRPr="008F2A96">
        <w:t xml:space="preserve"> forte) 2 tabletter och 2 tabletter </w:t>
      </w:r>
      <w:proofErr w:type="spellStart"/>
      <w:r w:rsidRPr="008F2A96">
        <w:t>metronidazol</w:t>
      </w:r>
      <w:proofErr w:type="spellEnd"/>
      <w:r w:rsidRPr="008F2A96">
        <w:t xml:space="preserve"> </w:t>
      </w:r>
      <w:r w:rsidRPr="00C80062">
        <w:t>(</w:t>
      </w:r>
      <w:proofErr w:type="spellStart"/>
      <w:r w:rsidR="008C7F8A" w:rsidRPr="00C80062">
        <w:t>Flagyl</w:t>
      </w:r>
      <w:proofErr w:type="spellEnd"/>
      <w:r w:rsidRPr="00C80062">
        <w:t xml:space="preserve">) </w:t>
      </w:r>
      <w:r w:rsidR="008C7F8A" w:rsidRPr="00C80062">
        <w:t>4</w:t>
      </w:r>
      <w:r w:rsidRPr="00C80062">
        <w:t>00 mg</w:t>
      </w:r>
      <w:r w:rsidRPr="008F2A96">
        <w:t xml:space="preserve"> ordineras i Melior. (För kvinnor som har protes eller är hjärtklaff</w:t>
      </w:r>
      <w:r w:rsidRPr="008F2A96">
        <w:softHyphen/>
        <w:t xml:space="preserve">opererade räcker denna profylax, man behöver inte ge </w:t>
      </w:r>
      <w:proofErr w:type="spellStart"/>
      <w:r w:rsidRPr="008F2A96">
        <w:t>sulva</w:t>
      </w:r>
      <w:proofErr w:type="spellEnd"/>
      <w:r w:rsidRPr="008F2A96">
        <w:t xml:space="preserve"> + </w:t>
      </w:r>
      <w:proofErr w:type="spellStart"/>
      <w:r w:rsidRPr="008F2A96">
        <w:t>amoxicillin</w:t>
      </w:r>
      <w:proofErr w:type="spellEnd"/>
      <w:r w:rsidRPr="008F2A96">
        <w:t>.) Hos menstruerande kvinnor ska bakteriell vaginos-diagnostik göras. Vid sulfa</w:t>
      </w:r>
      <w:r w:rsidRPr="008F2A96">
        <w:softHyphen/>
        <w:t xml:space="preserve">allergi ge i stället tablett </w:t>
      </w:r>
      <w:proofErr w:type="spellStart"/>
      <w:r w:rsidRPr="008F2A96">
        <w:t>amoxicillin</w:t>
      </w:r>
      <w:proofErr w:type="spellEnd"/>
      <w:r w:rsidRPr="008F2A96">
        <w:t xml:space="preserve"> (</w:t>
      </w:r>
      <w:proofErr w:type="spellStart"/>
      <w:r w:rsidRPr="008F2A96">
        <w:t>Ami</w:t>
      </w:r>
      <w:r w:rsidRPr="008F2A96">
        <w:softHyphen/>
        <w:t>mox</w:t>
      </w:r>
      <w:proofErr w:type="spellEnd"/>
      <w:r w:rsidRPr="008F2A96">
        <w:t xml:space="preserve">) 3 gram (4 tabletter à 750 mg) och 2 tabletter </w:t>
      </w:r>
      <w:proofErr w:type="spellStart"/>
      <w:r w:rsidRPr="008F2A96">
        <w:t>met</w:t>
      </w:r>
      <w:r w:rsidR="002C5C25">
        <w:softHyphen/>
      </w:r>
      <w:r w:rsidRPr="008F2A96">
        <w:t>ronidazol</w:t>
      </w:r>
      <w:proofErr w:type="spellEnd"/>
      <w:r w:rsidRPr="008F2A96">
        <w:t xml:space="preserve"> </w:t>
      </w:r>
      <w:r w:rsidRPr="00C80062">
        <w:t>(</w:t>
      </w:r>
      <w:proofErr w:type="spellStart"/>
      <w:r w:rsidR="00B65CBB" w:rsidRPr="00C80062">
        <w:t>Flagyl</w:t>
      </w:r>
      <w:proofErr w:type="spellEnd"/>
      <w:r w:rsidRPr="00C80062">
        <w:t xml:space="preserve">) </w:t>
      </w:r>
      <w:r w:rsidR="00B65CBB" w:rsidRPr="00C80062">
        <w:t>4</w:t>
      </w:r>
      <w:r w:rsidRPr="00C80062">
        <w:t>00 mg</w:t>
      </w:r>
      <w:r w:rsidRPr="008F2A96">
        <w:t xml:space="preserve">. </w:t>
      </w:r>
    </w:p>
    <w:p w14:paraId="4C7CA0B0" w14:textId="77777777" w:rsidR="008F2A96" w:rsidRPr="008F2A96" w:rsidRDefault="008F2A96" w:rsidP="004731BF">
      <w:pPr>
        <w:pStyle w:val="MellanrubrikVGR"/>
      </w:pPr>
      <w:r w:rsidRPr="008F2A96">
        <w:lastRenderedPageBreak/>
        <w:t>Utvidgade profylaxen</w:t>
      </w:r>
    </w:p>
    <w:p w14:paraId="3D553C62" w14:textId="16FF4743" w:rsidR="008F2A96" w:rsidRPr="008F2A96" w:rsidRDefault="008F2A96" w:rsidP="004731BF">
      <w:pPr>
        <w:rPr>
          <w:rFonts w:ascii="Arial" w:hAnsi="Arial" w:cs="Arial"/>
          <w:sz w:val="20"/>
          <w:szCs w:val="20"/>
        </w:rPr>
      </w:pPr>
      <w:r w:rsidRPr="008F2A96">
        <w:t xml:space="preserve">Samma som ovan, vid utvidgad profylax så finns inte längre </w:t>
      </w:r>
      <w:proofErr w:type="spellStart"/>
      <w:r w:rsidRPr="008F2A96">
        <w:t>Flagyl</w:t>
      </w:r>
      <w:proofErr w:type="spellEnd"/>
      <w:r w:rsidRPr="008F2A96">
        <w:t xml:space="preserve"> vagi</w:t>
      </w:r>
      <w:r w:rsidR="002C5C25">
        <w:softHyphen/>
      </w:r>
      <w:r w:rsidRPr="008F2A96">
        <w:t xml:space="preserve">torium att tillgå. Kan ersättas med </w:t>
      </w:r>
      <w:proofErr w:type="spellStart"/>
      <w:r w:rsidRPr="008F2A96">
        <w:t>Flagyltablett</w:t>
      </w:r>
      <w:proofErr w:type="spellEnd"/>
      <w:r w:rsidRPr="008F2A96">
        <w:t xml:space="preserve"> 400 mg men det är van</w:t>
      </w:r>
      <w:r w:rsidR="002C5C25">
        <w:softHyphen/>
      </w:r>
      <w:r w:rsidRPr="008F2A96">
        <w:t xml:space="preserve">ligt att patienterna får illamående. Dessa patienter är postoperativa och postoperativt illamående är vanligt, då kan </w:t>
      </w:r>
      <w:proofErr w:type="spellStart"/>
      <w:r w:rsidRPr="008F2A96">
        <w:t>Dalacinkapslar</w:t>
      </w:r>
      <w:proofErr w:type="spellEnd"/>
      <w:r w:rsidRPr="008F2A96">
        <w:t xml:space="preserve"> 300 mg x 2 övervägas. </w:t>
      </w:r>
      <w:r w:rsidRPr="008F2A96">
        <w:rPr>
          <w:i/>
        </w:rPr>
        <w:t>OBS! Detta skrivs in i läkemedelsmodulen i Melior.</w:t>
      </w:r>
    </w:p>
    <w:p w14:paraId="09FA5EF6" w14:textId="133B2E9D" w:rsidR="008F2A96" w:rsidRPr="008F2A96" w:rsidRDefault="008F2A96" w:rsidP="004731BF">
      <w:pPr>
        <w:pStyle w:val="Rubrik2"/>
      </w:pPr>
      <w:r w:rsidRPr="008F2A96">
        <w:t>Antibiotikaprofylax vid inkontinensoperat</w:t>
      </w:r>
      <w:r w:rsidR="002C5C25">
        <w:softHyphen/>
      </w:r>
      <w:r w:rsidRPr="008F2A96">
        <w:t>ioner</w:t>
      </w:r>
    </w:p>
    <w:p w14:paraId="25B397B6" w14:textId="154930D1" w:rsidR="008F2A96" w:rsidRPr="008F2A96" w:rsidRDefault="008F2A96" w:rsidP="004731BF">
      <w:pPr>
        <w:rPr>
          <w:rFonts w:ascii="Arial" w:hAnsi="Arial" w:cs="Arial"/>
          <w:i/>
          <w:sz w:val="20"/>
          <w:szCs w:val="20"/>
        </w:rPr>
      </w:pPr>
      <w:r w:rsidRPr="008F2A96">
        <w:t xml:space="preserve">Tablett Sulfa + </w:t>
      </w:r>
      <w:proofErr w:type="spellStart"/>
      <w:r w:rsidRPr="008F2A96">
        <w:t>trimetoprim</w:t>
      </w:r>
      <w:proofErr w:type="spellEnd"/>
      <w:r w:rsidRPr="008F2A96">
        <w:t xml:space="preserve"> (</w:t>
      </w:r>
      <w:proofErr w:type="spellStart"/>
      <w:r w:rsidRPr="008F2A96">
        <w:t>Bactrim</w:t>
      </w:r>
      <w:proofErr w:type="spellEnd"/>
      <w:r w:rsidRPr="008F2A96">
        <w:t xml:space="preserve"> forte) 2 tabletter ges i samband med premedicinering. Polikli</w:t>
      </w:r>
      <w:r w:rsidRPr="008F2A96">
        <w:softHyphen/>
        <w:t>niska operationer kan ordineras i Melior un</w:t>
      </w:r>
      <w:r w:rsidR="002C5C25">
        <w:softHyphen/>
      </w:r>
      <w:r w:rsidRPr="008F2A96">
        <w:t xml:space="preserve">der ”Ny planering”. </w:t>
      </w:r>
    </w:p>
    <w:p w14:paraId="75CFF88E" w14:textId="77777777" w:rsidR="008F2A96" w:rsidRPr="008F2A96" w:rsidRDefault="008F2A96" w:rsidP="004731BF">
      <w:pPr>
        <w:pStyle w:val="Rubrik2"/>
      </w:pPr>
      <w:r w:rsidRPr="008F2A96">
        <w:t>Antibiotikaprofylax vid aborter</w:t>
      </w:r>
    </w:p>
    <w:p w14:paraId="1F653BE3" w14:textId="289115D6" w:rsidR="008F2A96" w:rsidRPr="008F2A96" w:rsidRDefault="008F2A96" w:rsidP="004731BF">
      <w:r w:rsidRPr="008F2A96">
        <w:t>Generell profylax vid kirurgiska aborter rekommenderas inte.</w:t>
      </w:r>
    </w:p>
    <w:p w14:paraId="09B743A4" w14:textId="2D2722DE" w:rsidR="008F2A96" w:rsidRDefault="008F2A96" w:rsidP="004731BF">
      <w:r w:rsidRPr="008F2A96">
        <w:t xml:space="preserve">Kvinnor med klamydia-, </w:t>
      </w:r>
      <w:proofErr w:type="spellStart"/>
      <w:r w:rsidRPr="008F2A96">
        <w:t>mykoplasmainfektion</w:t>
      </w:r>
      <w:proofErr w:type="spellEnd"/>
      <w:r w:rsidRPr="008F2A96">
        <w:t xml:space="preserve"> respektive bakteriell va</w:t>
      </w:r>
      <w:r w:rsidR="002C5C25">
        <w:softHyphen/>
      </w:r>
      <w:r w:rsidRPr="008F2A96">
        <w:t>ginos bör däremot behandlas. Ges dessa kvinnor behandling före aborten, är det egentligen inte fråga om antibiotikaprofylax utan behandling.</w:t>
      </w:r>
    </w:p>
    <w:p w14:paraId="6211CE6C" w14:textId="6EA795EB" w:rsidR="004731BF" w:rsidRDefault="00176714" w:rsidP="00176714">
      <w:pPr>
        <w:pStyle w:val="Punktlista"/>
      </w:pPr>
      <w:r>
        <w:t xml:space="preserve">Vid klamydiainfektion rekommenderas </w:t>
      </w:r>
      <w:proofErr w:type="spellStart"/>
      <w:r>
        <w:t>Doxyferm</w:t>
      </w:r>
      <w:proofErr w:type="spellEnd"/>
      <w:r>
        <w:t xml:space="preserve"> 100 mg, 2+1+1+1+1+1+1+1</w:t>
      </w:r>
      <w:r w:rsidR="00BC521E">
        <w:t>+1.</w:t>
      </w:r>
    </w:p>
    <w:p w14:paraId="6504C396" w14:textId="6731DC9C" w:rsidR="00BC521E" w:rsidRDefault="00BC521E" w:rsidP="00176714">
      <w:pPr>
        <w:pStyle w:val="Punktlista"/>
      </w:pPr>
      <w:r>
        <w:t xml:space="preserve">Vid </w:t>
      </w:r>
      <w:proofErr w:type="spellStart"/>
      <w:r>
        <w:t>mykoplasmainfektion</w:t>
      </w:r>
      <w:proofErr w:type="spellEnd"/>
      <w:r>
        <w:t xml:space="preserve"> </w:t>
      </w:r>
      <w:r w:rsidR="00993EE0">
        <w:t>–</w:t>
      </w:r>
      <w:r>
        <w:t xml:space="preserve"> </w:t>
      </w:r>
      <w:proofErr w:type="spellStart"/>
      <w:r>
        <w:t>Azitro</w:t>
      </w:r>
      <w:r w:rsidR="00993EE0">
        <w:t>max</w:t>
      </w:r>
      <w:proofErr w:type="spellEnd"/>
      <w:r w:rsidR="00993EE0">
        <w:t xml:space="preserve"> 250 mg, </w:t>
      </w:r>
      <w:proofErr w:type="gramStart"/>
      <w:r w:rsidR="00993EE0">
        <w:t xml:space="preserve">6 </w:t>
      </w:r>
      <w:proofErr w:type="spellStart"/>
      <w:r w:rsidR="00993EE0">
        <w:t>st</w:t>
      </w:r>
      <w:proofErr w:type="spellEnd"/>
      <w:proofErr w:type="gramEnd"/>
      <w:r w:rsidR="00993EE0">
        <w:t xml:space="preserve"> (2+1+1+1+1).</w:t>
      </w:r>
    </w:p>
    <w:p w14:paraId="48C78E21" w14:textId="7FE81F52" w:rsidR="008F2A96" w:rsidRPr="005055D1" w:rsidRDefault="00993EE0" w:rsidP="005055D1">
      <w:pPr>
        <w:pStyle w:val="Punktlista"/>
      </w:pPr>
      <w:r>
        <w:t xml:space="preserve">Vid BV – se styrdokument </w:t>
      </w:r>
      <w:hyperlink r:id="rId18" w:history="1">
        <w:r w:rsidRPr="008B3200">
          <w:rPr>
            <w:rStyle w:val="Hyperlnk"/>
          </w:rPr>
          <w:t>Bakteriell vaginos – behandling och patientinformation</w:t>
        </w:r>
      </w:hyperlink>
      <w:r>
        <w:t>.</w:t>
      </w:r>
    </w:p>
    <w:p w14:paraId="021E331A" w14:textId="4654300C" w:rsidR="008F2A96" w:rsidRPr="008F2A96" w:rsidRDefault="008F2A96" w:rsidP="004731BF">
      <w:r w:rsidRPr="008F2A96">
        <w:t>Det finns inga vetenskapliga studier på medicinska aborter men vi anser att dessa ska handläggas på samma sätt som kirurgiska aborter.</w:t>
      </w:r>
    </w:p>
    <w:p w14:paraId="68ABB7D7" w14:textId="75E692CD" w:rsidR="008F2A96" w:rsidRPr="008F2A96" w:rsidRDefault="008F2A96" w:rsidP="004731BF">
      <w:pPr>
        <w:rPr>
          <w:rFonts w:ascii="Arial" w:hAnsi="Arial" w:cs="Arial"/>
          <w:sz w:val="20"/>
          <w:szCs w:val="20"/>
        </w:rPr>
      </w:pPr>
      <w:r w:rsidRPr="008F2A96">
        <w:t>Screening av BV kan göras med pH och snifftest samt mikroskopering.</w:t>
      </w:r>
    </w:p>
    <w:p w14:paraId="1EB890C5" w14:textId="77777777" w:rsidR="008F2A96" w:rsidRPr="008F2A96" w:rsidRDefault="008F2A96" w:rsidP="004731BF">
      <w:pPr>
        <w:pStyle w:val="Rubrik2"/>
      </w:pPr>
      <w:r w:rsidRPr="008F2A96">
        <w:t>Preoperativa urinodlingar</w:t>
      </w:r>
    </w:p>
    <w:p w14:paraId="76B9F95B" w14:textId="2158BDE6" w:rsidR="00536A5A" w:rsidRPr="00536A5A" w:rsidRDefault="008F2A96" w:rsidP="005055D1">
      <w:r w:rsidRPr="008F2A96">
        <w:t xml:space="preserve">På alla som ska opereras med inkontinens- respektive prolapskirurgi görs en </w:t>
      </w:r>
      <w:proofErr w:type="spellStart"/>
      <w:r w:rsidRPr="008F2A96">
        <w:t>preoperativ</w:t>
      </w:r>
      <w:proofErr w:type="spellEnd"/>
      <w:r w:rsidRPr="008F2A96">
        <w:t xml:space="preserve"> urinodling. Är denna positiv men patienten inte har sym</w:t>
      </w:r>
      <w:r w:rsidR="002C5C25">
        <w:softHyphen/>
      </w:r>
      <w:r w:rsidRPr="008F2A96">
        <w:t>tom behöver hon inte behandlas utan man kan avvakta med att sätta in behandling till dess att patienten kommer till gynavdelningen. Låt då re</w:t>
      </w:r>
      <w:r w:rsidR="002C5C25">
        <w:softHyphen/>
      </w:r>
      <w:r w:rsidRPr="008F2A96">
        <w:t>sistens</w:t>
      </w:r>
      <w:r w:rsidRPr="008F2A96">
        <w:softHyphen/>
        <w:t>mönstret bestämma vilket antibiotikaval. Patienten är då inneligg</w:t>
      </w:r>
      <w:r w:rsidR="002C5C25">
        <w:softHyphen/>
      </w:r>
      <w:r w:rsidRPr="008F2A96">
        <w:t xml:space="preserve">ande och opereras varför </w:t>
      </w:r>
      <w:proofErr w:type="spellStart"/>
      <w:r w:rsidRPr="008F2A96">
        <w:t>Furadan</w:t>
      </w:r>
      <w:r w:rsidRPr="008F2A96">
        <w:softHyphen/>
        <w:t>tin</w:t>
      </w:r>
      <w:proofErr w:type="spellEnd"/>
      <w:r w:rsidRPr="008F2A96">
        <w:t>, som är ett mycket bra val i öppen</w:t>
      </w:r>
      <w:r w:rsidR="002C5C25">
        <w:softHyphen/>
      </w:r>
      <w:r w:rsidRPr="008F2A96">
        <w:t>vård, inte bedöms som fullt så bra utan välj i stället ett lite bre</w:t>
      </w:r>
      <w:r w:rsidRPr="008F2A96">
        <w:softHyphen/>
        <w:t>dare prepa</w:t>
      </w:r>
      <w:r w:rsidR="002C5C25">
        <w:softHyphen/>
      </w:r>
      <w:r w:rsidRPr="008F2A96">
        <w:t>rat efter resistensmönster.</w:t>
      </w:r>
      <w:bookmarkEnd w:id="0"/>
    </w:p>
    <w:sectPr w:rsidR="00536A5A" w:rsidRPr="00536A5A" w:rsidSect="008F2A9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7AB3F" w14:textId="77777777" w:rsidR="008D53E5" w:rsidRDefault="008D53E5">
      <w:r>
        <w:separator/>
      </w:r>
    </w:p>
  </w:endnote>
  <w:endnote w:type="continuationSeparator" w:id="0">
    <w:p w14:paraId="0C114F77" w14:textId="77777777" w:rsidR="008D53E5" w:rsidRDefault="008D53E5">
      <w:r>
        <w:continuationSeparator/>
      </w:r>
    </w:p>
  </w:endnote>
  <w:endnote w:type="continuationNotice" w:id="1">
    <w:p w14:paraId="2EFA84B2" w14:textId="77777777" w:rsidR="008D53E5" w:rsidRDefault="008D53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37C10E" w14:textId="77777777" w:rsidR="008D53E5" w:rsidRDefault="008D53E5"/>
  </w:footnote>
  <w:footnote w:type="continuationSeparator" w:id="0">
    <w:p w14:paraId="5CFBF235" w14:textId="77777777" w:rsidR="008D53E5" w:rsidRDefault="008D53E5">
      <w:r>
        <w:continuationSeparator/>
      </w:r>
    </w:p>
  </w:footnote>
  <w:footnote w:type="continuationNotice" w:id="1">
    <w:p w14:paraId="1E00D46E" w14:textId="77777777" w:rsidR="008D53E5" w:rsidRDefault="008D53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CA7169B"/>
    <w:multiLevelType w:val="hybridMultilevel"/>
    <w:tmpl w:val="C3C04D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8528788">
    <w:abstractNumId w:val="18"/>
  </w:num>
  <w:num w:numId="2" w16cid:durableId="594633359">
    <w:abstractNumId w:val="14"/>
  </w:num>
  <w:num w:numId="3" w16cid:durableId="183788273">
    <w:abstractNumId w:val="0"/>
  </w:num>
  <w:num w:numId="4" w16cid:durableId="842089877">
    <w:abstractNumId w:val="6"/>
  </w:num>
  <w:num w:numId="5" w16cid:durableId="704403330">
    <w:abstractNumId w:val="16"/>
  </w:num>
  <w:num w:numId="6" w16cid:durableId="1197352657">
    <w:abstractNumId w:val="2"/>
  </w:num>
  <w:num w:numId="7" w16cid:durableId="1445265654">
    <w:abstractNumId w:val="11"/>
  </w:num>
  <w:num w:numId="8" w16cid:durableId="1916163630">
    <w:abstractNumId w:val="8"/>
  </w:num>
  <w:num w:numId="9" w16cid:durableId="656105962">
    <w:abstractNumId w:val="1"/>
  </w:num>
  <w:num w:numId="10" w16cid:durableId="295336722">
    <w:abstractNumId w:val="1"/>
  </w:num>
  <w:num w:numId="11" w16cid:durableId="791559418">
    <w:abstractNumId w:val="3"/>
  </w:num>
  <w:num w:numId="12" w16cid:durableId="370113951">
    <w:abstractNumId w:val="4"/>
  </w:num>
  <w:num w:numId="13" w16cid:durableId="945427725">
    <w:abstractNumId w:val="13"/>
  </w:num>
  <w:num w:numId="14" w16cid:durableId="216282647">
    <w:abstractNumId w:val="9"/>
  </w:num>
  <w:num w:numId="15" w16cid:durableId="669257659">
    <w:abstractNumId w:val="7"/>
  </w:num>
  <w:num w:numId="16" w16cid:durableId="1139305731">
    <w:abstractNumId w:val="12"/>
  </w:num>
  <w:num w:numId="17" w16cid:durableId="1097335551">
    <w:abstractNumId w:val="5"/>
  </w:num>
  <w:num w:numId="18" w16cid:durableId="174224571">
    <w:abstractNumId w:val="10"/>
  </w:num>
  <w:num w:numId="19" w16cid:durableId="1034430851">
    <w:abstractNumId w:val="17"/>
  </w:num>
  <w:num w:numId="20" w16cid:durableId="11164846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71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09D"/>
    <w:rsid w:val="00280A85"/>
    <w:rsid w:val="00284119"/>
    <w:rsid w:val="00290B5C"/>
    <w:rsid w:val="00294791"/>
    <w:rsid w:val="002B0B30"/>
    <w:rsid w:val="002B0C78"/>
    <w:rsid w:val="002C0C02"/>
    <w:rsid w:val="002C1277"/>
    <w:rsid w:val="002C5C2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1BF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5D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200"/>
    <w:rsid w:val="008C4B27"/>
    <w:rsid w:val="008C7F2A"/>
    <w:rsid w:val="008C7F8A"/>
    <w:rsid w:val="008D53E5"/>
    <w:rsid w:val="008E36F8"/>
    <w:rsid w:val="008E46B2"/>
    <w:rsid w:val="008E682C"/>
    <w:rsid w:val="008E78A1"/>
    <w:rsid w:val="008F2A96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F4E"/>
    <w:rsid w:val="009471BF"/>
    <w:rsid w:val="00950E4E"/>
    <w:rsid w:val="009529BD"/>
    <w:rsid w:val="009533B4"/>
    <w:rsid w:val="00971D93"/>
    <w:rsid w:val="00993EE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8CB"/>
    <w:rsid w:val="00B41789"/>
    <w:rsid w:val="00B46C03"/>
    <w:rsid w:val="00B60C6C"/>
    <w:rsid w:val="00B619A9"/>
    <w:rsid w:val="00B65A9D"/>
    <w:rsid w:val="00B65CBB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21E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5FB"/>
    <w:rsid w:val="00C72574"/>
    <w:rsid w:val="00C7430C"/>
    <w:rsid w:val="00C8006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B32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16-1940753776-6/surrogate/Bakteriell%20vaginos%20-%20behandling%20och%20patientinformatio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2592/Antibiotikaprofylax%20inom%20obstetrik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587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inom gynekologi</dc:title>
  <dc:subject/>
  <dc:creator>patrik.jens.johansson@vgregion.se</dc:creator>
  <keywords/>
  <lastModifiedBy>Pernilla Käll Borg</lastModifiedBy>
  <revision>15</revision>
  <lastPrinted>2016-03-31T10:56:00.0000000Z</lastPrinted>
  <dcterms:created xsi:type="dcterms:W3CDTF">2022-03-07T08:17:00.0000000Z</dcterms:created>
  <dcterms:modified xsi:type="dcterms:W3CDTF">2024-06-12T06:39:00.0000000Z</dcterms:modified>
</coreProperties>
</file>