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F79427" w14:textId="77777777" w:rsidR="009807E2" w:rsidRDefault="009807E2" w:rsidP="00F35B05">
      <w:pPr>
        <w:pStyle w:val="Rubrik2"/>
        <w:sectPr w:rsidR="009807E2" w:rsidSect="009807E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63AD99E" w14:textId="4B93E6CE" w:rsidR="00335644" w:rsidRDefault="00335644" w:rsidP="00335644">
      <w:pPr>
        <w:pStyle w:val="Rubrik1"/>
      </w:pPr>
      <w:r>
        <w:t>Trombosprofylax vid sectio</w:t>
      </w:r>
    </w:p>
    <w:p w14:paraId="4A474F48" w14:textId="76C171E2" w:rsidR="009807E2" w:rsidRPr="009807E2" w:rsidRDefault="009807E2" w:rsidP="00335644">
      <w:pPr>
        <w:pStyle w:val="Rubrik2"/>
      </w:pPr>
      <w:r w:rsidRPr="009807E2">
        <w:t>Revideringar i denna version</w:t>
      </w:r>
    </w:p>
    <w:p w14:paraId="5B685C09" w14:textId="07C847D5" w:rsidR="009807E2" w:rsidRPr="009807E2" w:rsidRDefault="0092708B" w:rsidP="0092708B">
      <w:pPr>
        <w:rPr>
          <w:rFonts w:ascii="Arial" w:hAnsi="Arial" w:cs="Arial"/>
          <w:sz w:val="20"/>
          <w:szCs w:val="20"/>
        </w:rPr>
      </w:pPr>
      <w:r w:rsidRPr="0092708B">
        <w:rPr>
          <w:highlight w:val="yellow"/>
        </w:rPr>
        <w:t>Revidering markerad med gult</w:t>
      </w:r>
      <w:r w:rsidR="009807E2" w:rsidRPr="009807E2">
        <w:t>.</w:t>
      </w:r>
    </w:p>
    <w:p w14:paraId="4D9FA075" w14:textId="77777777" w:rsidR="009807E2" w:rsidRPr="009807E2" w:rsidRDefault="009807E2" w:rsidP="00335644">
      <w:pPr>
        <w:pStyle w:val="Rubrik2"/>
      </w:pPr>
      <w:r w:rsidRPr="009807E2">
        <w:t>Bakgrund, syfte och mål</w:t>
      </w:r>
    </w:p>
    <w:p w14:paraId="237797E4" w14:textId="102D3BDC" w:rsidR="009807E2" w:rsidRPr="009807E2" w:rsidRDefault="009807E2" w:rsidP="0092708B">
      <w:pPr>
        <w:rPr>
          <w:rFonts w:ascii="Arial" w:hAnsi="Arial" w:cs="Arial"/>
          <w:sz w:val="20"/>
          <w:szCs w:val="20"/>
        </w:rPr>
      </w:pPr>
      <w:r w:rsidRPr="009807E2">
        <w:t>VTE är ovanligt efter sectio men förekommer ändå oftare vid sectio än vid vaginal förlossning. Akut sectio innebär störst risk. Risken ökar med flera riskfaktorer för VTE, se tabell nedan.</w:t>
      </w:r>
    </w:p>
    <w:p w14:paraId="63340514" w14:textId="77777777" w:rsidR="002840F5" w:rsidRDefault="009807E2" w:rsidP="002840F5">
      <w:pPr>
        <w:pStyle w:val="Rubrik2"/>
      </w:pPr>
      <w:r w:rsidRPr="009807E2">
        <w:t>Arbetsbeskrivning</w:t>
      </w:r>
    </w:p>
    <w:p w14:paraId="50448EE5" w14:textId="2B4BB42E" w:rsidR="000553D2" w:rsidRPr="000553D2" w:rsidRDefault="000553D2" w:rsidP="000553D2">
      <w:pPr>
        <w:pStyle w:val="MellanrubrikVGR"/>
      </w:pPr>
      <w:r>
        <w:t>Riskbedömning av VTE-risk under graviditet och puerperium</w:t>
      </w:r>
    </w:p>
    <w:tbl>
      <w:tblPr>
        <w:tblStyle w:val="Tabellrutnt"/>
        <w:tblW w:w="0" w:type="auto"/>
        <w:tblInd w:w="992" w:type="dxa"/>
        <w:tblLook w:val="04A0" w:firstRow="1" w:lastRow="0" w:firstColumn="1" w:lastColumn="0" w:noHBand="0" w:noVBand="1"/>
      </w:tblPr>
      <w:tblGrid>
        <w:gridCol w:w="1689"/>
        <w:gridCol w:w="1788"/>
        <w:gridCol w:w="1568"/>
        <w:gridCol w:w="1289"/>
        <w:gridCol w:w="1593"/>
      </w:tblGrid>
      <w:tr w:rsidR="00135C97" w14:paraId="4C00E7CE" w14:textId="77777777" w:rsidTr="000553D2">
        <w:tc>
          <w:tcPr>
            <w:tcW w:w="1783" w:type="dxa"/>
          </w:tcPr>
          <w:p w14:paraId="5722D287" w14:textId="5C5BEFF0" w:rsidR="000553D2" w:rsidRPr="009A5C1A" w:rsidRDefault="009A5C1A" w:rsidP="000553D2">
            <w:pPr>
              <w:ind w:left="0" w:right="-77"/>
              <w:rPr>
                <w:rFonts w:cstheme="majorBidi"/>
                <w:b/>
                <w:bCs/>
              </w:rPr>
            </w:pPr>
            <w:r w:rsidRPr="009A5C1A">
              <w:rPr>
                <w:rFonts w:cstheme="majorBidi"/>
                <w:b/>
                <w:bCs/>
              </w:rPr>
              <w:t>1 poäng</w:t>
            </w:r>
          </w:p>
        </w:tc>
        <w:tc>
          <w:tcPr>
            <w:tcW w:w="1784" w:type="dxa"/>
          </w:tcPr>
          <w:p w14:paraId="6DF35A89" w14:textId="2B42BF10" w:rsidR="000553D2" w:rsidRPr="009A5C1A" w:rsidRDefault="009A5C1A" w:rsidP="000553D2">
            <w:pPr>
              <w:ind w:left="0" w:right="-46"/>
              <w:rPr>
                <w:rFonts w:cstheme="majorBidi"/>
                <w:b/>
                <w:bCs/>
              </w:rPr>
            </w:pPr>
            <w:r w:rsidRPr="009A5C1A">
              <w:rPr>
                <w:rFonts w:cstheme="majorBidi"/>
                <w:b/>
                <w:bCs/>
              </w:rPr>
              <w:t>2 poäng</w:t>
            </w:r>
          </w:p>
        </w:tc>
        <w:tc>
          <w:tcPr>
            <w:tcW w:w="1784" w:type="dxa"/>
          </w:tcPr>
          <w:p w14:paraId="2BE51D47" w14:textId="764BDF4F" w:rsidR="000553D2" w:rsidRPr="009A5C1A" w:rsidRDefault="009A5C1A" w:rsidP="000553D2">
            <w:pPr>
              <w:ind w:left="0" w:right="-30"/>
              <w:rPr>
                <w:rFonts w:cstheme="majorBidi"/>
                <w:b/>
                <w:bCs/>
              </w:rPr>
            </w:pPr>
            <w:r w:rsidRPr="009A5C1A">
              <w:rPr>
                <w:rFonts w:cstheme="majorBidi"/>
                <w:b/>
                <w:bCs/>
              </w:rPr>
              <w:t>3 poäng</w:t>
            </w:r>
          </w:p>
        </w:tc>
        <w:tc>
          <w:tcPr>
            <w:tcW w:w="1784" w:type="dxa"/>
          </w:tcPr>
          <w:p w14:paraId="0FA0E8AA" w14:textId="0DC88909" w:rsidR="000553D2" w:rsidRPr="009A5C1A" w:rsidRDefault="009A5C1A" w:rsidP="000553D2">
            <w:pPr>
              <w:ind w:left="0" w:right="-141"/>
              <w:rPr>
                <w:rFonts w:cstheme="majorBidi"/>
                <w:b/>
                <w:bCs/>
              </w:rPr>
            </w:pPr>
            <w:r w:rsidRPr="009A5C1A">
              <w:rPr>
                <w:rFonts w:cstheme="majorBidi"/>
                <w:b/>
                <w:bCs/>
                <w:u w:val="single"/>
              </w:rPr>
              <w:t>&gt;</w:t>
            </w:r>
            <w:r w:rsidRPr="009A5C1A">
              <w:rPr>
                <w:rFonts w:cstheme="majorBidi"/>
                <w:b/>
                <w:bCs/>
              </w:rPr>
              <w:t xml:space="preserve"> 4 poäng</w:t>
            </w:r>
          </w:p>
        </w:tc>
        <w:tc>
          <w:tcPr>
            <w:tcW w:w="1784" w:type="dxa"/>
          </w:tcPr>
          <w:p w14:paraId="2B0A7A41" w14:textId="6201B5AD" w:rsidR="000553D2" w:rsidRPr="009A5C1A" w:rsidRDefault="009A5C1A" w:rsidP="000553D2">
            <w:pPr>
              <w:ind w:left="0" w:right="-110"/>
              <w:rPr>
                <w:rFonts w:cstheme="majorBidi"/>
                <w:b/>
                <w:bCs/>
              </w:rPr>
            </w:pPr>
            <w:r w:rsidRPr="009A5C1A">
              <w:rPr>
                <w:rFonts w:cstheme="majorBidi"/>
                <w:b/>
                <w:bCs/>
              </w:rPr>
              <w:t>Mycket hög risk</w:t>
            </w:r>
          </w:p>
        </w:tc>
      </w:tr>
      <w:tr w:rsidR="00135C97" w14:paraId="03CEAE8A" w14:textId="77777777" w:rsidTr="000553D2">
        <w:tc>
          <w:tcPr>
            <w:tcW w:w="1783" w:type="dxa"/>
          </w:tcPr>
          <w:p w14:paraId="62A10B2E" w14:textId="77777777" w:rsidR="000553D2" w:rsidRDefault="009A5C1A" w:rsidP="000553D2">
            <w:pPr>
              <w:ind w:left="0" w:right="-77"/>
              <w:rPr>
                <w:rFonts w:cstheme="majorBidi"/>
              </w:rPr>
            </w:pPr>
            <w:r>
              <w:rPr>
                <w:rFonts w:cstheme="majorBidi"/>
              </w:rPr>
              <w:t>Heterocygot F V-mutation (= APC-resistens) utan VTE.</w:t>
            </w:r>
          </w:p>
          <w:p w14:paraId="5BC160A3" w14:textId="77777777" w:rsidR="009A5C1A" w:rsidRDefault="009A5C1A" w:rsidP="000553D2">
            <w:pPr>
              <w:ind w:left="0" w:right="-77"/>
              <w:rPr>
                <w:rFonts w:cstheme="majorBidi"/>
              </w:rPr>
            </w:pPr>
            <w:r>
              <w:rPr>
                <w:rFonts w:cstheme="majorBidi"/>
              </w:rPr>
              <w:t>Heterocygod F II-mutation utan VTE.</w:t>
            </w:r>
          </w:p>
          <w:p w14:paraId="3AF7ED91" w14:textId="77777777" w:rsidR="009A5C1A" w:rsidRDefault="009A5C1A" w:rsidP="000553D2">
            <w:pPr>
              <w:ind w:left="0" w:right="-77"/>
              <w:rPr>
                <w:rFonts w:cstheme="majorBidi"/>
              </w:rPr>
            </w:pPr>
            <w:r>
              <w:rPr>
                <w:rFonts w:cstheme="majorBidi"/>
              </w:rPr>
              <w:t>Hereditet för VTE: def enl ovan.</w:t>
            </w:r>
          </w:p>
          <w:p w14:paraId="06AA01D3" w14:textId="77777777" w:rsidR="009A5C1A" w:rsidRDefault="009A5C1A" w:rsidP="000553D2">
            <w:pPr>
              <w:ind w:left="0" w:right="-77"/>
              <w:rPr>
                <w:rFonts w:cstheme="majorBidi"/>
              </w:rPr>
            </w:pPr>
            <w:r>
              <w:rPr>
                <w:rFonts w:cstheme="majorBidi"/>
              </w:rPr>
              <w:t>BMI &gt; 30 vid inskrivning.</w:t>
            </w:r>
          </w:p>
          <w:p w14:paraId="3B45D70B" w14:textId="77777777" w:rsidR="009A5C1A" w:rsidRDefault="009A5C1A" w:rsidP="000553D2">
            <w:pPr>
              <w:ind w:left="0" w:right="-77"/>
              <w:rPr>
                <w:rFonts w:cstheme="majorBidi"/>
              </w:rPr>
            </w:pPr>
            <w:r>
              <w:rPr>
                <w:rFonts w:cstheme="majorBidi"/>
              </w:rPr>
              <w:t>Ålder &gt; 40 år.</w:t>
            </w:r>
          </w:p>
          <w:p w14:paraId="2B393BD4" w14:textId="77777777" w:rsidR="009A5C1A" w:rsidRDefault="009A5C1A" w:rsidP="000553D2">
            <w:pPr>
              <w:ind w:left="0" w:right="-77"/>
              <w:rPr>
                <w:rFonts w:cstheme="majorBidi"/>
              </w:rPr>
            </w:pPr>
            <w:r>
              <w:rPr>
                <w:rFonts w:cstheme="majorBidi"/>
              </w:rPr>
              <w:lastRenderedPageBreak/>
              <w:t>Hyperhomocyst</w:t>
            </w:r>
            <w:r w:rsidR="00C52D3C">
              <w:rPr>
                <w:rFonts w:cstheme="majorBidi"/>
              </w:rPr>
              <w:t>-</w:t>
            </w:r>
            <w:r>
              <w:rPr>
                <w:rFonts w:cstheme="majorBidi"/>
              </w:rPr>
              <w:t>einemi</w:t>
            </w:r>
            <w:r w:rsidR="00C52D3C">
              <w:rPr>
                <w:rFonts w:cstheme="majorBidi"/>
              </w:rPr>
              <w:t xml:space="preserve"> (&gt; 8).</w:t>
            </w:r>
          </w:p>
          <w:p w14:paraId="672BA65B" w14:textId="77777777" w:rsidR="00C52D3C" w:rsidRDefault="00C52D3C" w:rsidP="000553D2">
            <w:pPr>
              <w:ind w:left="0" w:right="-77"/>
              <w:rPr>
                <w:rFonts w:cstheme="majorBidi"/>
              </w:rPr>
            </w:pPr>
            <w:r>
              <w:rPr>
                <w:rFonts w:cstheme="majorBidi"/>
              </w:rPr>
              <w:t>Svår preeklampsi /eklampsi.</w:t>
            </w:r>
          </w:p>
          <w:p w14:paraId="2E62304F" w14:textId="77777777" w:rsidR="00C52D3C" w:rsidRDefault="00C52D3C" w:rsidP="000553D2">
            <w:pPr>
              <w:ind w:left="0" w:right="-77"/>
              <w:rPr>
                <w:rFonts w:cstheme="majorBidi"/>
              </w:rPr>
            </w:pPr>
            <w:r>
              <w:rPr>
                <w:rFonts w:cstheme="majorBidi"/>
              </w:rPr>
              <w:t>Inflammatorisk tarmsjukdom.</w:t>
            </w:r>
          </w:p>
          <w:p w14:paraId="44A4A582" w14:textId="3C8A6EB9" w:rsidR="00C52D3C" w:rsidRDefault="00C52D3C" w:rsidP="000553D2">
            <w:pPr>
              <w:ind w:left="0" w:right="-77"/>
              <w:rPr>
                <w:rFonts w:cstheme="majorBidi"/>
              </w:rPr>
            </w:pPr>
            <w:r>
              <w:rPr>
                <w:rFonts w:cstheme="majorBidi"/>
              </w:rPr>
              <w:t>Annan risk-faktor*</w:t>
            </w:r>
          </w:p>
        </w:tc>
        <w:tc>
          <w:tcPr>
            <w:tcW w:w="1784" w:type="dxa"/>
          </w:tcPr>
          <w:p w14:paraId="7737DBC9" w14:textId="77777777" w:rsidR="000553D2" w:rsidRDefault="00C52D3C" w:rsidP="000553D2">
            <w:pPr>
              <w:ind w:left="0" w:right="-46"/>
              <w:rPr>
                <w:rFonts w:cstheme="majorBidi"/>
              </w:rPr>
            </w:pPr>
            <w:r>
              <w:rPr>
                <w:rFonts w:cstheme="majorBidi"/>
              </w:rPr>
              <w:lastRenderedPageBreak/>
              <w:t>Protein S-brist utan VTE.</w:t>
            </w:r>
          </w:p>
          <w:p w14:paraId="4A143FAF" w14:textId="77777777" w:rsidR="00C52D3C" w:rsidRDefault="00C52D3C" w:rsidP="000553D2">
            <w:pPr>
              <w:ind w:left="0" w:right="-46"/>
              <w:rPr>
                <w:rFonts w:cstheme="majorBidi"/>
              </w:rPr>
            </w:pPr>
            <w:r>
              <w:rPr>
                <w:rFonts w:cstheme="majorBidi"/>
              </w:rPr>
              <w:t>Protein C-brist utan VTE.</w:t>
            </w:r>
          </w:p>
          <w:p w14:paraId="45EB29A9" w14:textId="77777777" w:rsidR="009518CD" w:rsidRDefault="009518CD" w:rsidP="000553D2">
            <w:pPr>
              <w:ind w:left="0" w:right="-46"/>
              <w:rPr>
                <w:rFonts w:cstheme="majorBidi"/>
              </w:rPr>
            </w:pPr>
            <w:r>
              <w:rPr>
                <w:rFonts w:cstheme="majorBidi"/>
              </w:rPr>
              <w:t>Immobilisering**</w:t>
            </w:r>
          </w:p>
          <w:p w14:paraId="410C0B70" w14:textId="77777777" w:rsidR="009518CD" w:rsidRDefault="009518CD" w:rsidP="000553D2">
            <w:pPr>
              <w:ind w:left="0" w:right="-46"/>
              <w:rPr>
                <w:rFonts w:cstheme="majorBidi"/>
              </w:rPr>
            </w:pPr>
            <w:r>
              <w:rPr>
                <w:rFonts w:cstheme="majorBidi"/>
              </w:rPr>
              <w:t>Förvärvad anti-trombinbrist</w:t>
            </w:r>
            <w:r w:rsidR="006E7300">
              <w:rPr>
                <w:rFonts w:cstheme="majorBidi"/>
              </w:rPr>
              <w:t xml:space="preserve"> &lt; 0,8 kIE/L****</w:t>
            </w:r>
          </w:p>
          <w:p w14:paraId="7B6E3A4C" w14:textId="5AE5FCA2" w:rsidR="006E7300" w:rsidRDefault="006E7300" w:rsidP="000553D2">
            <w:pPr>
              <w:ind w:left="0" w:right="-46"/>
              <w:rPr>
                <w:rFonts w:cstheme="majorBidi"/>
              </w:rPr>
            </w:pPr>
          </w:p>
        </w:tc>
        <w:tc>
          <w:tcPr>
            <w:tcW w:w="1784" w:type="dxa"/>
          </w:tcPr>
          <w:p w14:paraId="26ACBC70" w14:textId="77777777" w:rsidR="000553D2" w:rsidRDefault="00135C97" w:rsidP="000553D2">
            <w:pPr>
              <w:ind w:left="0" w:right="-30"/>
              <w:rPr>
                <w:rFonts w:cstheme="majorBidi"/>
              </w:rPr>
            </w:pPr>
            <w:r>
              <w:rPr>
                <w:rFonts w:cstheme="majorBidi"/>
              </w:rPr>
              <w:t>Homocygot APC-resistens utan VTE.</w:t>
            </w:r>
          </w:p>
          <w:p w14:paraId="276624B6" w14:textId="77777777" w:rsidR="00135C97" w:rsidRDefault="00135C97" w:rsidP="000553D2">
            <w:pPr>
              <w:ind w:left="0" w:right="-30"/>
              <w:rPr>
                <w:rFonts w:cstheme="majorBidi"/>
              </w:rPr>
            </w:pPr>
            <w:r>
              <w:rPr>
                <w:rFonts w:cstheme="majorBidi"/>
              </w:rPr>
              <w:t>Homocygot protrombin-genmutation utan VTE.</w:t>
            </w:r>
          </w:p>
          <w:p w14:paraId="2BEE06D7" w14:textId="77777777" w:rsidR="00135C97" w:rsidRDefault="00135C97" w:rsidP="000553D2">
            <w:pPr>
              <w:ind w:left="0" w:right="-30"/>
              <w:rPr>
                <w:rFonts w:cstheme="majorBidi"/>
              </w:rPr>
            </w:pPr>
            <w:r>
              <w:rPr>
                <w:rFonts w:cstheme="majorBidi"/>
              </w:rPr>
              <w:t>Dubbeltrombo-fili utan VTE.</w:t>
            </w:r>
          </w:p>
          <w:p w14:paraId="4EBF8027" w14:textId="65892CB0" w:rsidR="005A199F" w:rsidRDefault="005A199F" w:rsidP="000553D2">
            <w:pPr>
              <w:ind w:left="0" w:right="-30"/>
              <w:rPr>
                <w:rFonts w:cstheme="majorBidi"/>
              </w:rPr>
            </w:pPr>
            <w:r w:rsidRPr="005A199F">
              <w:rPr>
                <w:rFonts w:cstheme="majorBidi"/>
                <w:highlight w:val="yellow"/>
              </w:rPr>
              <w:t>BMI &gt; 40 vid inskrivning.</w:t>
            </w:r>
          </w:p>
        </w:tc>
        <w:tc>
          <w:tcPr>
            <w:tcW w:w="1784" w:type="dxa"/>
          </w:tcPr>
          <w:p w14:paraId="4FE301C1" w14:textId="77777777" w:rsidR="000553D2" w:rsidRDefault="00135C97" w:rsidP="000553D2">
            <w:pPr>
              <w:ind w:left="0" w:right="-141"/>
              <w:rPr>
                <w:rFonts w:cstheme="majorBidi"/>
              </w:rPr>
            </w:pPr>
            <w:r>
              <w:rPr>
                <w:rFonts w:cstheme="majorBidi"/>
              </w:rPr>
              <w:t>Tidigare VTE.</w:t>
            </w:r>
          </w:p>
          <w:p w14:paraId="2C86BC8E" w14:textId="77777777" w:rsidR="00135C97" w:rsidRDefault="00135C97" w:rsidP="000553D2">
            <w:pPr>
              <w:ind w:left="0" w:right="-141"/>
              <w:rPr>
                <w:rFonts w:cstheme="majorBidi"/>
              </w:rPr>
            </w:pPr>
            <w:r>
              <w:rPr>
                <w:rFonts w:cstheme="majorBidi"/>
              </w:rPr>
              <w:t>Lupus anti-koagulans utan VTE.</w:t>
            </w:r>
          </w:p>
          <w:p w14:paraId="23A42C77" w14:textId="53127F86" w:rsidR="00135C97" w:rsidRPr="000B4253" w:rsidRDefault="00135C97" w:rsidP="000553D2">
            <w:pPr>
              <w:ind w:left="0" w:right="-141"/>
              <w:rPr>
                <w:rFonts w:cstheme="majorBidi"/>
              </w:rPr>
            </w:pPr>
            <w:r>
              <w:rPr>
                <w:rFonts w:cstheme="majorBidi"/>
              </w:rPr>
              <w:t>Kardiolipin</w:t>
            </w:r>
            <w:r w:rsidR="000B4253">
              <w:rPr>
                <w:rFonts w:cstheme="majorBidi"/>
              </w:rPr>
              <w:t xml:space="preserve">/ </w:t>
            </w:r>
            <w:r w:rsidR="000B4253" w:rsidRPr="009807E2">
              <w:rPr>
                <w:rFonts w:ascii="Arial" w:hAnsi="Arial" w:cs="Arial"/>
                <w:sz w:val="20"/>
                <w:szCs w:val="20"/>
              </w:rPr>
              <w:t>ß</w:t>
            </w:r>
            <w:r w:rsidR="000B4253" w:rsidRPr="009807E2">
              <w:rPr>
                <w:rFonts w:ascii="Arial" w:hAnsi="Arial" w:cs="Arial"/>
                <w:sz w:val="20"/>
                <w:szCs w:val="20"/>
                <w:vertAlign w:val="subscript"/>
              </w:rPr>
              <w:t>2</w:t>
            </w:r>
            <w:r w:rsidR="000B4253" w:rsidRPr="000B4253">
              <w:t>GP</w:t>
            </w:r>
            <w:r w:rsidR="004A5CF8" w:rsidRPr="004A5CF8">
              <w:rPr>
                <w:vertAlign w:val="subscript"/>
              </w:rPr>
              <w:t>1</w:t>
            </w:r>
            <w:r w:rsidR="004A5CF8">
              <w:t>-anti-kroppar utan VTE***</w:t>
            </w:r>
          </w:p>
        </w:tc>
        <w:tc>
          <w:tcPr>
            <w:tcW w:w="1784" w:type="dxa"/>
          </w:tcPr>
          <w:p w14:paraId="3A7107FA" w14:textId="77777777" w:rsidR="000553D2" w:rsidRDefault="004A5CF8" w:rsidP="000553D2">
            <w:pPr>
              <w:ind w:left="0" w:right="-110"/>
              <w:rPr>
                <w:rFonts w:cstheme="majorBidi"/>
              </w:rPr>
            </w:pPr>
            <w:r>
              <w:rPr>
                <w:rFonts w:cstheme="majorBidi"/>
              </w:rPr>
              <w:t>Antikoagulatia-behandling omedelbart före aktuell graviditet.</w:t>
            </w:r>
          </w:p>
          <w:p w14:paraId="3058EC10" w14:textId="77777777" w:rsidR="004A5CF8" w:rsidRDefault="004A5CF8" w:rsidP="000553D2">
            <w:pPr>
              <w:ind w:left="0" w:right="-110"/>
              <w:rPr>
                <w:rFonts w:cstheme="majorBidi"/>
              </w:rPr>
            </w:pPr>
            <w:r>
              <w:rPr>
                <w:rFonts w:cstheme="majorBidi"/>
              </w:rPr>
              <w:t>Lupus anti-koagulans</w:t>
            </w:r>
            <w:r w:rsidR="008543B6">
              <w:rPr>
                <w:rFonts w:cstheme="majorBidi"/>
              </w:rPr>
              <w:t xml:space="preserve"> med VTE.</w:t>
            </w:r>
          </w:p>
          <w:p w14:paraId="5ECC1639" w14:textId="77777777" w:rsidR="008543B6" w:rsidRDefault="008543B6" w:rsidP="000553D2">
            <w:pPr>
              <w:ind w:left="0" w:right="-110"/>
            </w:pPr>
            <w:r>
              <w:rPr>
                <w:rFonts w:cstheme="majorBidi"/>
              </w:rPr>
              <w:t xml:space="preserve">Kardiolipin </w:t>
            </w:r>
            <w:r w:rsidRPr="009807E2">
              <w:rPr>
                <w:rFonts w:ascii="Arial" w:hAnsi="Arial" w:cs="Arial"/>
                <w:sz w:val="20"/>
                <w:szCs w:val="20"/>
              </w:rPr>
              <w:t>ß</w:t>
            </w:r>
            <w:r w:rsidRPr="009807E2">
              <w:rPr>
                <w:rFonts w:ascii="Arial" w:hAnsi="Arial" w:cs="Arial"/>
                <w:sz w:val="20"/>
                <w:szCs w:val="20"/>
                <w:vertAlign w:val="subscript"/>
              </w:rPr>
              <w:t>2</w:t>
            </w:r>
            <w:r w:rsidRPr="000B4253">
              <w:t>GP</w:t>
            </w:r>
            <w:r w:rsidRPr="004A5CF8">
              <w:rPr>
                <w:vertAlign w:val="subscript"/>
              </w:rPr>
              <w:t>1</w:t>
            </w:r>
            <w:r>
              <w:t>-anti-kroppar utan VTE</w:t>
            </w:r>
            <w:r w:rsidR="00233658">
              <w:t>***</w:t>
            </w:r>
          </w:p>
          <w:p w14:paraId="2437E4DA" w14:textId="77777777" w:rsidR="00233658" w:rsidRDefault="00233658" w:rsidP="000553D2">
            <w:pPr>
              <w:ind w:left="0" w:right="-110"/>
              <w:rPr>
                <w:rFonts w:cstheme="majorBidi"/>
              </w:rPr>
            </w:pPr>
            <w:r>
              <w:rPr>
                <w:rFonts w:cstheme="majorBidi"/>
              </w:rPr>
              <w:t xml:space="preserve">Ärftlig anti-trombinbrist </w:t>
            </w:r>
            <w:r>
              <w:rPr>
                <w:rFonts w:cstheme="majorBidi"/>
              </w:rPr>
              <w:lastRenderedPageBreak/>
              <w:t>med och utan VTE.</w:t>
            </w:r>
          </w:p>
          <w:p w14:paraId="220FD9A7" w14:textId="77777777" w:rsidR="00233658" w:rsidRDefault="00233658" w:rsidP="000553D2">
            <w:pPr>
              <w:ind w:left="0" w:right="-110"/>
              <w:rPr>
                <w:rFonts w:cstheme="majorBidi"/>
              </w:rPr>
            </w:pPr>
            <w:r>
              <w:rPr>
                <w:rFonts w:cstheme="majorBidi"/>
              </w:rPr>
              <w:t>Dubbeltrombo-fili med VTE.</w:t>
            </w:r>
          </w:p>
          <w:p w14:paraId="6C4A91F7" w14:textId="6AA4CCCB" w:rsidR="00233658" w:rsidRDefault="00233658" w:rsidP="000553D2">
            <w:pPr>
              <w:ind w:left="0" w:right="-110"/>
              <w:rPr>
                <w:rFonts w:cstheme="majorBidi"/>
              </w:rPr>
            </w:pPr>
            <w:r>
              <w:rPr>
                <w:rFonts w:cstheme="majorBidi"/>
              </w:rPr>
              <w:t>Upprepade VTE.</w:t>
            </w:r>
          </w:p>
        </w:tc>
      </w:tr>
    </w:tbl>
    <w:p w14:paraId="303904C6" w14:textId="77777777" w:rsidR="0056206D" w:rsidRDefault="0056206D" w:rsidP="002840F5">
      <w:pPr>
        <w:rPr>
          <w:rFonts w:cstheme="majorBidi"/>
        </w:rPr>
      </w:pPr>
    </w:p>
    <w:tbl>
      <w:tblPr>
        <w:tblStyle w:val="Tabellrutnt"/>
        <w:tblW w:w="0" w:type="auto"/>
        <w:tblInd w:w="992" w:type="dxa"/>
        <w:tblLook w:val="04A0" w:firstRow="1" w:lastRow="0" w:firstColumn="1" w:lastColumn="0" w:noHBand="0" w:noVBand="1"/>
      </w:tblPr>
      <w:tblGrid>
        <w:gridCol w:w="7927"/>
      </w:tblGrid>
      <w:tr w:rsidR="0056206D" w14:paraId="3ABA617E" w14:textId="77777777" w:rsidTr="006D625E">
        <w:tc>
          <w:tcPr>
            <w:tcW w:w="7927" w:type="dxa"/>
          </w:tcPr>
          <w:p w14:paraId="25A417AB" w14:textId="77777777" w:rsidR="0056206D" w:rsidRDefault="0056206D" w:rsidP="00AE5932">
            <w:pPr>
              <w:pStyle w:val="MellanrubrikVGR"/>
              <w:ind w:left="0" w:right="32"/>
            </w:pPr>
            <w:r>
              <w:t>Akut sectio och ingen tidigare trombosprofylax under graviditeten</w:t>
            </w:r>
          </w:p>
          <w:p w14:paraId="2EB493DD" w14:textId="4BEC08CD" w:rsidR="0056206D" w:rsidRDefault="0056206D" w:rsidP="0056206D">
            <w:pPr>
              <w:ind w:left="0" w:right="32"/>
              <w:rPr>
                <w:rFonts w:cstheme="majorBidi"/>
              </w:rPr>
            </w:pPr>
            <w:r>
              <w:rPr>
                <w:rFonts w:cstheme="majorBidi"/>
              </w:rPr>
              <w:t xml:space="preserve">Alla ges </w:t>
            </w:r>
            <w:r w:rsidR="00CF6365">
              <w:rPr>
                <w:rFonts w:cstheme="majorBidi"/>
              </w:rPr>
              <w:t>trombosprofylax! Ge injektion subkutant i låret, inte i bukväggen! Risken ökar annars för bukväggshematom. Profylax minst 7 dagar, eller längre vid immobilisering, och om kvarstående riskfaktorer därefter övervägs lång</w:t>
            </w:r>
            <w:r w:rsidR="003169E4">
              <w:rPr>
                <w:rFonts w:cstheme="majorBidi"/>
              </w:rPr>
              <w:t>-</w:t>
            </w:r>
            <w:r w:rsidR="00CF6365">
              <w:rPr>
                <w:rFonts w:cstheme="majorBidi"/>
              </w:rPr>
              <w:t>tidsbehandling i minst 6 veckor postpartum.</w:t>
            </w:r>
          </w:p>
          <w:p w14:paraId="328C0777" w14:textId="391A6B07" w:rsidR="00CF6365" w:rsidRDefault="00CF6365" w:rsidP="0056206D">
            <w:pPr>
              <w:ind w:left="0" w:right="32"/>
              <w:rPr>
                <w:rFonts w:cstheme="majorBidi"/>
              </w:rPr>
            </w:pPr>
            <w:r>
              <w:rPr>
                <w:rFonts w:cstheme="majorBidi"/>
              </w:rPr>
              <w:t>Fragmin 2 500 enheter ges subkutant 2 timmar postoperativt alternativt post EDA/spinal om inte blödningskomplikationer föreligger. Detta upprepas efter 12 timmar. Vid blödningskomplikationer – start av trombosprofylax när blöd</w:t>
            </w:r>
            <w:r w:rsidR="003169E4">
              <w:rPr>
                <w:rFonts w:cstheme="majorBidi"/>
              </w:rPr>
              <w:t>-</w:t>
            </w:r>
            <w:r>
              <w:rPr>
                <w:rFonts w:cstheme="majorBidi"/>
              </w:rPr>
              <w:t>ningen varit under kontroll i minst 10–12 timmar.</w:t>
            </w:r>
          </w:p>
          <w:p w14:paraId="005620B8" w14:textId="77777777" w:rsidR="00CF6365" w:rsidRDefault="00CF6365" w:rsidP="0056206D">
            <w:pPr>
              <w:ind w:left="0" w:right="32"/>
              <w:rPr>
                <w:rFonts w:cstheme="majorBidi"/>
              </w:rPr>
            </w:pPr>
            <w:r>
              <w:rPr>
                <w:rFonts w:cstheme="majorBidi"/>
              </w:rPr>
              <w:t>EDA-kate</w:t>
            </w:r>
            <w:r w:rsidR="00D437A7">
              <w:rPr>
                <w:rFonts w:cstheme="majorBidi"/>
              </w:rPr>
              <w:t>ter tas bort tidigast 6 timmar efter injektion av Fragmin 2 500 enheter subkutant.</w:t>
            </w:r>
          </w:p>
          <w:p w14:paraId="3789C0E8" w14:textId="4BDE63BC" w:rsidR="00D437A7" w:rsidRDefault="00D437A7" w:rsidP="0056206D">
            <w:pPr>
              <w:ind w:left="0" w:right="32"/>
              <w:rPr>
                <w:rFonts w:cstheme="majorBidi"/>
              </w:rPr>
            </w:pPr>
            <w:r>
              <w:rPr>
                <w:rFonts w:cstheme="majorBidi"/>
              </w:rPr>
              <w:t>Dagen efter partus ges Fragmin 5 000 enheter x 1 subkutant med start 12 tim</w:t>
            </w:r>
            <w:r w:rsidR="003169E4">
              <w:rPr>
                <w:rFonts w:cstheme="majorBidi"/>
              </w:rPr>
              <w:t>-</w:t>
            </w:r>
            <w:r>
              <w:rPr>
                <w:rFonts w:cstheme="majorBidi"/>
              </w:rPr>
              <w:t xml:space="preserve">mar efter sista dos under partusdygnet. </w:t>
            </w:r>
            <w:r w:rsidRPr="00584853">
              <w:rPr>
                <w:rFonts w:cstheme="majorBidi"/>
              </w:rPr>
              <w:t xml:space="preserve">Vid vikt &gt; 90 kg </w:t>
            </w:r>
            <w:r w:rsidR="00B373CF" w:rsidRPr="00584853">
              <w:rPr>
                <w:rFonts w:cstheme="majorBidi"/>
              </w:rPr>
              <w:t>dagen efter partus ges Fragmin 7 500 enheter x 1 subkutant med start 12 timmar efter sista dos under partusdygnet.</w:t>
            </w:r>
            <w:r w:rsidR="00E466D2" w:rsidRPr="00584853">
              <w:rPr>
                <w:rFonts w:cstheme="majorBidi"/>
              </w:rPr>
              <w:t xml:space="preserve"> </w:t>
            </w:r>
            <w:r w:rsidR="00584853" w:rsidRPr="001B1E95">
              <w:rPr>
                <w:rFonts w:cstheme="majorBidi"/>
                <w:highlight w:val="yellow"/>
              </w:rPr>
              <w:t>K</w:t>
            </w:r>
            <w:r w:rsidR="00E466D2" w:rsidRPr="001B1E95">
              <w:rPr>
                <w:rFonts w:cstheme="majorBidi"/>
                <w:highlight w:val="yellow"/>
              </w:rPr>
              <w:t xml:space="preserve">ontroll av anti-Xa-aktivitet </w:t>
            </w:r>
            <w:r w:rsidR="008363A0" w:rsidRPr="001B1E95">
              <w:rPr>
                <w:rFonts w:cstheme="majorBidi"/>
                <w:highlight w:val="yellow"/>
              </w:rPr>
              <w:t>2 veckor efter start av trombos</w:t>
            </w:r>
            <w:r w:rsidR="001B1E95">
              <w:rPr>
                <w:rFonts w:cstheme="majorBidi"/>
                <w:highlight w:val="yellow"/>
              </w:rPr>
              <w:t>-</w:t>
            </w:r>
            <w:r w:rsidR="008363A0" w:rsidRPr="001B1E95">
              <w:rPr>
                <w:rFonts w:cstheme="majorBidi"/>
                <w:highlight w:val="yellow"/>
              </w:rPr>
              <w:t>profylax</w:t>
            </w:r>
            <w:r w:rsidR="00B67009">
              <w:rPr>
                <w:rFonts w:cstheme="majorBidi"/>
                <w:highlight w:val="yellow"/>
              </w:rPr>
              <w:t>,</w:t>
            </w:r>
            <w:r w:rsidR="001B1E95" w:rsidRPr="001B1E95">
              <w:rPr>
                <w:rFonts w:cstheme="majorBidi"/>
                <w:highlight w:val="yellow"/>
              </w:rPr>
              <w:t xml:space="preserve"> 3 timmar efter injektion</w:t>
            </w:r>
            <w:r w:rsidR="00E466D2">
              <w:rPr>
                <w:rFonts w:cstheme="majorBidi"/>
              </w:rPr>
              <w:t>. Anti-Xa-aktivitet ska då vara 0,2–0,45. Vid behov – justering med ökning eller sänkning av dosen med 2 500 enheter Fragmin per dygn.</w:t>
            </w:r>
          </w:p>
        </w:tc>
      </w:tr>
    </w:tbl>
    <w:p w14:paraId="575D9DBA" w14:textId="77777777" w:rsidR="009807E2" w:rsidRDefault="009807E2" w:rsidP="009807E2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tbl>
      <w:tblPr>
        <w:tblStyle w:val="Tabellrutnt"/>
        <w:tblW w:w="0" w:type="auto"/>
        <w:tblInd w:w="993" w:type="dxa"/>
        <w:tblLook w:val="04A0" w:firstRow="1" w:lastRow="0" w:firstColumn="1" w:lastColumn="0" w:noHBand="0" w:noVBand="1"/>
      </w:tblPr>
      <w:tblGrid>
        <w:gridCol w:w="7926"/>
      </w:tblGrid>
      <w:tr w:rsidR="00905367" w14:paraId="3FB7564E" w14:textId="77777777" w:rsidTr="00905367">
        <w:tc>
          <w:tcPr>
            <w:tcW w:w="8919" w:type="dxa"/>
          </w:tcPr>
          <w:p w14:paraId="3D31BD61" w14:textId="77777777" w:rsidR="00905367" w:rsidRDefault="00905367" w:rsidP="00CB2C69">
            <w:pPr>
              <w:pStyle w:val="MellanrubrikVGR"/>
              <w:ind w:left="24" w:right="0"/>
            </w:pPr>
            <w:r>
              <w:lastRenderedPageBreak/>
              <w:t>Elektivt sectio och ingen tidigare trombosprofylax under graviditeten</w:t>
            </w:r>
          </w:p>
          <w:p w14:paraId="30F50165" w14:textId="77777777" w:rsidR="00905367" w:rsidRDefault="00531BA1" w:rsidP="00665109">
            <w:pPr>
              <w:ind w:left="24" w:right="0"/>
            </w:pPr>
            <w:r>
              <w:t>Kontroll av APTT, PK (INR) och TPK, om positiv blödningsanamnes eller ökad blödningsbenägenhet av annan anledning.</w:t>
            </w:r>
          </w:p>
          <w:p w14:paraId="06DD340F" w14:textId="61D0C0A4" w:rsidR="000B21C4" w:rsidRDefault="00963479" w:rsidP="00665109">
            <w:pPr>
              <w:ind w:left="24" w:right="0"/>
            </w:pPr>
            <w:r>
              <w:t>Trombosprofylax ges efter beräkning av riskpoäng enligt ovan. Ge injektion subkutant i låret, inte i bukväggen! Risken ökar annars för bukväggshematom.</w:t>
            </w:r>
          </w:p>
          <w:p w14:paraId="324A9F5F" w14:textId="69CB8E35" w:rsidR="00963479" w:rsidRDefault="002B52E8" w:rsidP="00665109">
            <w:pPr>
              <w:ind w:left="24" w:right="0"/>
            </w:pPr>
            <w:r w:rsidRPr="005D5225">
              <w:rPr>
                <w:b/>
                <w:bCs/>
                <w:i/>
                <w:iCs/>
              </w:rPr>
              <w:t>0 poäng =</w:t>
            </w:r>
            <w:r>
              <w:tab/>
              <w:t>ingen profylax</w:t>
            </w:r>
            <w:r w:rsidR="0038180A">
              <w:t>.</w:t>
            </w:r>
            <w:r>
              <w:br/>
            </w:r>
            <w:r w:rsidRPr="005D5225">
              <w:rPr>
                <w:b/>
                <w:bCs/>
                <w:i/>
                <w:iCs/>
              </w:rPr>
              <w:t>1 poäng =</w:t>
            </w:r>
            <w:r>
              <w:tab/>
              <w:t>korttidsprofylax under vårdtiden</w:t>
            </w:r>
            <w:r w:rsidR="0038180A">
              <w:t>.</w:t>
            </w:r>
            <w:r>
              <w:br/>
            </w:r>
            <w:r w:rsidR="0038180A" w:rsidRPr="005D5225">
              <w:rPr>
                <w:b/>
                <w:bCs/>
                <w:i/>
                <w:iCs/>
              </w:rPr>
              <w:t>&gt; 2 poäng =</w:t>
            </w:r>
            <w:r w:rsidR="0038180A">
              <w:tab/>
              <w:t xml:space="preserve">minst 7 dagar, och om kvarstående riskfaktorer – därefter </w:t>
            </w:r>
            <w:r w:rsidR="0038180A">
              <w:tab/>
              <w:t>långtidsbehandling minst 6 veckor postpartum.</w:t>
            </w:r>
          </w:p>
          <w:p w14:paraId="3726B365" w14:textId="3ACD0BB0" w:rsidR="009D1275" w:rsidRDefault="009D1275" w:rsidP="00665109">
            <w:pPr>
              <w:ind w:left="24" w:right="0"/>
            </w:pPr>
            <w:r>
              <w:t>I övrigt se under akut sectio.</w:t>
            </w:r>
          </w:p>
          <w:p w14:paraId="656DC8A5" w14:textId="297F43FE" w:rsidR="00531BA1" w:rsidRPr="00905367" w:rsidRDefault="009D1275" w:rsidP="009D1275">
            <w:pPr>
              <w:ind w:left="24" w:right="0"/>
            </w:pPr>
            <w:r>
              <w:t>Förlängd profylax till och med 6 veckor postpartum vid kvarstående risk</w:t>
            </w:r>
            <w:r w:rsidR="003169E4">
              <w:t>-</w:t>
            </w:r>
            <w:r>
              <w:t>faktorer, se riskbedömning.</w:t>
            </w:r>
          </w:p>
        </w:tc>
      </w:tr>
    </w:tbl>
    <w:p w14:paraId="5B6D8557" w14:textId="77777777" w:rsidR="006D625E" w:rsidRDefault="006D625E" w:rsidP="006D625E">
      <w:pPr>
        <w:spacing w:after="0" w:line="240" w:lineRule="auto"/>
        <w:ind w:left="993" w:right="0"/>
        <w:rPr>
          <w:rFonts w:ascii="Arial" w:hAnsi="Arial" w:cs="Arial"/>
          <w:sz w:val="20"/>
          <w:szCs w:val="20"/>
        </w:rPr>
      </w:pPr>
    </w:p>
    <w:tbl>
      <w:tblPr>
        <w:tblStyle w:val="Tabellrutnt"/>
        <w:tblW w:w="0" w:type="auto"/>
        <w:tblInd w:w="993" w:type="dxa"/>
        <w:tblLook w:val="04A0" w:firstRow="1" w:lastRow="0" w:firstColumn="1" w:lastColumn="0" w:noHBand="0" w:noVBand="1"/>
      </w:tblPr>
      <w:tblGrid>
        <w:gridCol w:w="7926"/>
      </w:tblGrid>
      <w:tr w:rsidR="00502507" w14:paraId="56B643CF" w14:textId="77777777" w:rsidTr="00502507">
        <w:tc>
          <w:tcPr>
            <w:tcW w:w="8919" w:type="dxa"/>
          </w:tcPr>
          <w:p w14:paraId="169E2381" w14:textId="77777777" w:rsidR="00502507" w:rsidRDefault="007563C5" w:rsidP="00A7641C">
            <w:pPr>
              <w:pStyle w:val="MellanrubrikVGR"/>
              <w:ind w:left="24" w:right="0"/>
            </w:pPr>
            <w:r>
              <w:t>Akut sectio och pågående normaldos trombosprofylax under graviditeten</w:t>
            </w:r>
          </w:p>
          <w:p w14:paraId="2726A565" w14:textId="77777777" w:rsidR="007563C5" w:rsidRDefault="007563C5" w:rsidP="00502507">
            <w:pPr>
              <w:ind w:left="0" w:right="-110"/>
            </w:pPr>
            <w:r>
              <w:t>(Högst 5 000 enheter Fragmin/dygn under graviditeten.)</w:t>
            </w:r>
          </w:p>
          <w:p w14:paraId="5A3AB269" w14:textId="77777777" w:rsidR="00A33594" w:rsidRDefault="00A33594" w:rsidP="00502507">
            <w:pPr>
              <w:ind w:left="0" w:right="-110"/>
            </w:pPr>
            <w:r>
              <w:t>Kontroll av APTT, PK (INR) och TPK.</w:t>
            </w:r>
          </w:p>
          <w:p w14:paraId="2252C272" w14:textId="77777777" w:rsidR="00A33594" w:rsidRDefault="00A33594" w:rsidP="00502507">
            <w:pPr>
              <w:ind w:left="0" w:right="-110"/>
            </w:pPr>
            <w:r>
              <w:t xml:space="preserve">Vid </w:t>
            </w:r>
            <w:r w:rsidRPr="00A7641C">
              <w:rPr>
                <w:b/>
                <w:bCs/>
                <w:i/>
                <w:iCs/>
              </w:rPr>
              <w:t>akut sectio</w:t>
            </w:r>
            <w:r>
              <w:t xml:space="preserve"> i narkos ges Fragmin 2 500 enheter subkutant 12 timmar efter sista injektion före partus. Om tidpunkten för nästa injektion inträffar vid tiden för sectio avvaktas med Fragmin/Innohp till 2 timmar efter operation alternativt post EDA/spinal. Denna upprepas sedan efter 12 timmar under partusdygnet. Ge injektion subkutant i låret, inte i bukväggen! Risken ökar annars för bukväggs-hematom.</w:t>
            </w:r>
          </w:p>
          <w:p w14:paraId="373A79FD" w14:textId="77777777" w:rsidR="0090245E" w:rsidRDefault="0090245E" w:rsidP="00502507">
            <w:pPr>
              <w:ind w:left="0" w:right="-110"/>
            </w:pPr>
            <w:r>
              <w:t>Vid akut sectio kan EDA/spinal analgesi ges;</w:t>
            </w:r>
          </w:p>
          <w:p w14:paraId="2B548F80" w14:textId="77777777" w:rsidR="00A53A37" w:rsidRDefault="00A53A37" w:rsidP="00A53A37">
            <w:pPr>
              <w:pStyle w:val="Punktlista"/>
              <w:ind w:left="450"/>
            </w:pPr>
            <w:r>
              <w:t>Anti-Xa-aktivitet &lt; 0,05 E/ml.</w:t>
            </w:r>
          </w:p>
          <w:p w14:paraId="30FA813C" w14:textId="77777777" w:rsidR="00A53A37" w:rsidRDefault="00A53A37" w:rsidP="00A53A37">
            <w:pPr>
              <w:pStyle w:val="Punktlista"/>
              <w:ind w:left="450"/>
            </w:pPr>
            <w:r>
              <w:t>Tidigast 12 timmar efter 5 000 enheter Fragmin.</w:t>
            </w:r>
          </w:p>
          <w:p w14:paraId="58F56951" w14:textId="77777777" w:rsidR="00A53A37" w:rsidRDefault="00A53A37" w:rsidP="00A53A37">
            <w:pPr>
              <w:pStyle w:val="Punktlista"/>
              <w:ind w:left="450"/>
            </w:pPr>
            <w:r>
              <w:t>Tidigast 6 timmar efter 2 500 enheter Fragmin.</w:t>
            </w:r>
          </w:p>
          <w:p w14:paraId="088869E3" w14:textId="77777777" w:rsidR="00A7641C" w:rsidRDefault="00A7641C" w:rsidP="00A7641C">
            <w:pPr>
              <w:pStyle w:val="Punktlista"/>
              <w:numPr>
                <w:ilvl w:val="0"/>
                <w:numId w:val="0"/>
              </w:numPr>
              <w:ind w:left="1712" w:hanging="357"/>
            </w:pPr>
          </w:p>
          <w:p w14:paraId="03225227" w14:textId="16F674D7" w:rsidR="00A7641C" w:rsidRDefault="00A7641C" w:rsidP="00A7641C">
            <w:pPr>
              <w:pStyle w:val="Punktlista"/>
              <w:numPr>
                <w:ilvl w:val="0"/>
                <w:numId w:val="0"/>
              </w:numPr>
              <w:ind w:right="-110" w:hanging="49"/>
            </w:pPr>
            <w:r w:rsidRPr="00A7641C">
              <w:rPr>
                <w:b/>
                <w:bCs/>
                <w:i/>
                <w:iCs/>
              </w:rPr>
              <w:t>OBS!</w:t>
            </w:r>
            <w:r>
              <w:t xml:space="preserve"> Ny injektion av Fragmin ges tidigast 2 timmar efter anläggande av EDA eller spinal. EDA-kateter tas bort tidigast 6 timmar efter 2 500 enheter Fragmin subkutant.</w:t>
            </w:r>
          </w:p>
        </w:tc>
      </w:tr>
    </w:tbl>
    <w:p w14:paraId="61D28E47" w14:textId="77777777" w:rsidR="00502507" w:rsidRDefault="00502507" w:rsidP="006D625E">
      <w:pPr>
        <w:spacing w:after="0" w:line="240" w:lineRule="auto"/>
        <w:ind w:left="993" w:right="0"/>
        <w:rPr>
          <w:rFonts w:ascii="Arial" w:hAnsi="Arial" w:cs="Arial"/>
          <w:sz w:val="20"/>
          <w:szCs w:val="20"/>
        </w:rPr>
      </w:pPr>
    </w:p>
    <w:tbl>
      <w:tblPr>
        <w:tblStyle w:val="Tabellrutnt"/>
        <w:tblW w:w="0" w:type="auto"/>
        <w:tblInd w:w="993" w:type="dxa"/>
        <w:tblLook w:val="04A0" w:firstRow="1" w:lastRow="0" w:firstColumn="1" w:lastColumn="0" w:noHBand="0" w:noVBand="1"/>
      </w:tblPr>
      <w:tblGrid>
        <w:gridCol w:w="7926"/>
      </w:tblGrid>
      <w:tr w:rsidR="00CB162F" w14:paraId="51BBB26E" w14:textId="77777777" w:rsidTr="00CB162F">
        <w:tc>
          <w:tcPr>
            <w:tcW w:w="8919" w:type="dxa"/>
          </w:tcPr>
          <w:p w14:paraId="49C2FC96" w14:textId="77777777" w:rsidR="00CB162F" w:rsidRDefault="00CB162F" w:rsidP="00172704">
            <w:pPr>
              <w:pStyle w:val="MellanrubrikVGR"/>
              <w:ind w:left="24" w:right="-110"/>
            </w:pPr>
            <w:r>
              <w:lastRenderedPageBreak/>
              <w:t>Elektivt sectio och pågående normaldos trombosprofylax under graviditet</w:t>
            </w:r>
          </w:p>
          <w:p w14:paraId="6371AE52" w14:textId="77777777" w:rsidR="001149BE" w:rsidRDefault="001149BE" w:rsidP="001149BE">
            <w:pPr>
              <w:ind w:left="0" w:right="-110"/>
            </w:pPr>
            <w:r>
              <w:t>(Högst 5 000 enheter Fragmin/dygn under graviditeten.)</w:t>
            </w:r>
          </w:p>
          <w:p w14:paraId="1B396F49" w14:textId="77777777" w:rsidR="001149BE" w:rsidRDefault="001149BE" w:rsidP="001149BE">
            <w:pPr>
              <w:ind w:left="0" w:right="-110"/>
            </w:pPr>
            <w:r>
              <w:t>Kontroll av APTT, PK (INR) och TPK.</w:t>
            </w:r>
          </w:p>
          <w:p w14:paraId="049D7FDD" w14:textId="77777777" w:rsidR="00CB162F" w:rsidRDefault="001149BE" w:rsidP="00CB162F">
            <w:pPr>
              <w:ind w:left="0" w:right="-110"/>
            </w:pPr>
            <w:r>
              <w:t xml:space="preserve">Vid </w:t>
            </w:r>
            <w:r w:rsidRPr="00172704">
              <w:rPr>
                <w:b/>
                <w:bCs/>
                <w:i/>
                <w:iCs/>
              </w:rPr>
              <w:t>elektivt sectio</w:t>
            </w:r>
            <w:r>
              <w:t xml:space="preserve"> i narkos eller med EDA/spinal analgesi ges sista prepartala dos Fragmin dagen före sectio. Ge injektion subkutant i låret, inte i bukväggen! Risken ökar annars för bukväggshematom</w:t>
            </w:r>
            <w:r w:rsidR="00172704">
              <w:t>.</w:t>
            </w:r>
          </w:p>
          <w:p w14:paraId="3827C8F6" w14:textId="77777777" w:rsidR="00172704" w:rsidRDefault="00172704" w:rsidP="00CB162F">
            <w:pPr>
              <w:ind w:left="0" w:right="-110"/>
            </w:pPr>
            <w:r w:rsidRPr="00172704">
              <w:rPr>
                <w:b/>
                <w:bCs/>
                <w:i/>
                <w:iCs/>
              </w:rPr>
              <w:t>Operationsdagen:</w:t>
            </w:r>
            <w:r>
              <w:t xml:space="preserve"> Fragmin 2 500 enheter subkutant 2 timmar postoperativt alternativt post EDA/spinal. Detta upprepas efter 12 timmar under partusdygnet.</w:t>
            </w:r>
          </w:p>
          <w:p w14:paraId="32B12A97" w14:textId="37EE1DCA" w:rsidR="00172704" w:rsidRDefault="00172704" w:rsidP="00CB162F">
            <w:pPr>
              <w:ind w:left="0" w:right="-110"/>
            </w:pPr>
            <w:r w:rsidRPr="00172704">
              <w:rPr>
                <w:b/>
                <w:bCs/>
                <w:i/>
                <w:iCs/>
              </w:rPr>
              <w:t>OBS!</w:t>
            </w:r>
            <w:r>
              <w:t xml:space="preserve"> Ny injektion ges tidigast 2 timmar efter anläggande av EDA eller spinal. EDA-kateter tas tidigast 6 timmar efter Fragmininjektion.</w:t>
            </w:r>
          </w:p>
        </w:tc>
      </w:tr>
    </w:tbl>
    <w:p w14:paraId="21E0C40C" w14:textId="77777777" w:rsidR="00CB162F" w:rsidRDefault="00CB162F" w:rsidP="006D625E">
      <w:pPr>
        <w:spacing w:after="0" w:line="240" w:lineRule="auto"/>
        <w:ind w:left="993" w:right="0"/>
        <w:rPr>
          <w:rFonts w:ascii="Arial" w:hAnsi="Arial" w:cs="Arial"/>
          <w:sz w:val="20"/>
          <w:szCs w:val="20"/>
        </w:rPr>
      </w:pPr>
    </w:p>
    <w:tbl>
      <w:tblPr>
        <w:tblStyle w:val="Tabellrutnt"/>
        <w:tblW w:w="0" w:type="auto"/>
        <w:tblInd w:w="993" w:type="dxa"/>
        <w:tblLook w:val="04A0" w:firstRow="1" w:lastRow="0" w:firstColumn="1" w:lastColumn="0" w:noHBand="0" w:noVBand="1"/>
      </w:tblPr>
      <w:tblGrid>
        <w:gridCol w:w="7926"/>
      </w:tblGrid>
      <w:tr w:rsidR="00EB3623" w14:paraId="256229C1" w14:textId="77777777" w:rsidTr="00EB3623">
        <w:tc>
          <w:tcPr>
            <w:tcW w:w="8919" w:type="dxa"/>
          </w:tcPr>
          <w:p w14:paraId="7302D260" w14:textId="77777777" w:rsidR="00EB3623" w:rsidRDefault="00EB3623" w:rsidP="004D6F07">
            <w:pPr>
              <w:pStyle w:val="MellanrubrikVGR"/>
              <w:ind w:left="24" w:right="0"/>
            </w:pPr>
            <w:r>
              <w:t>Akut sectio och pågående högdos trombosprofylax under graviditet</w:t>
            </w:r>
          </w:p>
          <w:p w14:paraId="2A2A21D8" w14:textId="19249014" w:rsidR="004D6F07" w:rsidRDefault="004D6F07" w:rsidP="004D6F07">
            <w:pPr>
              <w:ind w:left="0" w:right="-110"/>
            </w:pPr>
            <w:r>
              <w:t>(Högst 5 000 enheter Fragmin/dygn.)</w:t>
            </w:r>
          </w:p>
          <w:p w14:paraId="2D6136CF" w14:textId="77777777" w:rsidR="004D6F07" w:rsidRDefault="004D6F07" w:rsidP="004D6F07">
            <w:pPr>
              <w:ind w:left="0" w:right="-110"/>
            </w:pPr>
            <w:r>
              <w:t>Kontroll av APTT, PK (INR) och TPK.</w:t>
            </w:r>
          </w:p>
          <w:p w14:paraId="5FBC1CAF" w14:textId="77777777" w:rsidR="00EB3623" w:rsidRDefault="004D6F07" w:rsidP="00EB3623">
            <w:pPr>
              <w:ind w:left="0" w:right="-110"/>
            </w:pPr>
            <w:r>
              <w:t xml:space="preserve">Vid </w:t>
            </w:r>
            <w:r w:rsidRPr="004D6F07">
              <w:rPr>
                <w:b/>
                <w:bCs/>
                <w:i/>
                <w:iCs/>
              </w:rPr>
              <w:t>akut sectio</w:t>
            </w:r>
            <w:r>
              <w:t xml:space="preserve"> i narkos ges Fragmin 2 500 enheter subkutant tidigast 12 timmar efter senaste injektion. Om tidpunkten för injektion inträffar vid tiden för sectio avvaktas med Fragmin till 2 timmar postoperativt. Den upprepas sedan efter 12 timmar operationsdygnet.</w:t>
            </w:r>
          </w:p>
          <w:p w14:paraId="78E9334E" w14:textId="48A69734" w:rsidR="004D6F07" w:rsidRDefault="004D6F07" w:rsidP="00EB3623">
            <w:pPr>
              <w:ind w:left="0" w:right="-110"/>
            </w:pPr>
            <w:r>
              <w:t>Ge injektion subkutant i låret, inte i bukväggen!</w:t>
            </w:r>
          </w:p>
        </w:tc>
      </w:tr>
    </w:tbl>
    <w:p w14:paraId="7641015A" w14:textId="77777777" w:rsidR="009807E2" w:rsidRPr="009807E2" w:rsidRDefault="009807E2" w:rsidP="009807E2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7A3D25FD" w14:textId="77777777" w:rsidR="009807E2" w:rsidRPr="009807E2" w:rsidRDefault="009807E2" w:rsidP="009807E2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9807E2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3C7E6999"/>
    <w:multiLevelType w:val="hybridMultilevel"/>
    <w:tmpl w:val="CF9ACB4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32713026">
    <w:abstractNumId w:val="18"/>
  </w:num>
  <w:num w:numId="2" w16cid:durableId="1363557324">
    <w:abstractNumId w:val="15"/>
  </w:num>
  <w:num w:numId="3" w16cid:durableId="1446853927">
    <w:abstractNumId w:val="0"/>
  </w:num>
  <w:num w:numId="4" w16cid:durableId="415129813">
    <w:abstractNumId w:val="6"/>
  </w:num>
  <w:num w:numId="5" w16cid:durableId="1383674390">
    <w:abstractNumId w:val="16"/>
  </w:num>
  <w:num w:numId="6" w16cid:durableId="1220556415">
    <w:abstractNumId w:val="2"/>
  </w:num>
  <w:num w:numId="7" w16cid:durableId="1409573171">
    <w:abstractNumId w:val="12"/>
  </w:num>
  <w:num w:numId="8" w16cid:durableId="1602180442">
    <w:abstractNumId w:val="8"/>
  </w:num>
  <w:num w:numId="9" w16cid:durableId="1114515801">
    <w:abstractNumId w:val="1"/>
  </w:num>
  <w:num w:numId="10" w16cid:durableId="2038967388">
    <w:abstractNumId w:val="1"/>
  </w:num>
  <w:num w:numId="11" w16cid:durableId="459224915">
    <w:abstractNumId w:val="3"/>
  </w:num>
  <w:num w:numId="12" w16cid:durableId="1805729067">
    <w:abstractNumId w:val="4"/>
  </w:num>
  <w:num w:numId="13" w16cid:durableId="845366039">
    <w:abstractNumId w:val="14"/>
  </w:num>
  <w:num w:numId="14" w16cid:durableId="651830145">
    <w:abstractNumId w:val="9"/>
  </w:num>
  <w:num w:numId="15" w16cid:durableId="58359155">
    <w:abstractNumId w:val="7"/>
  </w:num>
  <w:num w:numId="16" w16cid:durableId="1451624801">
    <w:abstractNumId w:val="13"/>
  </w:num>
  <w:num w:numId="17" w16cid:durableId="1171481730">
    <w:abstractNumId w:val="5"/>
  </w:num>
  <w:num w:numId="18" w16cid:durableId="1254895330">
    <w:abstractNumId w:val="11"/>
  </w:num>
  <w:num w:numId="19" w16cid:durableId="535118396">
    <w:abstractNumId w:val="17"/>
  </w:num>
  <w:num w:numId="20" w16cid:durableId="26839354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4337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53D2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21C4"/>
    <w:rsid w:val="000B4253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149BE"/>
    <w:rsid w:val="00131B08"/>
    <w:rsid w:val="00132A59"/>
    <w:rsid w:val="00133337"/>
    <w:rsid w:val="00133A0F"/>
    <w:rsid w:val="0013580F"/>
    <w:rsid w:val="00135C97"/>
    <w:rsid w:val="00137B6D"/>
    <w:rsid w:val="0014070B"/>
    <w:rsid w:val="001422C1"/>
    <w:rsid w:val="0014528E"/>
    <w:rsid w:val="001522AE"/>
    <w:rsid w:val="00157D5B"/>
    <w:rsid w:val="00161FE6"/>
    <w:rsid w:val="001647EA"/>
    <w:rsid w:val="00164C3D"/>
    <w:rsid w:val="00166D3A"/>
    <w:rsid w:val="00172704"/>
    <w:rsid w:val="00181FDC"/>
    <w:rsid w:val="001860B9"/>
    <w:rsid w:val="00186F2B"/>
    <w:rsid w:val="001874D6"/>
    <w:rsid w:val="0019632A"/>
    <w:rsid w:val="001A4E7C"/>
    <w:rsid w:val="001B0175"/>
    <w:rsid w:val="001B1E95"/>
    <w:rsid w:val="001B762C"/>
    <w:rsid w:val="001C4D0A"/>
    <w:rsid w:val="001C5FEF"/>
    <w:rsid w:val="00211487"/>
    <w:rsid w:val="00211D91"/>
    <w:rsid w:val="00217DEC"/>
    <w:rsid w:val="00233658"/>
    <w:rsid w:val="00235B57"/>
    <w:rsid w:val="00250F24"/>
    <w:rsid w:val="002523C5"/>
    <w:rsid w:val="00252445"/>
    <w:rsid w:val="0025380B"/>
    <w:rsid w:val="0025703A"/>
    <w:rsid w:val="00262F3D"/>
    <w:rsid w:val="00263281"/>
    <w:rsid w:val="002651D6"/>
    <w:rsid w:val="0026551F"/>
    <w:rsid w:val="00280A85"/>
    <w:rsid w:val="002840F5"/>
    <w:rsid w:val="00284119"/>
    <w:rsid w:val="00290B5C"/>
    <w:rsid w:val="00294791"/>
    <w:rsid w:val="002B0B30"/>
    <w:rsid w:val="002B0C78"/>
    <w:rsid w:val="002B52E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69E4"/>
    <w:rsid w:val="003203D7"/>
    <w:rsid w:val="00320F86"/>
    <w:rsid w:val="00324171"/>
    <w:rsid w:val="00326C24"/>
    <w:rsid w:val="0033564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180A"/>
    <w:rsid w:val="00384019"/>
    <w:rsid w:val="003854F1"/>
    <w:rsid w:val="0039118E"/>
    <w:rsid w:val="00397F54"/>
    <w:rsid w:val="003A0D43"/>
    <w:rsid w:val="003B1908"/>
    <w:rsid w:val="003B2A4B"/>
    <w:rsid w:val="003B396A"/>
    <w:rsid w:val="003D08F4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77AFC"/>
    <w:rsid w:val="00480DC7"/>
    <w:rsid w:val="004876F6"/>
    <w:rsid w:val="0049236A"/>
    <w:rsid w:val="00492718"/>
    <w:rsid w:val="00493BC3"/>
    <w:rsid w:val="004A355D"/>
    <w:rsid w:val="004A4970"/>
    <w:rsid w:val="004A5CF8"/>
    <w:rsid w:val="004B2183"/>
    <w:rsid w:val="004B2A01"/>
    <w:rsid w:val="004C2559"/>
    <w:rsid w:val="004D6F07"/>
    <w:rsid w:val="004D7BA3"/>
    <w:rsid w:val="004F4518"/>
    <w:rsid w:val="004F4C62"/>
    <w:rsid w:val="00501433"/>
    <w:rsid w:val="00502507"/>
    <w:rsid w:val="00511CC4"/>
    <w:rsid w:val="00531BA1"/>
    <w:rsid w:val="00531E60"/>
    <w:rsid w:val="00536A5A"/>
    <w:rsid w:val="005371D2"/>
    <w:rsid w:val="00541D07"/>
    <w:rsid w:val="00544BAB"/>
    <w:rsid w:val="00545F31"/>
    <w:rsid w:val="005578FA"/>
    <w:rsid w:val="0056206D"/>
    <w:rsid w:val="00565129"/>
    <w:rsid w:val="00565CD0"/>
    <w:rsid w:val="00567820"/>
    <w:rsid w:val="005770AD"/>
    <w:rsid w:val="00581414"/>
    <w:rsid w:val="00582490"/>
    <w:rsid w:val="005826FA"/>
    <w:rsid w:val="00584853"/>
    <w:rsid w:val="00597E28"/>
    <w:rsid w:val="005A199F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5225"/>
    <w:rsid w:val="005E02B3"/>
    <w:rsid w:val="005E05FC"/>
    <w:rsid w:val="005E1E24"/>
    <w:rsid w:val="0060596B"/>
    <w:rsid w:val="00606D97"/>
    <w:rsid w:val="00613EF9"/>
    <w:rsid w:val="00614E64"/>
    <w:rsid w:val="00617710"/>
    <w:rsid w:val="00617962"/>
    <w:rsid w:val="00617EE6"/>
    <w:rsid w:val="0062184C"/>
    <w:rsid w:val="00623724"/>
    <w:rsid w:val="00627BEA"/>
    <w:rsid w:val="006319DB"/>
    <w:rsid w:val="0065595B"/>
    <w:rsid w:val="00660269"/>
    <w:rsid w:val="0066510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625E"/>
    <w:rsid w:val="006D7535"/>
    <w:rsid w:val="006E450B"/>
    <w:rsid w:val="006E7300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563C5"/>
    <w:rsid w:val="00760038"/>
    <w:rsid w:val="00762EE0"/>
    <w:rsid w:val="00765C41"/>
    <w:rsid w:val="00771100"/>
    <w:rsid w:val="007759DD"/>
    <w:rsid w:val="0078609F"/>
    <w:rsid w:val="007872C0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363A0"/>
    <w:rsid w:val="00843F48"/>
    <w:rsid w:val="00851423"/>
    <w:rsid w:val="008543B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245E"/>
    <w:rsid w:val="00905367"/>
    <w:rsid w:val="00906238"/>
    <w:rsid w:val="00907EF9"/>
    <w:rsid w:val="0091295C"/>
    <w:rsid w:val="00914D58"/>
    <w:rsid w:val="00921F47"/>
    <w:rsid w:val="009228AB"/>
    <w:rsid w:val="0092708B"/>
    <w:rsid w:val="0093085B"/>
    <w:rsid w:val="00931C57"/>
    <w:rsid w:val="009347A5"/>
    <w:rsid w:val="00942257"/>
    <w:rsid w:val="009471BF"/>
    <w:rsid w:val="00950E4E"/>
    <w:rsid w:val="009518CD"/>
    <w:rsid w:val="009529BD"/>
    <w:rsid w:val="009533B4"/>
    <w:rsid w:val="00963479"/>
    <w:rsid w:val="00971D93"/>
    <w:rsid w:val="009807E2"/>
    <w:rsid w:val="009A5C1A"/>
    <w:rsid w:val="009B1F6B"/>
    <w:rsid w:val="009C0D12"/>
    <w:rsid w:val="009C192E"/>
    <w:rsid w:val="009D1275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7C44"/>
    <w:rsid w:val="00A264BE"/>
    <w:rsid w:val="00A272CA"/>
    <w:rsid w:val="00A33051"/>
    <w:rsid w:val="00A33594"/>
    <w:rsid w:val="00A407AD"/>
    <w:rsid w:val="00A40923"/>
    <w:rsid w:val="00A41C05"/>
    <w:rsid w:val="00A42426"/>
    <w:rsid w:val="00A514B7"/>
    <w:rsid w:val="00A53A37"/>
    <w:rsid w:val="00A54A0B"/>
    <w:rsid w:val="00A65FD4"/>
    <w:rsid w:val="00A7641C"/>
    <w:rsid w:val="00A81198"/>
    <w:rsid w:val="00A81E48"/>
    <w:rsid w:val="00A82035"/>
    <w:rsid w:val="00A82138"/>
    <w:rsid w:val="00A90D77"/>
    <w:rsid w:val="00A92E07"/>
    <w:rsid w:val="00AA0B3A"/>
    <w:rsid w:val="00AA6EB4"/>
    <w:rsid w:val="00AA767D"/>
    <w:rsid w:val="00AB0CC9"/>
    <w:rsid w:val="00AC3FF6"/>
    <w:rsid w:val="00AD73EC"/>
    <w:rsid w:val="00AE5932"/>
    <w:rsid w:val="00AE5BC7"/>
    <w:rsid w:val="00AF5AAF"/>
    <w:rsid w:val="00B046D8"/>
    <w:rsid w:val="00B13F4C"/>
    <w:rsid w:val="00B16219"/>
    <w:rsid w:val="00B16C59"/>
    <w:rsid w:val="00B2006E"/>
    <w:rsid w:val="00B33FDD"/>
    <w:rsid w:val="00B359CC"/>
    <w:rsid w:val="00B36107"/>
    <w:rsid w:val="00B373CF"/>
    <w:rsid w:val="00B41789"/>
    <w:rsid w:val="00B46C03"/>
    <w:rsid w:val="00B60C6C"/>
    <w:rsid w:val="00B619A9"/>
    <w:rsid w:val="00B65A9D"/>
    <w:rsid w:val="00B66D60"/>
    <w:rsid w:val="00B67009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0D2A"/>
    <w:rsid w:val="00BB69DB"/>
    <w:rsid w:val="00BC322E"/>
    <w:rsid w:val="00BC44CD"/>
    <w:rsid w:val="00BC48A6"/>
    <w:rsid w:val="00BE7978"/>
    <w:rsid w:val="00C07DDB"/>
    <w:rsid w:val="00C4115D"/>
    <w:rsid w:val="00C43BDD"/>
    <w:rsid w:val="00C46932"/>
    <w:rsid w:val="00C47778"/>
    <w:rsid w:val="00C5011E"/>
    <w:rsid w:val="00C50EE5"/>
    <w:rsid w:val="00C5240A"/>
    <w:rsid w:val="00C52D3C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62F"/>
    <w:rsid w:val="00CB17FF"/>
    <w:rsid w:val="00CB1ED7"/>
    <w:rsid w:val="00CB2C69"/>
    <w:rsid w:val="00CC167C"/>
    <w:rsid w:val="00CC52D9"/>
    <w:rsid w:val="00CD6647"/>
    <w:rsid w:val="00CE4B73"/>
    <w:rsid w:val="00CF6365"/>
    <w:rsid w:val="00CF70BB"/>
    <w:rsid w:val="00D074DB"/>
    <w:rsid w:val="00D12C17"/>
    <w:rsid w:val="00D139CF"/>
    <w:rsid w:val="00D37E7F"/>
    <w:rsid w:val="00D437A7"/>
    <w:rsid w:val="00D47AD7"/>
    <w:rsid w:val="00D51529"/>
    <w:rsid w:val="00D51CB3"/>
    <w:rsid w:val="00D85218"/>
    <w:rsid w:val="00D915B1"/>
    <w:rsid w:val="00DA299D"/>
    <w:rsid w:val="00DA65C4"/>
    <w:rsid w:val="00DD2BE0"/>
    <w:rsid w:val="00DE4447"/>
    <w:rsid w:val="00DE5DA2"/>
    <w:rsid w:val="00DF0033"/>
    <w:rsid w:val="00DF3901"/>
    <w:rsid w:val="00E026BF"/>
    <w:rsid w:val="00E07B1B"/>
    <w:rsid w:val="00E11853"/>
    <w:rsid w:val="00E466D2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3623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7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7872C0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617962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203</TotalTime>
  <Pages>4</Pages>
  <Words>727</Words>
  <Characters>4387</Characters>
  <Application>Microsoft Office Word</Application>
  <DocSecurity>0</DocSecurity>
  <Lines>36</Lines>
  <Paragraphs>10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Trombosprofylax vid sectio</vt:lpstr>
    </vt:vector>
  </TitlesOfParts>
  <Manager/>
  <Company/>
  <LinksUpToDate>false</LinksUpToDate>
  <CharactersWithSpaces>5104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Trombosprofylax vid sectio</dc:title>
  <dc:subject/>
  <dc:creator>patrik.jens.johansson@vgregion.se</dc:creator>
  <keywords/>
  <lastModifiedBy>Pernilla Käll Borg</lastModifiedBy>
  <revision>68</revision>
  <lastPrinted>2016-03-31T10:56:00.0000000Z</lastPrinted>
  <dcterms:created xsi:type="dcterms:W3CDTF">2022-03-07T08:47:00.0000000Z</dcterms:created>
  <dcterms:modified xsi:type="dcterms:W3CDTF">2025-08-26T08:05:00.0000000Z</dcterms:modified>
</coreProperties>
</file>