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987A4" w14:textId="77777777" w:rsidR="00885B96" w:rsidRDefault="00885B96" w:rsidP="00F35B05">
      <w:pPr>
        <w:pStyle w:val="Rubrik2"/>
        <w:sectPr w:rsidR="00885B96" w:rsidSect="00885B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6BEF48" w14:textId="371AE9EA" w:rsidR="004B7BA5" w:rsidRDefault="004B7BA5" w:rsidP="004B7BA5">
      <w:pPr>
        <w:pStyle w:val="Rubrik1"/>
      </w:pPr>
      <w:r>
        <w:t>Prematura sammandragningar</w:t>
      </w:r>
    </w:p>
    <w:p w14:paraId="7B254F21" w14:textId="76C13DC7" w:rsidR="00885B96" w:rsidRPr="00885B96" w:rsidRDefault="00885B96" w:rsidP="004B7BA5">
      <w:pPr>
        <w:pStyle w:val="Rubrik2"/>
      </w:pPr>
      <w:r w:rsidRPr="00885B96">
        <w:t>Revideringar i denna version</w:t>
      </w:r>
    </w:p>
    <w:p w14:paraId="456E2E34" w14:textId="44218338" w:rsidR="00885B96" w:rsidRPr="00885B96" w:rsidRDefault="004B7BA5" w:rsidP="00E62B82">
      <w:pPr>
        <w:rPr>
          <w:rFonts w:ascii="Arial" w:hAnsi="Arial" w:cs="Arial"/>
          <w:sz w:val="20"/>
          <w:szCs w:val="20"/>
        </w:rPr>
      </w:pPr>
      <w:r>
        <w:t>Förlängd giltighetstid</w:t>
      </w:r>
      <w:r w:rsidR="00885B96" w:rsidRPr="00885B96">
        <w:t xml:space="preserve">. </w:t>
      </w:r>
    </w:p>
    <w:p w14:paraId="2EEF6DD6" w14:textId="77777777" w:rsidR="00885B96" w:rsidRPr="00885B96" w:rsidRDefault="00885B96" w:rsidP="004B7BA5">
      <w:pPr>
        <w:pStyle w:val="Rubrik2"/>
        <w:rPr>
          <w:sz w:val="20"/>
        </w:rPr>
      </w:pPr>
      <w:r w:rsidRPr="00885B96">
        <w:t>Bakgrund, syfte och mål</w:t>
      </w:r>
      <w:r w:rsidRPr="00885B96">
        <w:rPr>
          <w:sz w:val="20"/>
        </w:rPr>
        <w:t xml:space="preserve"> </w:t>
      </w:r>
    </w:p>
    <w:p w14:paraId="166752D2" w14:textId="7541CAE3" w:rsidR="00885B96" w:rsidRPr="00885B96" w:rsidRDefault="00885B96" w:rsidP="00E62B82">
      <w:pPr>
        <w:rPr>
          <w:rFonts w:ascii="Arial" w:eastAsia="Arial" w:hAnsi="Arial" w:cs="Arial"/>
          <w:color w:val="000000"/>
          <w:kern w:val="3"/>
          <w:lang w:eastAsia="zh-CN" w:bidi="hi-IN"/>
        </w:rPr>
      </w:pPr>
      <w:r w:rsidRPr="00885B96">
        <w:rPr>
          <w:rFonts w:eastAsia="Arial"/>
          <w:lang w:eastAsia="zh-CN" w:bidi="hi-IN"/>
        </w:rPr>
        <w:t>Sammandragningar kan vara ett förebud till prematur förlossning alterna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tivt utgöras av normalt förekommande så kallade Braxton-</w:t>
      </w:r>
      <w:proofErr w:type="spellStart"/>
      <w:r w:rsidRPr="00885B96">
        <w:rPr>
          <w:rFonts w:eastAsia="Arial"/>
          <w:lang w:eastAsia="zh-CN" w:bidi="hi-IN"/>
        </w:rPr>
        <w:t>Hickska</w:t>
      </w:r>
      <w:proofErr w:type="spellEnd"/>
      <w:r w:rsidRPr="00885B96">
        <w:rPr>
          <w:rFonts w:eastAsia="Arial"/>
          <w:lang w:eastAsia="zh-CN" w:bidi="hi-IN"/>
        </w:rPr>
        <w:t xml:space="preserve"> kon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traktioner. Sammandragningar kan även vara en följd av någon patolo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 xml:space="preserve">gisk process i eller utanför uterus till exempel UVI, </w:t>
      </w:r>
      <w:proofErr w:type="spellStart"/>
      <w:r w:rsidRPr="00885B96">
        <w:rPr>
          <w:rFonts w:eastAsia="Arial"/>
          <w:lang w:eastAsia="zh-CN" w:bidi="hi-IN"/>
        </w:rPr>
        <w:t>amnionit</w:t>
      </w:r>
      <w:proofErr w:type="spellEnd"/>
      <w:r w:rsidRPr="00885B96">
        <w:rPr>
          <w:rFonts w:eastAsia="Arial"/>
          <w:lang w:eastAsia="zh-CN" w:bidi="hi-IN"/>
        </w:rPr>
        <w:t xml:space="preserve">, appendicit eller </w:t>
      </w:r>
      <w:proofErr w:type="spellStart"/>
      <w:r w:rsidRPr="00885B96">
        <w:rPr>
          <w:rFonts w:eastAsia="Arial"/>
          <w:lang w:eastAsia="zh-CN" w:bidi="hi-IN"/>
        </w:rPr>
        <w:t>ablatio</w:t>
      </w:r>
      <w:proofErr w:type="spellEnd"/>
      <w:r w:rsidRPr="00885B96">
        <w:rPr>
          <w:rFonts w:eastAsia="Arial"/>
          <w:lang w:eastAsia="zh-CN" w:bidi="hi-IN"/>
        </w:rPr>
        <w:t>.</w:t>
      </w:r>
    </w:p>
    <w:p w14:paraId="14E0FCF6" w14:textId="77777777" w:rsidR="00885B96" w:rsidRPr="00885B96" w:rsidRDefault="00885B96" w:rsidP="0074452C">
      <w:pPr>
        <w:pStyle w:val="Rubrik2"/>
        <w:rPr>
          <w:lang w:eastAsia="zh-CN" w:bidi="hi-IN"/>
        </w:rPr>
      </w:pPr>
      <w:r w:rsidRPr="00885B96">
        <w:rPr>
          <w:lang w:eastAsia="zh-CN" w:bidi="hi-IN"/>
        </w:rPr>
        <w:t>Definition</w:t>
      </w:r>
    </w:p>
    <w:p w14:paraId="16552576" w14:textId="77777777" w:rsidR="00885B96" w:rsidRPr="00885B96" w:rsidRDefault="00885B96" w:rsidP="004850F2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Graviditet &lt; 37 veckor och kombinationen:</w:t>
      </w:r>
    </w:p>
    <w:p w14:paraId="5B8AED44" w14:textId="77777777" w:rsidR="00885B96" w:rsidRPr="00885B96" w:rsidRDefault="00885B96" w:rsidP="004850F2">
      <w:pPr>
        <w:pStyle w:val="Punktlista"/>
        <w:numPr>
          <w:ilvl w:val="0"/>
          <w:numId w:val="25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Sammandragningar (</w:t>
      </w:r>
      <w:r w:rsidRPr="00885B96">
        <w:rPr>
          <w:rFonts w:eastAsia="Arial"/>
          <w:u w:val="single"/>
          <w:lang w:eastAsia="zh-CN" w:bidi="hi-IN"/>
        </w:rPr>
        <w:t>&gt;</w:t>
      </w:r>
      <w:r w:rsidRPr="00885B96">
        <w:rPr>
          <w:rFonts w:eastAsia="Arial"/>
          <w:lang w:eastAsia="zh-CN" w:bidi="hi-IN"/>
        </w:rPr>
        <w:t xml:space="preserve"> 2/10 minut) under minst 30 minuter och</w:t>
      </w:r>
    </w:p>
    <w:p w14:paraId="7BBD3BE4" w14:textId="77777777" w:rsidR="00885B96" w:rsidRPr="00885B96" w:rsidRDefault="00885B96" w:rsidP="004850F2">
      <w:pPr>
        <w:pStyle w:val="Punktlista"/>
        <w:numPr>
          <w:ilvl w:val="0"/>
          <w:numId w:val="25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Cervixpåverkan</w:t>
      </w:r>
      <w:r w:rsidRPr="00885B96">
        <w:rPr>
          <w:rFonts w:eastAsia="Arial"/>
          <w:lang w:eastAsia="zh-CN" w:bidi="hi-IN"/>
        </w:rPr>
        <w:br/>
      </w:r>
      <w:r w:rsidRPr="00885B96">
        <w:rPr>
          <w:rFonts w:eastAsia="Arial"/>
          <w:lang w:eastAsia="zh-CN" w:bidi="hi-IN"/>
        </w:rPr>
        <w:tab/>
      </w:r>
      <w:proofErr w:type="spellStart"/>
      <w:r w:rsidRPr="00885B96">
        <w:rPr>
          <w:rFonts w:eastAsia="Arial"/>
          <w:lang w:eastAsia="zh-CN" w:bidi="hi-IN"/>
        </w:rPr>
        <w:t>Palpatoriskt</w:t>
      </w:r>
      <w:proofErr w:type="spellEnd"/>
      <w:r w:rsidRPr="00885B96">
        <w:rPr>
          <w:rFonts w:eastAsia="Arial"/>
          <w:lang w:eastAsia="zh-CN" w:bidi="hi-IN"/>
        </w:rPr>
        <w:t xml:space="preserve">: mjuk, öppen &gt; 1 cm eller &gt; 50 % </w:t>
      </w:r>
      <w:proofErr w:type="spellStart"/>
      <w:r w:rsidRPr="00885B96">
        <w:rPr>
          <w:rFonts w:eastAsia="Arial"/>
          <w:lang w:eastAsia="zh-CN" w:bidi="hi-IN"/>
        </w:rPr>
        <w:t>utplåningsgrad</w:t>
      </w:r>
      <w:proofErr w:type="spellEnd"/>
      <w:r w:rsidRPr="00885B96">
        <w:rPr>
          <w:rFonts w:eastAsia="Arial"/>
          <w:lang w:eastAsia="zh-CN" w:bidi="hi-IN"/>
        </w:rPr>
        <w:t xml:space="preserve"> eller</w:t>
      </w:r>
      <w:r w:rsidRPr="00885B96">
        <w:rPr>
          <w:rFonts w:eastAsia="Arial"/>
          <w:lang w:eastAsia="zh-CN" w:bidi="hi-IN"/>
        </w:rPr>
        <w:br/>
      </w:r>
      <w:r w:rsidRPr="00885B96">
        <w:rPr>
          <w:rFonts w:eastAsia="Arial"/>
          <w:lang w:eastAsia="zh-CN" w:bidi="hi-IN"/>
        </w:rPr>
        <w:tab/>
        <w:t xml:space="preserve">Ultraljud: sluten cervixkanal &lt; 25 mm lång, med eller utan </w:t>
      </w:r>
      <w:proofErr w:type="spellStart"/>
      <w:r w:rsidRPr="00885B96">
        <w:rPr>
          <w:rFonts w:eastAsia="Arial"/>
          <w:lang w:eastAsia="zh-CN" w:bidi="hi-IN"/>
        </w:rPr>
        <w:t>funneling</w:t>
      </w:r>
      <w:proofErr w:type="spellEnd"/>
      <w:r w:rsidRPr="00885B96">
        <w:rPr>
          <w:rFonts w:eastAsia="Arial"/>
          <w:lang w:eastAsia="zh-CN" w:bidi="hi-IN"/>
        </w:rPr>
        <w:t>.</w:t>
      </w:r>
    </w:p>
    <w:p w14:paraId="5BAC828D" w14:textId="77777777" w:rsidR="00885B96" w:rsidRPr="00885B96" w:rsidRDefault="00885B96" w:rsidP="0074452C">
      <w:pPr>
        <w:pStyle w:val="MellanrubrikVGR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Utredning</w:t>
      </w:r>
    </w:p>
    <w:p w14:paraId="04193717" w14:textId="77777777" w:rsidR="00885B96" w:rsidRPr="00885B96" w:rsidRDefault="00885B96" w:rsidP="004850F2">
      <w:pPr>
        <w:pStyle w:val="Punktlista"/>
        <w:numPr>
          <w:ilvl w:val="0"/>
          <w:numId w:val="26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Anamnes.</w:t>
      </w:r>
    </w:p>
    <w:p w14:paraId="566314FE" w14:textId="77777777" w:rsidR="00885B96" w:rsidRPr="00885B96" w:rsidRDefault="00885B96" w:rsidP="004850F2">
      <w:pPr>
        <w:pStyle w:val="Punktlista"/>
        <w:numPr>
          <w:ilvl w:val="0"/>
          <w:numId w:val="26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CTG-registrering under minst 30 minuter (25+0 veckor).</w:t>
      </w:r>
    </w:p>
    <w:p w14:paraId="3229317C" w14:textId="77777777" w:rsidR="00885B96" w:rsidRPr="00885B96" w:rsidRDefault="00885B96" w:rsidP="004850F2">
      <w:pPr>
        <w:pStyle w:val="Punktlista"/>
        <w:numPr>
          <w:ilvl w:val="0"/>
          <w:numId w:val="26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Värkstatus.</w:t>
      </w:r>
    </w:p>
    <w:p w14:paraId="715C3A62" w14:textId="77777777" w:rsidR="00885B96" w:rsidRPr="00885B96" w:rsidRDefault="00885B96" w:rsidP="004850F2">
      <w:pPr>
        <w:pStyle w:val="Punktlista"/>
        <w:numPr>
          <w:ilvl w:val="0"/>
          <w:numId w:val="26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Urinsticka och eventuellt urinodling.</w:t>
      </w:r>
    </w:p>
    <w:p w14:paraId="7A38C7B8" w14:textId="77777777" w:rsidR="00885B96" w:rsidRPr="00885B96" w:rsidRDefault="00885B96" w:rsidP="004850F2">
      <w:pPr>
        <w:pStyle w:val="Punktlista"/>
        <w:numPr>
          <w:ilvl w:val="0"/>
          <w:numId w:val="26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Temp.</w:t>
      </w:r>
    </w:p>
    <w:p w14:paraId="6F52E370" w14:textId="7B3AA21D" w:rsidR="00885B96" w:rsidRPr="00885B96" w:rsidRDefault="00885B96" w:rsidP="004850F2">
      <w:pPr>
        <w:pStyle w:val="Punktlista"/>
        <w:numPr>
          <w:ilvl w:val="0"/>
          <w:numId w:val="26"/>
        </w:num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Läkarundersökning:</w:t>
      </w:r>
      <w:r w:rsidRPr="00885B96">
        <w:rPr>
          <w:rFonts w:eastAsia="Arial"/>
          <w:lang w:eastAsia="zh-CN" w:bidi="hi-IN"/>
        </w:rPr>
        <w:br/>
        <w:t>-</w:t>
      </w:r>
      <w:r w:rsidRPr="00885B96">
        <w:rPr>
          <w:rFonts w:eastAsia="Arial"/>
          <w:lang w:eastAsia="zh-CN" w:bidi="hi-IN"/>
        </w:rPr>
        <w:tab/>
        <w:t xml:space="preserve">Spekulumundersökning med odling från nedre vagina (GBS) och med </w:t>
      </w:r>
      <w:r w:rsidR="00E62B82">
        <w:rPr>
          <w:rFonts w:eastAsia="Arial"/>
          <w:lang w:eastAsia="zh-CN" w:bidi="hi-IN"/>
        </w:rPr>
        <w:tab/>
      </w:r>
      <w:r w:rsidRPr="00885B96">
        <w:rPr>
          <w:rFonts w:eastAsia="Arial"/>
          <w:lang w:eastAsia="zh-CN" w:bidi="hi-IN"/>
        </w:rPr>
        <w:t xml:space="preserve">visuell bedömning av cervix. </w:t>
      </w:r>
      <w:r w:rsidRPr="00885B96">
        <w:rPr>
          <w:rFonts w:eastAsia="Arial"/>
          <w:lang w:eastAsia="zh-CN" w:bidi="hi-IN"/>
        </w:rPr>
        <w:br/>
        <w:t>-</w:t>
      </w:r>
      <w:r w:rsidRPr="00885B96">
        <w:rPr>
          <w:rFonts w:eastAsia="Arial"/>
          <w:lang w:eastAsia="zh-CN" w:bidi="hi-IN"/>
        </w:rPr>
        <w:tab/>
        <w:t>Vaginalt ultraljud med bedömning av cervixlängd.</w:t>
      </w:r>
      <w:r w:rsidRPr="00885B96">
        <w:rPr>
          <w:rFonts w:eastAsia="Arial"/>
          <w:lang w:eastAsia="zh-CN" w:bidi="hi-IN"/>
        </w:rPr>
        <w:br/>
        <w:t>-</w:t>
      </w:r>
      <w:r w:rsidRPr="00885B96">
        <w:rPr>
          <w:rFonts w:eastAsia="Arial"/>
          <w:lang w:eastAsia="zh-CN" w:bidi="hi-IN"/>
        </w:rPr>
        <w:tab/>
        <w:t xml:space="preserve">Abdominellt ultraljud med viktskattning och DVP (observera att det </w:t>
      </w:r>
      <w:r w:rsidR="00E62B82">
        <w:rPr>
          <w:rFonts w:eastAsia="Arial"/>
          <w:lang w:eastAsia="zh-CN" w:bidi="hi-IN"/>
        </w:rPr>
        <w:tab/>
      </w:r>
      <w:r w:rsidRPr="00885B96">
        <w:rPr>
          <w:rFonts w:eastAsia="Arial"/>
          <w:lang w:eastAsia="zh-CN" w:bidi="hi-IN"/>
        </w:rPr>
        <w:t xml:space="preserve">föreligger en ökad frekvens av missbildningar och IUGR i denna </w:t>
      </w:r>
      <w:r w:rsidR="00E62B82">
        <w:rPr>
          <w:rFonts w:eastAsia="Arial"/>
          <w:lang w:eastAsia="zh-CN" w:bidi="hi-IN"/>
        </w:rPr>
        <w:lastRenderedPageBreak/>
        <w:tab/>
      </w:r>
      <w:r w:rsidRPr="00885B96">
        <w:rPr>
          <w:rFonts w:eastAsia="Arial"/>
          <w:lang w:eastAsia="zh-CN" w:bidi="hi-IN"/>
        </w:rPr>
        <w:t>patientgrupp).</w:t>
      </w:r>
      <w:r w:rsidRPr="00885B96">
        <w:rPr>
          <w:rFonts w:eastAsia="Arial"/>
          <w:lang w:eastAsia="zh-CN" w:bidi="hi-IN"/>
        </w:rPr>
        <w:br/>
        <w:t>-</w:t>
      </w:r>
      <w:r w:rsidRPr="00885B96">
        <w:rPr>
          <w:rFonts w:eastAsia="Arial"/>
          <w:lang w:eastAsia="zh-CN" w:bidi="hi-IN"/>
        </w:rPr>
        <w:tab/>
        <w:t>Eventuellt CRP.</w:t>
      </w:r>
    </w:p>
    <w:p w14:paraId="5698685E" w14:textId="77777777" w:rsidR="00885B96" w:rsidRPr="00885B96" w:rsidRDefault="00885B96" w:rsidP="0074452C">
      <w:pPr>
        <w:pStyle w:val="Rubrik2"/>
        <w:rPr>
          <w:lang w:eastAsia="zh-CN" w:bidi="hi-IN"/>
        </w:rPr>
      </w:pPr>
      <w:r w:rsidRPr="00885B96">
        <w:rPr>
          <w:lang w:eastAsia="zh-CN" w:bidi="hi-IN"/>
        </w:rPr>
        <w:t>Handläggning</w:t>
      </w:r>
    </w:p>
    <w:p w14:paraId="2FE8CA32" w14:textId="568E2C48" w:rsidR="00885B96" w:rsidRPr="00885B96" w:rsidRDefault="00885B96" w:rsidP="004850F2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Patienter gravida i &lt; vecka 34+0 bör vid normala fynd på ovanstående ges lugnande besked och skickas hem. Avväg om förhållningsregler ska ges, patientens oro kan förstärkas. Sjukskrivning är sällan indicerad.</w:t>
      </w:r>
    </w:p>
    <w:p w14:paraId="10A1B729" w14:textId="2745A64B" w:rsidR="00885B96" w:rsidRPr="00885B96" w:rsidRDefault="00885B96" w:rsidP="004850F2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Om avvikande fynd på något av ovanstående ska patienten läggas in och man får då ta ställning till om patienten ska:</w:t>
      </w:r>
    </w:p>
    <w:p w14:paraId="26FC4EF4" w14:textId="77777777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Endast observeras.</w:t>
      </w:r>
    </w:p>
    <w:p w14:paraId="386D9CD1" w14:textId="77777777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Behandlas med </w:t>
      </w:r>
      <w:proofErr w:type="spellStart"/>
      <w:r w:rsidRPr="00885B96">
        <w:rPr>
          <w:rFonts w:eastAsia="Arial"/>
          <w:lang w:eastAsia="zh-CN" w:bidi="hi-IN"/>
        </w:rPr>
        <w:t>tokolytika</w:t>
      </w:r>
      <w:proofErr w:type="spellEnd"/>
      <w:r w:rsidRPr="00885B96">
        <w:rPr>
          <w:rFonts w:eastAsia="Arial"/>
          <w:lang w:eastAsia="zh-CN" w:bidi="hi-IN"/>
        </w:rPr>
        <w:t>.</w:t>
      </w:r>
    </w:p>
    <w:p w14:paraId="6025BDEA" w14:textId="4F3208B9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Erhålla steroider, se styrdokument </w:t>
      </w:r>
      <w:hyperlink r:id="rId17" w:history="1">
        <w:r w:rsidRPr="00CF2CCC">
          <w:rPr>
            <w:rStyle w:val="Hyperlnk"/>
            <w:rFonts w:eastAsia="Arial"/>
            <w:lang w:eastAsia="zh-CN" w:bidi="hi-IN"/>
          </w:rPr>
          <w:t>Prematurbörd – kortisonbe</w:t>
        </w:r>
        <w:r w:rsidR="0059414F" w:rsidRPr="00CF2CCC">
          <w:rPr>
            <w:rStyle w:val="Hyperlnk"/>
            <w:rFonts w:eastAsia="Arial"/>
            <w:lang w:eastAsia="zh-CN" w:bidi="hi-IN"/>
          </w:rPr>
          <w:softHyphen/>
        </w:r>
        <w:r w:rsidRPr="00CF2CCC">
          <w:rPr>
            <w:rStyle w:val="Hyperlnk"/>
            <w:rFonts w:eastAsia="Arial"/>
            <w:lang w:eastAsia="zh-CN" w:bidi="hi-IN"/>
          </w:rPr>
          <w:t>handling</w:t>
        </w:r>
      </w:hyperlink>
      <w:r w:rsidR="00CF2CCC">
        <w:rPr>
          <w:rFonts w:eastAsia="Arial"/>
          <w:lang w:eastAsia="zh-CN" w:bidi="hi-IN"/>
        </w:rPr>
        <w:t>.</w:t>
      </w:r>
      <w:r w:rsidRPr="00885B96">
        <w:rPr>
          <w:rFonts w:eastAsia="Arial"/>
          <w:lang w:eastAsia="zh-CN" w:bidi="hi-IN"/>
        </w:rPr>
        <w:t xml:space="preserve"> </w:t>
      </w:r>
    </w:p>
    <w:p w14:paraId="22F3987F" w14:textId="5BA027B3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Flyttas till annat sjukhus, se styrdokument </w:t>
      </w:r>
      <w:hyperlink r:id="rId18" w:history="1">
        <w:r w:rsidRPr="00F25AD3">
          <w:rPr>
            <w:rStyle w:val="Hyperlnk"/>
            <w:rFonts w:eastAsia="Arial"/>
            <w:lang w:eastAsia="zh-CN" w:bidi="hi-IN"/>
          </w:rPr>
          <w:t>Överföri</w:t>
        </w:r>
        <w:r w:rsidRPr="00F25AD3">
          <w:rPr>
            <w:rStyle w:val="Hyperlnk"/>
            <w:rFonts w:eastAsia="Arial"/>
            <w:lang w:eastAsia="zh-CN" w:bidi="hi-IN"/>
          </w:rPr>
          <w:t>n</w:t>
        </w:r>
        <w:r w:rsidRPr="00F25AD3">
          <w:rPr>
            <w:rStyle w:val="Hyperlnk"/>
            <w:rFonts w:eastAsia="Arial"/>
            <w:lang w:eastAsia="zh-CN" w:bidi="hi-IN"/>
          </w:rPr>
          <w:t>g av obstet</w:t>
        </w:r>
        <w:r w:rsidR="0059414F" w:rsidRPr="00F25AD3">
          <w:rPr>
            <w:rStyle w:val="Hyperlnk"/>
            <w:rFonts w:eastAsia="Arial"/>
            <w:lang w:eastAsia="zh-CN" w:bidi="hi-IN"/>
          </w:rPr>
          <w:softHyphen/>
        </w:r>
        <w:r w:rsidRPr="00F25AD3">
          <w:rPr>
            <w:rStyle w:val="Hyperlnk"/>
            <w:rFonts w:eastAsia="Arial"/>
            <w:lang w:eastAsia="zh-CN" w:bidi="hi-IN"/>
          </w:rPr>
          <w:t>riska patienter till andra sjukhus - förlossningsvård</w:t>
        </w:r>
      </w:hyperlink>
      <w:r w:rsidR="00F25AD3">
        <w:rPr>
          <w:rFonts w:eastAsia="Arial"/>
          <w:lang w:eastAsia="zh-CN" w:bidi="hi-IN"/>
        </w:rPr>
        <w:t>.</w:t>
      </w:r>
      <w:r w:rsidRPr="00885B96">
        <w:rPr>
          <w:rFonts w:eastAsia="Arial"/>
          <w:lang w:eastAsia="zh-CN" w:bidi="hi-IN"/>
        </w:rPr>
        <w:t xml:space="preserve"> </w:t>
      </w:r>
    </w:p>
    <w:p w14:paraId="24C7137D" w14:textId="785BD1B2" w:rsidR="00885B96" w:rsidRPr="00885B96" w:rsidRDefault="00885B96" w:rsidP="004850F2">
      <w:pPr>
        <w:rPr>
          <w:rFonts w:ascii="Arial" w:eastAsia="Arial" w:hAnsi="Arial" w:cs="Arial"/>
          <w:color w:val="000000"/>
          <w:kern w:val="3"/>
          <w:lang w:eastAsia="zh-CN" w:bidi="hi-IN"/>
        </w:rPr>
      </w:pPr>
      <w:r w:rsidRPr="00E62B82">
        <w:rPr>
          <w:rFonts w:eastAsia="Arial"/>
          <w:color w:val="000000"/>
          <w:kern w:val="3"/>
          <w:lang w:eastAsia="zh-CN" w:bidi="hi-IN"/>
        </w:rPr>
        <w:t xml:space="preserve">Överväg antibiotikabehandling – var god se styrdokument </w:t>
      </w:r>
      <w:hyperlink r:id="rId19" w:history="1">
        <w:r w:rsidRPr="00E350FA">
          <w:rPr>
            <w:rStyle w:val="Hyperlnk"/>
            <w:rFonts w:eastAsia="Arial"/>
            <w:kern w:val="3"/>
            <w:lang w:eastAsia="zh-CN" w:bidi="hi-IN"/>
          </w:rPr>
          <w:t>Antibioti</w:t>
        </w:r>
        <w:r w:rsidRPr="00E350FA">
          <w:rPr>
            <w:rStyle w:val="Hyperlnk"/>
            <w:rFonts w:eastAsia="Arial"/>
            <w:kern w:val="3"/>
            <w:lang w:eastAsia="zh-CN" w:bidi="hi-IN"/>
          </w:rPr>
          <w:t>k</w:t>
        </w:r>
        <w:r w:rsidRPr="00E350FA">
          <w:rPr>
            <w:rStyle w:val="Hyperlnk"/>
            <w:rFonts w:eastAsia="Arial"/>
            <w:kern w:val="3"/>
            <w:lang w:eastAsia="zh-CN" w:bidi="hi-IN"/>
          </w:rPr>
          <w:t>a</w:t>
        </w:r>
        <w:r w:rsidR="00E350FA">
          <w:rPr>
            <w:rStyle w:val="Hyperlnk"/>
            <w:rFonts w:eastAsia="Arial"/>
            <w:kern w:val="3"/>
            <w:lang w:eastAsia="zh-CN" w:bidi="hi-IN"/>
          </w:rPr>
          <w:t>användning</w:t>
        </w:r>
        <w:r w:rsidRPr="00E350FA">
          <w:rPr>
            <w:rStyle w:val="Hyperlnk"/>
            <w:rFonts w:eastAsia="Arial"/>
            <w:kern w:val="3"/>
            <w:lang w:eastAsia="zh-CN" w:bidi="hi-IN"/>
          </w:rPr>
          <w:t xml:space="preserve"> inom obstetrik</w:t>
        </w:r>
      </w:hyperlink>
      <w:r w:rsidRPr="00885B96">
        <w:rPr>
          <w:rFonts w:ascii="Arial" w:eastAsia="Arial" w:hAnsi="Arial" w:cs="Arial"/>
          <w:color w:val="000000"/>
          <w:kern w:val="3"/>
          <w:sz w:val="20"/>
          <w:lang w:eastAsia="zh-CN" w:bidi="hi-IN"/>
        </w:rPr>
        <w:t>.</w:t>
      </w:r>
    </w:p>
    <w:p w14:paraId="26F7CEFE" w14:textId="4205B515" w:rsidR="00885B96" w:rsidRPr="00885B96" w:rsidRDefault="00885B96" w:rsidP="00E62B82">
      <w:pPr>
        <w:rPr>
          <w:rFonts w:ascii="Arial" w:eastAsia="Arial" w:hAnsi="Arial" w:cs="Arial"/>
          <w:color w:val="000000"/>
          <w:kern w:val="3"/>
          <w:lang w:eastAsia="zh-CN" w:bidi="hi-IN"/>
        </w:rPr>
      </w:pPr>
      <w:r w:rsidRPr="00E62B82">
        <w:rPr>
          <w:rFonts w:eastAsia="Arial"/>
          <w:color w:val="000000"/>
          <w:kern w:val="3"/>
          <w:lang w:eastAsia="zh-CN" w:bidi="hi-IN"/>
        </w:rPr>
        <w:t>Patienter gravida i vecka 34+0–36+6 ska, liksom tidigare prematurer, be</w:t>
      </w:r>
      <w:r w:rsidR="0059414F">
        <w:rPr>
          <w:rFonts w:eastAsia="Arial"/>
          <w:color w:val="000000"/>
          <w:kern w:val="3"/>
          <w:lang w:eastAsia="zh-CN" w:bidi="hi-IN"/>
        </w:rPr>
        <w:softHyphen/>
      </w:r>
      <w:r w:rsidRPr="00E62B82">
        <w:rPr>
          <w:rFonts w:eastAsia="Arial"/>
          <w:color w:val="000000"/>
          <w:kern w:val="3"/>
          <w:lang w:eastAsia="zh-CN" w:bidi="hi-IN"/>
        </w:rPr>
        <w:t>dömas av läkare. Det finns dock ingen anledning att behandla dessa pati</w:t>
      </w:r>
      <w:r w:rsidR="0059414F">
        <w:rPr>
          <w:rFonts w:eastAsia="Arial"/>
          <w:color w:val="000000"/>
          <w:kern w:val="3"/>
          <w:lang w:eastAsia="zh-CN" w:bidi="hi-IN"/>
        </w:rPr>
        <w:softHyphen/>
      </w:r>
      <w:r w:rsidRPr="00E62B82">
        <w:rPr>
          <w:rFonts w:eastAsia="Arial"/>
          <w:color w:val="000000"/>
          <w:kern w:val="3"/>
          <w:lang w:eastAsia="zh-CN" w:bidi="hi-IN"/>
        </w:rPr>
        <w:t xml:space="preserve">enter med </w:t>
      </w:r>
      <w:proofErr w:type="spellStart"/>
      <w:r w:rsidRPr="00E62B82">
        <w:rPr>
          <w:rFonts w:eastAsia="Arial"/>
          <w:color w:val="000000"/>
          <w:kern w:val="3"/>
          <w:lang w:eastAsia="zh-CN" w:bidi="hi-IN"/>
        </w:rPr>
        <w:t>tokolys</w:t>
      </w:r>
      <w:proofErr w:type="spellEnd"/>
      <w:r w:rsidRPr="00E62B82">
        <w:rPr>
          <w:rFonts w:eastAsia="Arial"/>
          <w:color w:val="000000"/>
          <w:kern w:val="3"/>
          <w:lang w:eastAsia="zh-CN" w:bidi="hi-IN"/>
        </w:rPr>
        <w:t xml:space="preserve"> och/eller steroider utan patienten tillåts att föda om spontan förlossningsstart. Dock bör </w:t>
      </w:r>
      <w:proofErr w:type="spellStart"/>
      <w:r w:rsidRPr="00E62B82">
        <w:rPr>
          <w:rFonts w:eastAsia="Arial"/>
          <w:color w:val="000000"/>
          <w:kern w:val="3"/>
          <w:lang w:eastAsia="zh-CN" w:bidi="hi-IN"/>
        </w:rPr>
        <w:t>neo</w:t>
      </w:r>
      <w:proofErr w:type="spellEnd"/>
      <w:r w:rsidRPr="00E62B82">
        <w:rPr>
          <w:rFonts w:eastAsia="Arial"/>
          <w:color w:val="000000"/>
          <w:kern w:val="3"/>
          <w:lang w:eastAsia="zh-CN" w:bidi="hi-IN"/>
        </w:rPr>
        <w:t xml:space="preserve"> vara informerade om att patien</w:t>
      </w:r>
      <w:r w:rsidR="0059414F">
        <w:rPr>
          <w:rFonts w:eastAsia="Arial"/>
          <w:color w:val="000000"/>
          <w:kern w:val="3"/>
          <w:lang w:eastAsia="zh-CN" w:bidi="hi-IN"/>
        </w:rPr>
        <w:softHyphen/>
      </w:r>
      <w:r w:rsidRPr="00E62B82">
        <w:rPr>
          <w:rFonts w:eastAsia="Arial"/>
          <w:color w:val="000000"/>
          <w:kern w:val="3"/>
          <w:lang w:eastAsia="zh-CN" w:bidi="hi-IN"/>
        </w:rPr>
        <w:t>ten finns på plats då barnet kan komma att behöva behandling där efter förlossningen.</w:t>
      </w:r>
    </w:p>
    <w:p w14:paraId="0BCCA238" w14:textId="22D7513D" w:rsidR="00885B96" w:rsidRPr="00885B96" w:rsidRDefault="00885B96" w:rsidP="0074452C">
      <w:pPr>
        <w:pStyle w:val="Rubrik2"/>
        <w:rPr>
          <w:lang w:eastAsia="zh-CN" w:bidi="hi-IN"/>
        </w:rPr>
      </w:pPr>
      <w:r w:rsidRPr="00885B96">
        <w:rPr>
          <w:lang w:eastAsia="zh-CN" w:bidi="hi-IN"/>
        </w:rPr>
        <w:t>Tokolytisk behandling vid hotande förtids</w:t>
      </w:r>
      <w:r w:rsidR="0059414F">
        <w:rPr>
          <w:lang w:eastAsia="zh-CN" w:bidi="hi-IN"/>
        </w:rPr>
        <w:softHyphen/>
      </w:r>
      <w:r w:rsidRPr="00885B96">
        <w:rPr>
          <w:lang w:eastAsia="zh-CN" w:bidi="hi-IN"/>
        </w:rPr>
        <w:t>börd</w:t>
      </w:r>
    </w:p>
    <w:p w14:paraId="4477FDCF" w14:textId="77777777" w:rsidR="00885B96" w:rsidRPr="00885B96" w:rsidRDefault="00885B96" w:rsidP="004850F2">
      <w:pPr>
        <w:pStyle w:val="MellanrubrikVGR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Indikation</w:t>
      </w:r>
    </w:p>
    <w:p w14:paraId="1739A344" w14:textId="3A57AA15" w:rsidR="00885B96" w:rsidRPr="00885B96" w:rsidRDefault="00885B96" w:rsidP="004850F2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Farmakologisk </w:t>
      </w:r>
      <w:proofErr w:type="spellStart"/>
      <w:r w:rsidRPr="00885B96">
        <w:rPr>
          <w:rFonts w:eastAsia="Arial"/>
          <w:lang w:eastAsia="zh-CN" w:bidi="hi-IN"/>
        </w:rPr>
        <w:t>tokolys</w:t>
      </w:r>
      <w:proofErr w:type="spellEnd"/>
      <w:r w:rsidRPr="00885B96">
        <w:rPr>
          <w:rFonts w:eastAsia="Arial"/>
          <w:lang w:eastAsia="zh-CN" w:bidi="hi-IN"/>
        </w:rPr>
        <w:t xml:space="preserve"> bör endast övervägas för patienter i graviditets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vecka 23+0–33+6 där man önskar skjuta upp förlossningen för att an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tingen hinna ge steroider eller transportera patienten till annat sjukhus.</w:t>
      </w:r>
    </w:p>
    <w:p w14:paraId="19392526" w14:textId="77777777" w:rsidR="00885B96" w:rsidRPr="00885B96" w:rsidRDefault="00885B96" w:rsidP="004850F2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Farmakologisk </w:t>
      </w:r>
      <w:proofErr w:type="spellStart"/>
      <w:r w:rsidRPr="00885B96">
        <w:rPr>
          <w:rFonts w:eastAsia="Arial"/>
          <w:lang w:eastAsia="zh-CN" w:bidi="hi-IN"/>
        </w:rPr>
        <w:t>tokolys</w:t>
      </w:r>
      <w:proofErr w:type="spellEnd"/>
      <w:r w:rsidRPr="00885B96">
        <w:rPr>
          <w:rFonts w:eastAsia="Arial"/>
          <w:lang w:eastAsia="zh-CN" w:bidi="hi-IN"/>
        </w:rPr>
        <w:t xml:space="preserve"> bör inte inledas förrän man med CTG registrerat regelbundna samman-dragningar under minst 30 minuter </w:t>
      </w:r>
      <w:r w:rsidRPr="00885B96">
        <w:rPr>
          <w:rFonts w:eastAsia="Arial"/>
          <w:i/>
          <w:lang w:eastAsia="zh-CN" w:bidi="hi-IN"/>
        </w:rPr>
        <w:t xml:space="preserve">eller </w:t>
      </w:r>
      <w:r w:rsidRPr="00885B96">
        <w:rPr>
          <w:rFonts w:eastAsia="Arial"/>
          <w:lang w:eastAsia="zh-CN" w:bidi="hi-IN"/>
        </w:rPr>
        <w:t>annan typ av uterusaktivitet med samtidig cervixpåverkan.</w:t>
      </w:r>
    </w:p>
    <w:p w14:paraId="4052D42F" w14:textId="77777777" w:rsidR="00885B96" w:rsidRPr="00885B96" w:rsidRDefault="00885B96" w:rsidP="00885B96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Arial" w:hAnsi="Arial" w:cs="Arial"/>
          <w:color w:val="000000"/>
          <w:kern w:val="3"/>
          <w:lang w:eastAsia="zh-CN" w:bidi="hi-IN"/>
        </w:rPr>
      </w:pPr>
    </w:p>
    <w:p w14:paraId="44A2DD73" w14:textId="6F59E13D" w:rsidR="00885B96" w:rsidRPr="00885B96" w:rsidRDefault="00885B96" w:rsidP="0074452C">
      <w:pPr>
        <w:pStyle w:val="MellanrubrikVGR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Kontraindikationer</w:t>
      </w:r>
    </w:p>
    <w:p w14:paraId="37165E78" w14:textId="77777777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Ablatio </w:t>
      </w:r>
      <w:proofErr w:type="spellStart"/>
      <w:r w:rsidRPr="00885B96">
        <w:rPr>
          <w:rFonts w:eastAsia="Arial"/>
          <w:lang w:eastAsia="zh-CN" w:bidi="hi-IN"/>
        </w:rPr>
        <w:t>placentae</w:t>
      </w:r>
      <w:proofErr w:type="spellEnd"/>
      <w:r w:rsidRPr="00885B96">
        <w:rPr>
          <w:rFonts w:eastAsia="Arial"/>
          <w:lang w:eastAsia="zh-CN" w:bidi="hi-IN"/>
        </w:rPr>
        <w:t>.</w:t>
      </w:r>
    </w:p>
    <w:p w14:paraId="7032E554" w14:textId="77777777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proofErr w:type="spellStart"/>
      <w:r w:rsidRPr="00885B96">
        <w:rPr>
          <w:rFonts w:eastAsia="Arial"/>
          <w:lang w:eastAsia="zh-CN" w:bidi="hi-IN"/>
        </w:rPr>
        <w:t>Chorioamnionit</w:t>
      </w:r>
      <w:proofErr w:type="spellEnd"/>
      <w:r w:rsidRPr="00885B96">
        <w:rPr>
          <w:rFonts w:eastAsia="Arial"/>
          <w:lang w:eastAsia="zh-CN" w:bidi="hi-IN"/>
        </w:rPr>
        <w:t>.</w:t>
      </w:r>
    </w:p>
    <w:p w14:paraId="6B94A925" w14:textId="77777777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lastRenderedPageBreak/>
        <w:t>Graviditetsvecka &lt; 23+0.</w:t>
      </w:r>
    </w:p>
    <w:p w14:paraId="4129E45B" w14:textId="2E36FD09" w:rsidR="00885B96" w:rsidRPr="00885B96" w:rsidRDefault="00885B96" w:rsidP="004850F2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Annat tillstånd hos moder/barn som kräver omedelbar förloss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ning.</w:t>
      </w:r>
    </w:p>
    <w:p w14:paraId="156E593B" w14:textId="77777777" w:rsidR="00885B96" w:rsidRPr="00885B96" w:rsidRDefault="00885B96" w:rsidP="0074452C">
      <w:pPr>
        <w:pStyle w:val="Rubrik2"/>
        <w:rPr>
          <w:lang w:eastAsia="zh-CN" w:bidi="hi-IN"/>
        </w:rPr>
      </w:pPr>
      <w:r w:rsidRPr="00885B96">
        <w:rPr>
          <w:lang w:eastAsia="zh-CN" w:bidi="hi-IN"/>
        </w:rPr>
        <w:t>Utförande</w:t>
      </w:r>
    </w:p>
    <w:p w14:paraId="56CC3FD5" w14:textId="34702803" w:rsidR="00885B96" w:rsidRPr="00885B96" w:rsidRDefault="00885B96" w:rsidP="004850F2">
      <w:pPr>
        <w:rPr>
          <w:rFonts w:eastAsia="Arial"/>
          <w:lang w:eastAsia="zh-CN" w:bidi="hi-IN"/>
        </w:rPr>
      </w:pPr>
      <w:r w:rsidRPr="00885B96">
        <w:rPr>
          <w:rFonts w:eastAsia="Arial"/>
          <w:i/>
          <w:iCs/>
          <w:lang w:eastAsia="zh-CN" w:bidi="hi-IN"/>
        </w:rPr>
        <w:t>Förstahandsval</w:t>
      </w:r>
      <w:r w:rsidRPr="00885B96">
        <w:rPr>
          <w:rFonts w:eastAsia="Arial"/>
          <w:lang w:eastAsia="zh-CN" w:bidi="hi-IN"/>
        </w:rPr>
        <w:t xml:space="preserve">: </w:t>
      </w:r>
      <w:proofErr w:type="spellStart"/>
      <w:r w:rsidRPr="00885B96">
        <w:rPr>
          <w:rFonts w:eastAsia="Arial"/>
          <w:lang w:eastAsia="zh-CN" w:bidi="hi-IN"/>
        </w:rPr>
        <w:t>Atosiban</w:t>
      </w:r>
      <w:proofErr w:type="spellEnd"/>
      <w:r w:rsidRPr="00885B96">
        <w:rPr>
          <w:rFonts w:eastAsia="Arial"/>
          <w:lang w:eastAsia="zh-CN" w:bidi="hi-IN"/>
        </w:rPr>
        <w:t xml:space="preserve"> (</w:t>
      </w:r>
      <w:proofErr w:type="spellStart"/>
      <w:r w:rsidRPr="00885B96">
        <w:rPr>
          <w:rFonts w:eastAsia="Arial"/>
          <w:bCs/>
          <w:lang w:eastAsia="zh-CN" w:bidi="hi-IN"/>
        </w:rPr>
        <w:t>Tractocile</w:t>
      </w:r>
      <w:proofErr w:type="spellEnd"/>
      <w:r w:rsidRPr="00885B96">
        <w:rPr>
          <w:rFonts w:eastAsia="Arial"/>
          <w:b/>
          <w:bCs/>
          <w:lang w:eastAsia="zh-CN" w:bidi="hi-IN"/>
        </w:rPr>
        <w:t>®</w:t>
      </w:r>
      <w:r w:rsidRPr="00885B96">
        <w:rPr>
          <w:rFonts w:eastAsia="Arial"/>
          <w:lang w:eastAsia="zh-CN" w:bidi="hi-IN"/>
        </w:rPr>
        <w:t>), låg biverkningsprofil. Vanligast är illamående. Kontraindikationer inkluderar prematur vattenavgång &gt; 30 graviditetsveckor och onormal hjärtfrekvens hos fostret (?).</w:t>
      </w:r>
    </w:p>
    <w:p w14:paraId="74B9B840" w14:textId="77777777" w:rsidR="00885B96" w:rsidRPr="00885B96" w:rsidRDefault="00885B96" w:rsidP="004850F2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Administrationssätt</w:t>
      </w:r>
    </w:p>
    <w:p w14:paraId="13DE6258" w14:textId="77777777" w:rsidR="00885B96" w:rsidRPr="00885B96" w:rsidRDefault="00885B96" w:rsidP="004850F2">
      <w:pPr>
        <w:pStyle w:val="Punktlista"/>
        <w:numPr>
          <w:ilvl w:val="0"/>
          <w:numId w:val="27"/>
        </w:numPr>
      </w:pPr>
      <w:r w:rsidRPr="00885B96">
        <w:t>Bolusinjektion 6,75 mg i v (0,9 ml) under 1 minut.</w:t>
      </w:r>
    </w:p>
    <w:p w14:paraId="556F7D72" w14:textId="77777777" w:rsidR="00885B96" w:rsidRPr="00885B96" w:rsidRDefault="00885B96" w:rsidP="004850F2">
      <w:pPr>
        <w:pStyle w:val="Punktlista"/>
        <w:numPr>
          <w:ilvl w:val="0"/>
          <w:numId w:val="27"/>
        </w:numPr>
      </w:pPr>
      <w:r w:rsidRPr="00885B96">
        <w:t xml:space="preserve">Dropp innehållande 90 ml </w:t>
      </w:r>
      <w:proofErr w:type="spellStart"/>
      <w:r w:rsidRPr="00885B96">
        <w:t>NaCl</w:t>
      </w:r>
      <w:proofErr w:type="spellEnd"/>
      <w:r w:rsidRPr="00885B96">
        <w:t xml:space="preserve"> och 75 mg </w:t>
      </w:r>
      <w:proofErr w:type="spellStart"/>
      <w:r w:rsidRPr="00885B96">
        <w:t>Tractocile</w:t>
      </w:r>
      <w:proofErr w:type="spellEnd"/>
      <w:r w:rsidRPr="00885B96">
        <w:t xml:space="preserve"> (10 ml). Starta infusionen med </w:t>
      </w:r>
      <w:r w:rsidRPr="00885B96">
        <w:br/>
        <w:t>24 ml/timme – ska pågå i 3 timmar.</w:t>
      </w:r>
    </w:p>
    <w:p w14:paraId="312C5016" w14:textId="77777777" w:rsidR="00885B96" w:rsidRPr="00885B96" w:rsidRDefault="00885B96" w:rsidP="004850F2">
      <w:pPr>
        <w:pStyle w:val="Punktlista"/>
        <w:numPr>
          <w:ilvl w:val="0"/>
          <w:numId w:val="27"/>
        </w:numPr>
      </w:pPr>
      <w:r w:rsidRPr="00885B96">
        <w:t>Efter 3 timmar sänks infusionshastigheten till 8 ml/timme i ytterligare 16 timmar.</w:t>
      </w:r>
    </w:p>
    <w:p w14:paraId="531296C4" w14:textId="7BFB3A93" w:rsidR="00885B96" w:rsidRPr="00885B96" w:rsidRDefault="00885B96" w:rsidP="006037CC">
      <w:pPr>
        <w:rPr>
          <w:rFonts w:eastAsia="Arial"/>
          <w:lang w:eastAsia="zh-CN" w:bidi="hi-IN"/>
        </w:rPr>
      </w:pPr>
      <w:r w:rsidRPr="00885B96">
        <w:rPr>
          <w:rFonts w:ascii="Arial" w:hAnsi="Arial" w:cs="Arial"/>
          <w:sz w:val="20"/>
          <w:szCs w:val="20"/>
        </w:rPr>
        <w:t xml:space="preserve"> </w:t>
      </w:r>
      <w:r w:rsidRPr="00885B96">
        <w:rPr>
          <w:rFonts w:eastAsia="Arial"/>
          <w:lang w:eastAsia="zh-CN" w:bidi="hi-IN"/>
        </w:rPr>
        <w:t>Total behandlingstid 19 timmar således. Därefter nytt ställningstagande om underhållsbehandling ska fortsätta – i dessa fall maximal behand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lingslängd 44 timmar.</w:t>
      </w:r>
    </w:p>
    <w:p w14:paraId="1DDCE861" w14:textId="401D8BEC" w:rsidR="00885B96" w:rsidRPr="00885B96" w:rsidRDefault="00885B96" w:rsidP="00E62B82">
      <w:pPr>
        <w:rPr>
          <w:rFonts w:ascii="Arial" w:eastAsia="Arial" w:hAnsi="Arial" w:cs="Arial"/>
          <w:i/>
          <w:iCs/>
          <w:color w:val="000000"/>
          <w:kern w:val="3"/>
          <w:lang w:eastAsia="zh-CN" w:bidi="hi-IN"/>
        </w:rPr>
      </w:pPr>
      <w:r w:rsidRPr="00885B96">
        <w:rPr>
          <w:rFonts w:eastAsia="Arial"/>
          <w:i/>
          <w:iCs/>
          <w:lang w:eastAsia="zh-CN" w:bidi="hi-IN"/>
        </w:rPr>
        <w:t xml:space="preserve">Andrahandsval: </w:t>
      </w:r>
      <w:proofErr w:type="spellStart"/>
      <w:r w:rsidRPr="00885B96">
        <w:rPr>
          <w:rFonts w:eastAsia="Arial"/>
          <w:lang w:eastAsia="zh-CN" w:bidi="hi-IN"/>
        </w:rPr>
        <w:t>Terbutalin</w:t>
      </w:r>
      <w:proofErr w:type="spellEnd"/>
      <w:r w:rsidRPr="00885B96">
        <w:rPr>
          <w:rFonts w:eastAsia="Arial"/>
          <w:lang w:eastAsia="zh-CN" w:bidi="hi-IN"/>
        </w:rPr>
        <w:t xml:space="preserve"> (</w:t>
      </w:r>
      <w:proofErr w:type="spellStart"/>
      <w:r w:rsidRPr="00885B96">
        <w:rPr>
          <w:rFonts w:eastAsia="Arial"/>
          <w:lang w:eastAsia="zh-CN" w:bidi="hi-IN"/>
        </w:rPr>
        <w:t>Bricanyl</w:t>
      </w:r>
      <w:proofErr w:type="spellEnd"/>
      <w:r w:rsidRPr="00885B96">
        <w:rPr>
          <w:rFonts w:eastAsia="Arial"/>
          <w:b/>
          <w:lang w:eastAsia="zh-CN" w:bidi="hi-IN"/>
        </w:rPr>
        <w:t>®</w:t>
      </w:r>
      <w:r w:rsidRPr="00885B96">
        <w:rPr>
          <w:rFonts w:eastAsia="Arial"/>
          <w:lang w:eastAsia="zh-CN" w:bidi="hi-IN"/>
        </w:rPr>
        <w:t xml:space="preserve">), på grund av biverkningar såsom </w:t>
      </w:r>
      <w:proofErr w:type="spellStart"/>
      <w:r w:rsidRPr="00885B96">
        <w:rPr>
          <w:rFonts w:eastAsia="Arial"/>
          <w:lang w:eastAsia="zh-CN" w:bidi="hi-IN"/>
        </w:rPr>
        <w:t>tremor</w:t>
      </w:r>
      <w:proofErr w:type="spellEnd"/>
      <w:r w:rsidRPr="00885B96">
        <w:rPr>
          <w:rFonts w:eastAsia="Arial"/>
          <w:lang w:eastAsia="zh-CN" w:bidi="hi-IN"/>
        </w:rPr>
        <w:t>, huvudvärk, hyper-</w:t>
      </w:r>
      <w:proofErr w:type="spellStart"/>
      <w:r w:rsidRPr="00885B96">
        <w:rPr>
          <w:rFonts w:eastAsia="Arial"/>
          <w:lang w:eastAsia="zh-CN" w:bidi="hi-IN"/>
        </w:rPr>
        <w:t>glykemi</w:t>
      </w:r>
      <w:proofErr w:type="spellEnd"/>
      <w:r w:rsidRPr="00885B96">
        <w:rPr>
          <w:rFonts w:eastAsia="Arial"/>
          <w:lang w:eastAsia="zh-CN" w:bidi="hi-IN"/>
        </w:rPr>
        <w:t xml:space="preserve">, </w:t>
      </w:r>
      <w:proofErr w:type="spellStart"/>
      <w:r w:rsidRPr="00885B96">
        <w:rPr>
          <w:rFonts w:eastAsia="Arial"/>
          <w:lang w:eastAsia="zh-CN" w:bidi="hi-IN"/>
        </w:rPr>
        <w:t>hypokalemi</w:t>
      </w:r>
      <w:proofErr w:type="spellEnd"/>
      <w:r w:rsidRPr="00885B96">
        <w:rPr>
          <w:rFonts w:eastAsia="Arial"/>
          <w:lang w:eastAsia="zh-CN" w:bidi="hi-IN"/>
        </w:rPr>
        <w:t xml:space="preserve"> och i sällsynta fall bröst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 xml:space="preserve">smärta och lungödem. Kontraindikationer inkluderar diabetes, </w:t>
      </w:r>
      <w:proofErr w:type="spellStart"/>
      <w:r w:rsidRPr="00885B96">
        <w:rPr>
          <w:rFonts w:eastAsia="Arial"/>
          <w:lang w:eastAsia="zh-CN" w:bidi="hi-IN"/>
        </w:rPr>
        <w:t>hypovo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lemi</w:t>
      </w:r>
      <w:proofErr w:type="spellEnd"/>
      <w:r w:rsidRPr="00885B96">
        <w:rPr>
          <w:rFonts w:eastAsia="Arial"/>
          <w:lang w:eastAsia="zh-CN" w:bidi="hi-IN"/>
        </w:rPr>
        <w:t xml:space="preserve">, flerbörd, hjärt-kärlsjukdom och </w:t>
      </w:r>
      <w:proofErr w:type="spellStart"/>
      <w:r w:rsidRPr="00885B96">
        <w:rPr>
          <w:rFonts w:eastAsia="Arial"/>
          <w:lang w:eastAsia="zh-CN" w:bidi="hi-IN"/>
        </w:rPr>
        <w:t>hypertyreos</w:t>
      </w:r>
      <w:proofErr w:type="spellEnd"/>
      <w:r w:rsidRPr="00885B96">
        <w:rPr>
          <w:rFonts w:eastAsia="Arial"/>
          <w:lang w:eastAsia="zh-CN" w:bidi="hi-IN"/>
        </w:rPr>
        <w:t>.</w:t>
      </w:r>
    </w:p>
    <w:p w14:paraId="3ECBA5C2" w14:textId="77777777" w:rsidR="00885B96" w:rsidRPr="00885B96" w:rsidRDefault="00885B96" w:rsidP="0074452C">
      <w:pPr>
        <w:pStyle w:val="Rubrik2"/>
        <w:rPr>
          <w:i/>
          <w:iCs/>
          <w:lang w:eastAsia="zh-CN" w:bidi="hi-IN"/>
        </w:rPr>
      </w:pPr>
      <w:r w:rsidRPr="00885B96">
        <w:rPr>
          <w:lang w:eastAsia="zh-CN" w:bidi="hi-IN"/>
        </w:rPr>
        <w:t>Administrations</w:t>
      </w:r>
      <w:r w:rsidRPr="002A21F7">
        <w:rPr>
          <w:lang w:eastAsia="zh-CN" w:bidi="hi-IN"/>
        </w:rPr>
        <w:t>sätt</w:t>
      </w:r>
    </w:p>
    <w:p w14:paraId="73704556" w14:textId="500C54D0" w:rsidR="00885B96" w:rsidRPr="00885B96" w:rsidRDefault="00885B96" w:rsidP="00E62B82">
      <w:pPr>
        <w:rPr>
          <w:rFonts w:ascii="Arial" w:eastAsia="Arial" w:hAnsi="Arial" w:cs="Arial"/>
          <w:color w:val="000000"/>
          <w:kern w:val="3"/>
          <w:lang w:eastAsia="zh-CN" w:bidi="hi-IN"/>
        </w:rPr>
      </w:pPr>
      <w:r w:rsidRPr="006037CC">
        <w:rPr>
          <w:rFonts w:eastAsia="Arial"/>
        </w:rPr>
        <w:t xml:space="preserve">Intravenöst via droppregulator, i undantagsfall kan enstaka </w:t>
      </w:r>
      <w:proofErr w:type="spellStart"/>
      <w:r w:rsidRPr="006037CC">
        <w:rPr>
          <w:rFonts w:eastAsia="Arial"/>
        </w:rPr>
        <w:t>subcutan</w:t>
      </w:r>
      <w:proofErr w:type="spellEnd"/>
      <w:r w:rsidRPr="006037CC">
        <w:rPr>
          <w:rFonts w:eastAsia="Arial"/>
        </w:rPr>
        <w:t xml:space="preserve"> in</w:t>
      </w:r>
      <w:r w:rsidR="0059414F">
        <w:rPr>
          <w:rFonts w:eastAsia="Arial"/>
        </w:rPr>
        <w:softHyphen/>
      </w:r>
      <w:r w:rsidRPr="006037CC">
        <w:rPr>
          <w:rFonts w:eastAsia="Arial"/>
        </w:rPr>
        <w:t>jektion ges (0,25 mg = 0,5</w:t>
      </w:r>
      <w:r w:rsidRPr="00885B96">
        <w:rPr>
          <w:rFonts w:ascii="Arial" w:eastAsia="Arial" w:hAnsi="Arial" w:cs="Arial"/>
          <w:color w:val="000000"/>
          <w:kern w:val="3"/>
          <w:sz w:val="20"/>
          <w:lang w:eastAsia="zh-CN" w:bidi="hi-IN"/>
        </w:rPr>
        <w:t xml:space="preserve"> </w:t>
      </w:r>
      <w:r w:rsidRPr="006037CC">
        <w:rPr>
          <w:rFonts w:eastAsia="Arial"/>
          <w:color w:val="000000"/>
          <w:kern w:val="3"/>
          <w:lang w:eastAsia="zh-CN" w:bidi="hi-IN"/>
        </w:rPr>
        <w:t>ml</w:t>
      </w:r>
      <w:r w:rsidRPr="00885B96">
        <w:rPr>
          <w:rFonts w:ascii="Arial" w:eastAsia="Arial" w:hAnsi="Arial" w:cs="Arial"/>
          <w:color w:val="000000"/>
          <w:kern w:val="3"/>
          <w:sz w:val="20"/>
          <w:lang w:eastAsia="zh-CN" w:bidi="hi-IN"/>
        </w:rPr>
        <w:t>).</w:t>
      </w:r>
    </w:p>
    <w:p w14:paraId="4C544AE7" w14:textId="52C5E67F" w:rsidR="00885B96" w:rsidRPr="00885B96" w:rsidRDefault="00885B96" w:rsidP="006037CC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5 mg </w:t>
      </w:r>
      <w:proofErr w:type="spellStart"/>
      <w:r w:rsidRPr="00885B96">
        <w:rPr>
          <w:rFonts w:eastAsia="Arial"/>
          <w:lang w:eastAsia="zh-CN" w:bidi="hi-IN"/>
        </w:rPr>
        <w:t>Bricanyl</w:t>
      </w:r>
      <w:proofErr w:type="spellEnd"/>
      <w:r w:rsidRPr="00885B96">
        <w:rPr>
          <w:rFonts w:eastAsia="Arial"/>
          <w:lang w:eastAsia="zh-CN" w:bidi="hi-IN"/>
        </w:rPr>
        <w:t xml:space="preserve"> tillsätts 1 000 ml 0,9 % </w:t>
      </w:r>
      <w:proofErr w:type="spellStart"/>
      <w:r w:rsidRPr="00885B96">
        <w:rPr>
          <w:rFonts w:eastAsia="Arial"/>
          <w:lang w:eastAsia="zh-CN" w:bidi="hi-IN"/>
        </w:rPr>
        <w:t>NaCl</w:t>
      </w:r>
      <w:proofErr w:type="spellEnd"/>
      <w:r w:rsidRPr="00885B96">
        <w:rPr>
          <w:rFonts w:eastAsia="Arial"/>
          <w:lang w:eastAsia="zh-CN" w:bidi="hi-IN"/>
        </w:rPr>
        <w:t>. Droppet startas med 120 ml/timme. Vid fortsatta sam-mandragningar kan efter 30 minuter, på or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dination av läkare, höjning till 180 ml/timme ske. Maximal dropptakt 300 ml/timme. Patientens puls, blodtryck och allmäntillstånd kontrolleras fortlöpande, pulsen får inte överstiga 130 slag/minut.</w:t>
      </w:r>
    </w:p>
    <w:p w14:paraId="65A01C1F" w14:textId="06DE20A8" w:rsidR="00885B96" w:rsidRPr="00885B96" w:rsidRDefault="00885B96" w:rsidP="006037CC">
      <w:pPr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Den lägsta dos som behövs för att slå ut värkarna bibehålls under 2 tim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mar, härefter sänks dropp-takten med 30 ml/timme till lägsta effektiva underhållsdos, vanligtvis 30 ml/timme, som får fortgå under cirka 4 tim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 xml:space="preserve">mar, alternativt under natten. En timme innan droppet utsätts ges tablett </w:t>
      </w:r>
      <w:proofErr w:type="spellStart"/>
      <w:r w:rsidRPr="00885B96">
        <w:rPr>
          <w:rFonts w:eastAsia="Arial"/>
          <w:lang w:eastAsia="zh-CN" w:bidi="hi-IN"/>
        </w:rPr>
        <w:t>Bricanyl</w:t>
      </w:r>
      <w:proofErr w:type="spellEnd"/>
      <w:r w:rsidRPr="00885B96">
        <w:rPr>
          <w:rFonts w:eastAsia="Arial"/>
          <w:lang w:eastAsia="zh-CN" w:bidi="hi-IN"/>
        </w:rPr>
        <w:t xml:space="preserve"> Depot 7,5 mg. När droppet är utsatt överförs patienten till oför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 xml:space="preserve">löst avdelning där successiv </w:t>
      </w:r>
      <w:proofErr w:type="spellStart"/>
      <w:r w:rsidRPr="00885B96">
        <w:rPr>
          <w:rFonts w:eastAsia="Arial"/>
          <w:lang w:eastAsia="zh-CN" w:bidi="hi-IN"/>
        </w:rPr>
        <w:t>mobilise</w:t>
      </w:r>
      <w:proofErr w:type="spellEnd"/>
      <w:r w:rsidRPr="00885B96">
        <w:rPr>
          <w:rFonts w:eastAsia="Arial"/>
          <w:lang w:eastAsia="zh-CN" w:bidi="hi-IN"/>
        </w:rPr>
        <w:t>-ring sker enligt vårdplan.</w:t>
      </w:r>
    </w:p>
    <w:p w14:paraId="6F4B57B9" w14:textId="08B8049B" w:rsidR="00885B96" w:rsidRPr="00885B96" w:rsidRDefault="00885B96" w:rsidP="00E62B82">
      <w:pPr>
        <w:rPr>
          <w:rFonts w:ascii="Arial" w:eastAsia="Arial" w:hAnsi="Arial" w:cs="Arial"/>
          <w:color w:val="000000"/>
          <w:kern w:val="3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Utförs sectio under </w:t>
      </w:r>
      <w:proofErr w:type="spellStart"/>
      <w:r w:rsidRPr="00885B96">
        <w:rPr>
          <w:rFonts w:eastAsia="Arial"/>
          <w:lang w:eastAsia="zh-CN" w:bidi="hi-IN"/>
        </w:rPr>
        <w:t>Bricanylbehandling</w:t>
      </w:r>
      <w:proofErr w:type="spellEnd"/>
      <w:r w:rsidRPr="00885B96">
        <w:rPr>
          <w:rFonts w:eastAsia="Arial"/>
          <w:lang w:eastAsia="zh-CN" w:bidi="hi-IN"/>
        </w:rPr>
        <w:t xml:space="preserve"> kan injektion </w:t>
      </w:r>
      <w:proofErr w:type="spellStart"/>
      <w:r w:rsidRPr="00885B96">
        <w:rPr>
          <w:rFonts w:eastAsia="Arial"/>
          <w:lang w:eastAsia="zh-CN" w:bidi="hi-IN"/>
        </w:rPr>
        <w:t>Inderal</w:t>
      </w:r>
      <w:proofErr w:type="spellEnd"/>
      <w:r w:rsidRPr="00885B96">
        <w:rPr>
          <w:rFonts w:eastAsia="Arial"/>
          <w:lang w:eastAsia="zh-CN" w:bidi="hi-IN"/>
        </w:rPr>
        <w:t xml:space="preserve"> 1 mg ges om effekten behöver reverseras.</w:t>
      </w:r>
    </w:p>
    <w:p w14:paraId="38714A98" w14:textId="77777777" w:rsidR="00885B96" w:rsidRPr="00885B96" w:rsidRDefault="00885B96" w:rsidP="0074452C">
      <w:pPr>
        <w:pStyle w:val="Rubrik2"/>
        <w:rPr>
          <w:lang w:eastAsia="zh-CN" w:bidi="hi-IN"/>
        </w:rPr>
      </w:pPr>
      <w:r w:rsidRPr="00885B96">
        <w:rPr>
          <w:lang w:eastAsia="zh-CN" w:bidi="hi-IN"/>
        </w:rPr>
        <w:lastRenderedPageBreak/>
        <w:t>Omvårdnad – handläggning</w:t>
      </w:r>
    </w:p>
    <w:p w14:paraId="6B7028A3" w14:textId="45BD5A60" w:rsidR="00885B96" w:rsidRPr="00885B96" w:rsidRDefault="00885B96" w:rsidP="00E62B82">
      <w:pPr>
        <w:rPr>
          <w:rFonts w:ascii="Arial" w:eastAsia="Arial" w:hAnsi="Arial" w:cs="Arial"/>
          <w:color w:val="000000"/>
          <w:kern w:val="3"/>
          <w:lang w:eastAsia="zh-CN" w:bidi="hi-IN"/>
        </w:rPr>
      </w:pPr>
      <w:r w:rsidRPr="00885B96">
        <w:rPr>
          <w:rFonts w:eastAsia="Arial"/>
          <w:lang w:eastAsia="zh-CN" w:bidi="hi-IN"/>
        </w:rPr>
        <w:t> Barnmorska på BB Skövde tar en noggrann anamnes: I vissa fall kan patienten avvakta i hem-</w:t>
      </w:r>
      <w:proofErr w:type="spellStart"/>
      <w:r w:rsidRPr="00885B96">
        <w:rPr>
          <w:rFonts w:eastAsia="Arial"/>
          <w:lang w:eastAsia="zh-CN" w:bidi="hi-IN"/>
        </w:rPr>
        <w:t>met</w:t>
      </w:r>
      <w:proofErr w:type="spellEnd"/>
      <w:r w:rsidRPr="00885B96">
        <w:rPr>
          <w:rFonts w:eastAsia="Arial"/>
          <w:lang w:eastAsia="zh-CN" w:bidi="hi-IN"/>
        </w:rPr>
        <w:t>, övriga till förlossningen. Vid behov av kon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takt innan vecka 22+0 hänvisas patienten till gyn-mottagningen dagtid och akutmottagningen jourtid.</w:t>
      </w:r>
      <w:r w:rsidRPr="00885B96">
        <w:rPr>
          <w:rFonts w:ascii="Arial" w:eastAsia="Arial" w:hAnsi="Arial" w:cs="Arial"/>
          <w:b/>
          <w:i/>
          <w:color w:val="000000"/>
          <w:kern w:val="3"/>
          <w:sz w:val="20"/>
          <w:lang w:eastAsia="zh-CN" w:bidi="hi-IN"/>
        </w:rPr>
        <w:t xml:space="preserve"> </w:t>
      </w:r>
    </w:p>
    <w:p w14:paraId="48D3DF3D" w14:textId="77777777" w:rsidR="00885B96" w:rsidRPr="00885B96" w:rsidRDefault="00885B96" w:rsidP="0074452C">
      <w:pPr>
        <w:pStyle w:val="MellanrubrikVGR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Vård av patienter där tokolytisk behandling ordineras</w:t>
      </w:r>
    </w:p>
    <w:p w14:paraId="032801E7" w14:textId="77777777" w:rsidR="00885B96" w:rsidRPr="00885B96" w:rsidRDefault="00885B96" w:rsidP="00850B7B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Kvarstannar på förlossningen.</w:t>
      </w:r>
    </w:p>
    <w:p w14:paraId="30DDAD1F" w14:textId="77777777" w:rsidR="00885B96" w:rsidRPr="00885B96" w:rsidRDefault="00885B96" w:rsidP="00850B7B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I första hand </w:t>
      </w:r>
      <w:proofErr w:type="spellStart"/>
      <w:r w:rsidRPr="00885B96">
        <w:rPr>
          <w:rFonts w:eastAsia="Arial"/>
          <w:lang w:eastAsia="zh-CN" w:bidi="hi-IN"/>
        </w:rPr>
        <w:t>Tractocile</w:t>
      </w:r>
      <w:proofErr w:type="spellEnd"/>
      <w:r w:rsidRPr="00885B96">
        <w:rPr>
          <w:rFonts w:eastAsia="Arial"/>
          <w:lang w:eastAsia="zh-CN" w:bidi="hi-IN"/>
        </w:rPr>
        <w:t>, var god se ovan.</w:t>
      </w:r>
    </w:p>
    <w:p w14:paraId="43474C90" w14:textId="420E2BB2" w:rsidR="00885B96" w:rsidRPr="00885B96" w:rsidRDefault="00885B96" w:rsidP="00850B7B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Vid administration av </w:t>
      </w:r>
      <w:proofErr w:type="spellStart"/>
      <w:r w:rsidRPr="00885B96">
        <w:rPr>
          <w:rFonts w:eastAsia="Arial"/>
          <w:lang w:eastAsia="zh-CN" w:bidi="hi-IN"/>
        </w:rPr>
        <w:t>Bricanylinfusion</w:t>
      </w:r>
      <w:proofErr w:type="spellEnd"/>
      <w:r w:rsidRPr="00885B96">
        <w:rPr>
          <w:rFonts w:eastAsia="Arial"/>
          <w:lang w:eastAsia="zh-CN" w:bidi="hi-IN"/>
        </w:rPr>
        <w:t>, kontrollera puls, blod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tryck och AT var 15:e minut i 2 timmar, härefter varje halvtimme i ytterligare 2 timmar, sedan varannan timma, dock inte nattetid då patienten får vila/sova om hon mår bra. Om dropptakten höjs kan tätare kon-</w:t>
      </w:r>
      <w:proofErr w:type="spellStart"/>
      <w:r w:rsidRPr="00885B96">
        <w:rPr>
          <w:rFonts w:eastAsia="Arial"/>
          <w:lang w:eastAsia="zh-CN" w:bidi="hi-IN"/>
        </w:rPr>
        <w:t>troller</w:t>
      </w:r>
      <w:proofErr w:type="spellEnd"/>
      <w:r w:rsidRPr="00885B96">
        <w:rPr>
          <w:rFonts w:eastAsia="Arial"/>
          <w:lang w:eastAsia="zh-CN" w:bidi="hi-IN"/>
        </w:rPr>
        <w:t xml:space="preserve"> vara motiverade.</w:t>
      </w:r>
    </w:p>
    <w:p w14:paraId="21511A0A" w14:textId="154154CB" w:rsidR="00885B96" w:rsidRPr="00885B96" w:rsidRDefault="00885B96" w:rsidP="00850B7B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 xml:space="preserve">Om kortisonbehandling ska ges – se styrdokument </w:t>
      </w:r>
      <w:hyperlink r:id="rId20" w:history="1">
        <w:r w:rsidRPr="000939CC">
          <w:rPr>
            <w:rStyle w:val="Hyperlnk"/>
            <w:rFonts w:eastAsia="Arial"/>
            <w:lang w:eastAsia="zh-CN" w:bidi="hi-IN"/>
          </w:rPr>
          <w:t>Prematurbörd – kortisonbehandling</w:t>
        </w:r>
      </w:hyperlink>
      <w:r w:rsidRPr="00885B96">
        <w:rPr>
          <w:rFonts w:eastAsia="Arial"/>
          <w:lang w:eastAsia="zh-CN" w:bidi="hi-IN"/>
        </w:rPr>
        <w:t>.</w:t>
      </w:r>
    </w:p>
    <w:p w14:paraId="3F60B06C" w14:textId="77777777" w:rsidR="00885B96" w:rsidRPr="00885B96" w:rsidRDefault="00885B96" w:rsidP="00850B7B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Strängt sängläge, om annan regim ordineras detta av läkare.</w:t>
      </w:r>
    </w:p>
    <w:p w14:paraId="7B5D0150" w14:textId="77777777" w:rsidR="00885B96" w:rsidRPr="00885B96" w:rsidRDefault="00885B96" w:rsidP="00850B7B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CTG-kontroll tills sammandragningarna har avklingat.</w:t>
      </w:r>
    </w:p>
    <w:p w14:paraId="3A085159" w14:textId="37D255CF" w:rsidR="00885B96" w:rsidRPr="00885B96" w:rsidRDefault="00885B96" w:rsidP="00850B7B">
      <w:pPr>
        <w:pStyle w:val="Punktlista"/>
        <w:rPr>
          <w:rFonts w:eastAsia="Arial"/>
          <w:lang w:eastAsia="zh-CN" w:bidi="hi-IN"/>
        </w:rPr>
      </w:pPr>
      <w:r w:rsidRPr="00885B96">
        <w:rPr>
          <w:rFonts w:eastAsia="Arial"/>
          <w:lang w:eastAsia="zh-CN" w:bidi="hi-IN"/>
        </w:rPr>
        <w:t>Information av barnläkare och eventuellt besök på kuvösavdel</w:t>
      </w:r>
      <w:r w:rsidR="0059414F">
        <w:rPr>
          <w:rFonts w:eastAsia="Arial"/>
          <w:lang w:eastAsia="zh-CN" w:bidi="hi-IN"/>
        </w:rPr>
        <w:softHyphen/>
      </w:r>
      <w:r w:rsidRPr="00885B96">
        <w:rPr>
          <w:rFonts w:eastAsia="Arial"/>
          <w:lang w:eastAsia="zh-CN" w:bidi="hi-IN"/>
        </w:rPr>
        <w:t>ningen.</w:t>
      </w:r>
    </w:p>
    <w:p w14:paraId="7B086746" w14:textId="77777777" w:rsidR="00885B96" w:rsidRPr="00885B96" w:rsidRDefault="00885B96" w:rsidP="00850B7B">
      <w:pPr>
        <w:rPr>
          <w:b/>
        </w:rPr>
      </w:pPr>
      <w:r w:rsidRPr="00885B96">
        <w:t xml:space="preserve">Med anledning av </w:t>
      </w:r>
      <w:proofErr w:type="spellStart"/>
      <w:r w:rsidRPr="00885B96">
        <w:t>immobilisering</w:t>
      </w:r>
      <w:proofErr w:type="spellEnd"/>
      <w:r w:rsidRPr="00885B96">
        <w:t xml:space="preserve"> bör man beakta risken för trombos och eventuellt ordinera Frag</w:t>
      </w:r>
      <w:r w:rsidRPr="00885B96">
        <w:softHyphen/>
        <w:t>min om indikation finns för detta.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85B9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7C3E98"/>
    <w:multiLevelType w:val="hybridMultilevel"/>
    <w:tmpl w:val="2BCA3D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FFFFFFFF">
      <w:start w:val="6"/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  <w:sz w:val="2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100AD6"/>
    <w:multiLevelType w:val="hybridMultilevel"/>
    <w:tmpl w:val="CF241E5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A3E3A3F"/>
    <w:multiLevelType w:val="hybridMultilevel"/>
    <w:tmpl w:val="8A1CC186"/>
    <w:lvl w:ilvl="0" w:tplc="28408C82">
      <w:start w:val="1"/>
      <w:numFmt w:val="decimal"/>
      <w:lvlText w:val="%1."/>
      <w:lvlJc w:val="left"/>
      <w:pPr>
        <w:ind w:left="1077" w:hanging="360"/>
      </w:pPr>
      <w:rPr>
        <w:rFonts w:ascii="Arial" w:hAnsi="Arial" w:hint="default"/>
        <w:sz w:val="20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DD83D0D"/>
    <w:multiLevelType w:val="hybridMultilevel"/>
    <w:tmpl w:val="D7B24B9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657C57"/>
    <w:multiLevelType w:val="hybridMultilevel"/>
    <w:tmpl w:val="CC928B4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CC46A6"/>
    <w:multiLevelType w:val="hybridMultilevel"/>
    <w:tmpl w:val="3B06BA7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FFFFFFFF">
      <w:start w:val="6"/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  <w:sz w:val="2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2C2F06"/>
    <w:multiLevelType w:val="hybridMultilevel"/>
    <w:tmpl w:val="53E266A6"/>
    <w:lvl w:ilvl="0" w:tplc="28408C82">
      <w:start w:val="1"/>
      <w:numFmt w:val="decimal"/>
      <w:lvlText w:val="%1."/>
      <w:lvlJc w:val="left"/>
      <w:pPr>
        <w:ind w:left="1077" w:hanging="360"/>
      </w:pPr>
      <w:rPr>
        <w:rFonts w:ascii="Arial" w:hAnsi="Arial" w:hint="default"/>
        <w:sz w:val="20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27F3B77"/>
    <w:multiLevelType w:val="hybridMultilevel"/>
    <w:tmpl w:val="EA5A1594"/>
    <w:lvl w:ilvl="0" w:tplc="28408C82">
      <w:start w:val="1"/>
      <w:numFmt w:val="decimal"/>
      <w:lvlText w:val="%1."/>
      <w:lvlJc w:val="left"/>
      <w:pPr>
        <w:ind w:left="1077" w:hanging="360"/>
      </w:pPr>
      <w:rPr>
        <w:rFonts w:ascii="Arial" w:hAnsi="Arial" w:hint="default"/>
        <w:sz w:val="20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6625517">
    <w:abstractNumId w:val="25"/>
  </w:num>
  <w:num w:numId="2" w16cid:durableId="658197317">
    <w:abstractNumId w:val="21"/>
  </w:num>
  <w:num w:numId="3" w16cid:durableId="2013606346">
    <w:abstractNumId w:val="0"/>
  </w:num>
  <w:num w:numId="4" w16cid:durableId="363603607">
    <w:abstractNumId w:val="8"/>
  </w:num>
  <w:num w:numId="5" w16cid:durableId="672994721">
    <w:abstractNumId w:val="22"/>
  </w:num>
  <w:num w:numId="6" w16cid:durableId="166135245">
    <w:abstractNumId w:val="3"/>
  </w:num>
  <w:num w:numId="7" w16cid:durableId="1704791010">
    <w:abstractNumId w:val="15"/>
  </w:num>
  <w:num w:numId="8" w16cid:durableId="956915427">
    <w:abstractNumId w:val="11"/>
  </w:num>
  <w:num w:numId="9" w16cid:durableId="24798254">
    <w:abstractNumId w:val="1"/>
  </w:num>
  <w:num w:numId="10" w16cid:durableId="1489133541">
    <w:abstractNumId w:val="1"/>
  </w:num>
  <w:num w:numId="11" w16cid:durableId="32921836">
    <w:abstractNumId w:val="4"/>
  </w:num>
  <w:num w:numId="12" w16cid:durableId="1206604466">
    <w:abstractNumId w:val="6"/>
  </w:num>
  <w:num w:numId="13" w16cid:durableId="653340102">
    <w:abstractNumId w:val="19"/>
  </w:num>
  <w:num w:numId="14" w16cid:durableId="24791212">
    <w:abstractNumId w:val="12"/>
  </w:num>
  <w:num w:numId="15" w16cid:durableId="1194151929">
    <w:abstractNumId w:val="9"/>
  </w:num>
  <w:num w:numId="16" w16cid:durableId="2076775116">
    <w:abstractNumId w:val="18"/>
  </w:num>
  <w:num w:numId="17" w16cid:durableId="2134670566">
    <w:abstractNumId w:val="7"/>
  </w:num>
  <w:num w:numId="18" w16cid:durableId="925379597">
    <w:abstractNumId w:val="14"/>
  </w:num>
  <w:num w:numId="19" w16cid:durableId="1592470635">
    <w:abstractNumId w:val="24"/>
  </w:num>
  <w:num w:numId="20" w16cid:durableId="215703040">
    <w:abstractNumId w:val="2"/>
  </w:num>
  <w:num w:numId="21" w16cid:durableId="45298090">
    <w:abstractNumId w:val="17"/>
  </w:num>
  <w:num w:numId="22" w16cid:durableId="176771673">
    <w:abstractNumId w:val="5"/>
  </w:num>
  <w:num w:numId="23" w16cid:durableId="515850330">
    <w:abstractNumId w:val="13"/>
  </w:num>
  <w:num w:numId="24" w16cid:durableId="771172923">
    <w:abstractNumId w:val="16"/>
  </w:num>
  <w:num w:numId="25" w16cid:durableId="1881897854">
    <w:abstractNumId w:val="23"/>
  </w:num>
  <w:num w:numId="26" w16cid:durableId="473252723">
    <w:abstractNumId w:val="20"/>
  </w:num>
  <w:num w:numId="27" w16cid:durableId="2669351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9C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1F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0F2"/>
    <w:rsid w:val="004876F6"/>
    <w:rsid w:val="0049236A"/>
    <w:rsid w:val="00492718"/>
    <w:rsid w:val="004A355D"/>
    <w:rsid w:val="004A4970"/>
    <w:rsid w:val="004B2183"/>
    <w:rsid w:val="004B2A01"/>
    <w:rsid w:val="004B7BA5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14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7C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2B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52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B7B"/>
    <w:rsid w:val="00851423"/>
    <w:rsid w:val="00857848"/>
    <w:rsid w:val="008654B6"/>
    <w:rsid w:val="0087139C"/>
    <w:rsid w:val="00880E83"/>
    <w:rsid w:val="00885B9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CCC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0FA"/>
    <w:rsid w:val="00E52A86"/>
    <w:rsid w:val="00E54B47"/>
    <w:rsid w:val="00E553BF"/>
    <w:rsid w:val="00E55D93"/>
    <w:rsid w:val="00E61294"/>
    <w:rsid w:val="00E62B8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AD3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F2C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716-1940753776-311/surrogate/%c3%96verf%c3%b6ring%20av%20obstetrisk%20patient%20till%20andra%20sjukhus%20-%20f%c3%b6rlossningsv%c3%a5rd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238/surrogate/Prematurb%c3%b6rd%20-%20kortisonbehandling.pdfhttps:/mellanarkiv-offentlig.vgregion.se/alfresco/s/archive/stream/public/v1/source/available/sofia/skas9716-1940753776-238/surrogate/Prematurb%c3%b6rd%20-%20kortisonbehandling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716-1940753776-238/surrogate/Prematurb%c3%b6rd%20-%20kortisonbehandling.pdfhttps:/mellanarkiv-offentlig.vgregion.se/alfresco/s/archive/stream/public/v1/source/available/sofia/skas9716-1940753776-238/surrogate/Prematurb%c3%b6rd%20-%20kortisonbehandling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716-1940753776-49/surrogate/Antibiotikaanv%c3%a4ndning%20inom%20obstetrik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4</Pages>
  <Words>779</Words>
  <Characters>6208</Characters>
  <Application>Microsoft Office Word</Application>
  <DocSecurity>0</DocSecurity>
  <Lines>51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Prematura sammandragningar</dc:title>
  <dc:subject/>
  <dc:creator>patrik.jens.johansson@vgregion.se</dc:creator>
  <keywords/>
  <lastModifiedBy>Pernilla Käll Borg</lastModifiedBy>
  <revision>15</revision>
  <lastPrinted>2016-03-31T10:56:00.0000000Z</lastPrinted>
  <dcterms:created xsi:type="dcterms:W3CDTF">2022-03-07T08:40:00.0000000Z</dcterms:created>
  <dcterms:modified xsi:type="dcterms:W3CDTF">2024-12-10T14:17:00.0000000Z</dcterms:modified>
</coreProperties>
</file>