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1B157FB1" w:rsidRDefault="1B157FB1" w14:paraId="54954ABF" w14:textId="2F1B72CA">
      <w:pPr>
        <w:sectPr w:rsidR="1B157FB1" w:rsidSect="00B7165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:rsidR="003F1835" w:rsidP="003F1835" w:rsidRDefault="003F1835" w14:paraId="4A82C3CD" w14:textId="2D61FBE1">
      <w:pPr>
        <w:pStyle w:val="Rubrik1"/>
      </w:pPr>
      <w:bookmarkStart w:name="_Toc321146591" w:id="0"/>
      <w:r>
        <w:t>Zoledron</w:t>
      </w:r>
      <w:r w:rsidR="007C0A68">
        <w:t>syra – behandling vid osteoporos</w:t>
      </w:r>
    </w:p>
    <w:p w:rsidR="004D336C" w:rsidP="004D336C" w:rsidRDefault="004D336C" w14:paraId="34FBA510" w14:textId="77777777">
      <w:pPr>
        <w:pStyle w:val="Rubrik2"/>
      </w:pPr>
      <w:r>
        <w:t>Förändringar sedan föregående version</w:t>
      </w:r>
    </w:p>
    <w:p w:rsidRPr="00B71653" w:rsidR="00B71653" w:rsidP="00825DE5" w:rsidRDefault="0091086A" w14:paraId="08A98740" w14:textId="50C6101D">
      <w:pPr>
        <w:rPr>
          <w:rFonts w:ascii="Arial" w:hAnsi="Arial"/>
          <w:sz w:val="20"/>
        </w:rPr>
      </w:pPr>
      <w:r>
        <w:t>Förlängd giltighetstid</w:t>
      </w:r>
      <w:r w:rsidRPr="00B71653" w:rsidR="00B71653">
        <w:rPr>
          <w:rFonts w:ascii="Arial" w:hAnsi="Arial"/>
          <w:sz w:val="20"/>
        </w:rPr>
        <w:t>.</w:t>
      </w:r>
    </w:p>
    <w:p w:rsidR="00776A1E" w:rsidP="00776A1E" w:rsidRDefault="00776A1E" w14:paraId="6AB64637" w14:textId="77777777">
      <w:pPr>
        <w:pStyle w:val="Rubrik2"/>
      </w:pPr>
      <w:bookmarkStart w:name="_Toc72840807" w:id="1"/>
      <w:r>
        <w:t>Bakgrund, syfte och mål</w:t>
      </w:r>
      <w:bookmarkEnd w:id="1"/>
    </w:p>
    <w:p w:rsidRPr="00B71653" w:rsidR="00B71653" w:rsidP="1B157FB1" w:rsidRDefault="00B71653" w14:paraId="6DB08D03" w14:textId="77777777">
      <w:pPr>
        <w:rPr>
          <w:sz w:val="20"/>
          <w:szCs w:val="20"/>
        </w:rPr>
      </w:pPr>
      <w:r w:rsidRPr="1B157FB1">
        <w:t>Behandling av osteoporos hos kvinnor och män med ökad risk för frakturer.</w:t>
      </w:r>
    </w:p>
    <w:p w:rsidRPr="00B71653" w:rsidR="00B71653" w:rsidP="00991EF8" w:rsidRDefault="00B71653" w14:paraId="291E8E8C" w14:textId="20BBEFA2">
      <w:pPr>
        <w:pStyle w:val="Rubrik2"/>
        <w:rPr>
          <w:rFonts w:ascii="Arial" w:hAnsi="Arial"/>
        </w:rPr>
      </w:pPr>
      <w:r w:rsidRPr="734550F4">
        <w:rPr>
          <w:rFonts w:ascii="Arial" w:hAnsi="Arial"/>
        </w:rPr>
        <w:t>Arbetsbeskrivning</w:t>
      </w:r>
    </w:p>
    <w:p w:rsidRPr="0085240E" w:rsidR="00B71653" w:rsidP="00286CDE" w:rsidRDefault="00B71653" w14:paraId="5F66A459" w14:textId="1371F3B4">
      <w:r w:rsidRPr="0085240E">
        <w:rPr>
          <w:b/>
          <w:bCs/>
        </w:rPr>
        <w:t>Förberedelser allmänt:</w:t>
      </w:r>
      <w:r w:rsidRPr="0085240E">
        <w:t xml:space="preserve"> </w:t>
      </w:r>
      <w:r w:rsidRPr="0085240E" w:rsidR="00D459A8">
        <w:br/>
      </w:r>
      <w:r w:rsidRPr="00D10E4A">
        <w:t>Patienten</w:t>
      </w:r>
      <w:r w:rsidRPr="0085240E">
        <w:t xml:space="preserve"> ska i normalfallet stå på kalk- och D-vitaminbehandling. Patienterna måste vara väl hydrerade före behandling. För att behandlingen ska kunna utföras ska patienten inte ha hypokalcemi och njurfunktionen ska vara normal. Tag prov för S-Calciumjon fri och P-Kreatinin 1 - 2 veckor innan infusionen.</w:t>
      </w:r>
    </w:p>
    <w:p w:rsidRPr="00B71653" w:rsidR="00B71653" w:rsidP="00B71653" w:rsidRDefault="00B71653" w14:paraId="7FBBC7D7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171CE7" w:rsidR="00B71653" w:rsidP="00EE2A54" w:rsidRDefault="00B71653" w14:paraId="61EE7751" w14:textId="77777777">
      <w:pPr>
        <w:rPr>
          <w:b/>
          <w:bCs/>
        </w:rPr>
      </w:pPr>
      <w:r w:rsidRPr="00171CE7">
        <w:rPr>
          <w:b/>
          <w:bCs/>
        </w:rPr>
        <w:t>Checklista infusionsdagen:</w:t>
      </w:r>
    </w:p>
    <w:p w:rsidRPr="00171CE7" w:rsidR="009A750B" w:rsidP="00171CE7" w:rsidRDefault="00B71653" w14:paraId="535F6F7D" w14:textId="77777777">
      <w:pPr>
        <w:pStyle w:val="Liststycke"/>
        <w:numPr>
          <w:ilvl w:val="0"/>
          <w:numId w:val="22"/>
        </w:numPr>
      </w:pPr>
      <w:r w:rsidRPr="00171CE7">
        <w:t>Informera om de vanligaste biverkningarna</w:t>
      </w:r>
    </w:p>
    <w:p w:rsidRPr="00171CE7" w:rsidR="005D41B6" w:rsidP="00171CE7" w:rsidRDefault="00B71653" w14:paraId="6B1C0BD2" w14:textId="77777777">
      <w:pPr>
        <w:pStyle w:val="Liststycke"/>
        <w:numPr>
          <w:ilvl w:val="0"/>
          <w:numId w:val="22"/>
        </w:numPr>
      </w:pPr>
      <w:r w:rsidRPr="00171CE7">
        <w:t>Fråga patienten om eventuella pågående tandproblem/behandlingar</w:t>
      </w:r>
    </w:p>
    <w:p w:rsidRPr="00171CE7" w:rsidR="005D41B6" w:rsidP="00171CE7" w:rsidRDefault="00B71653" w14:paraId="70409D2A" w14:textId="77777777">
      <w:pPr>
        <w:pStyle w:val="Liststycke"/>
        <w:numPr>
          <w:ilvl w:val="0"/>
          <w:numId w:val="22"/>
        </w:numPr>
      </w:pPr>
      <w:r w:rsidRPr="00171CE7">
        <w:t>Bjud på 2 glas dryck. Informera patienten om att dricka extra under dagen.</w:t>
      </w:r>
    </w:p>
    <w:p w:rsidRPr="00171CE7" w:rsidR="005D41B6" w:rsidP="00171CE7" w:rsidRDefault="00B71653" w14:paraId="347E48ED" w14:textId="77777777">
      <w:pPr>
        <w:pStyle w:val="Liststycke"/>
        <w:numPr>
          <w:ilvl w:val="0"/>
          <w:numId w:val="22"/>
        </w:numPr>
      </w:pPr>
      <w:r w:rsidRPr="00171CE7">
        <w:t>Infusion Zoledronsyra 5 mg/100 ml med en hastighet på 200ml//h (30 minuter).</w:t>
      </w:r>
    </w:p>
    <w:p w:rsidRPr="00171CE7" w:rsidR="005D41B6" w:rsidP="00171CE7" w:rsidRDefault="00B71653" w14:paraId="6067FC85" w14:textId="77777777">
      <w:pPr>
        <w:pStyle w:val="Liststycke"/>
        <w:numPr>
          <w:ilvl w:val="0"/>
          <w:numId w:val="22"/>
        </w:numPr>
      </w:pPr>
      <w:r w:rsidRPr="00171CE7">
        <w:t>Vid risk för hypocalcemi eller risk för påverkan av kreatinin ska prover för Calciumjon fri och krea kontrolleras 7 - 10 dagar efter infusionen.</w:t>
      </w:r>
    </w:p>
    <w:p w:rsidRPr="00171CE7" w:rsidR="005D41B6" w:rsidP="00171CE7" w:rsidRDefault="00B71653" w14:paraId="52EE3F91" w14:textId="2462CF98">
      <w:pPr>
        <w:pStyle w:val="Liststycke"/>
        <w:numPr>
          <w:ilvl w:val="0"/>
          <w:numId w:val="22"/>
        </w:numPr>
        <w:rPr/>
      </w:pPr>
      <w:r w:rsidR="00B71653">
        <w:rPr/>
        <w:t xml:space="preserve">Om patienten får biverkningar i form av värk i kroppen och/eller allmän sjukdomskänsla rekommenderas </w:t>
      </w:r>
      <w:r w:rsidR="006041EC">
        <w:rPr/>
        <w:t>Paracetamol</w:t>
      </w:r>
      <w:r w:rsidR="006041EC">
        <w:rPr/>
        <w:t xml:space="preserve"> eller Ibuprofen.</w:t>
      </w:r>
    </w:p>
    <w:p w:rsidRPr="00171CE7" w:rsidR="00B71653" w:rsidP="00D311C4" w:rsidRDefault="00B71653" w14:paraId="5CCF0058" w14:textId="190981C8">
      <w:pPr>
        <w:pStyle w:val="Liststycke"/>
        <w:numPr>
          <w:ilvl w:val="0"/>
          <w:numId w:val="22"/>
        </w:numPr>
      </w:pPr>
      <w:r w:rsidRPr="00171CE7">
        <w:t xml:space="preserve">Patienten kan sedan lämna mottagningen. Ta ställning till om patienten ska bokas för ny behandling om ett år. </w:t>
      </w:r>
    </w:p>
    <w:p w:rsidRPr="00E61029" w:rsidR="00B71653" w:rsidP="00AA6D7E" w:rsidRDefault="00B71653" w14:paraId="032D73FC" w14:textId="5FEAA85C">
      <w:pPr>
        <w:pStyle w:val="Rubrik2"/>
        <w:rPr>
          <w:rFonts w:ascii="Times New Roman" w:hAnsi="Times New Roman" w:eastAsia="Times New Roman" w:cs="Times New Roman"/>
          <w:bCs w:val="0"/>
          <w:color w:val="auto"/>
          <w:sz w:val="24"/>
          <w:szCs w:val="24"/>
        </w:rPr>
      </w:pPr>
      <w:r w:rsidRPr="00112643">
        <w:t xml:space="preserve">Uppföljning </w:t>
      </w:r>
      <w:r w:rsidRPr="00112643">
        <w:br/>
      </w:r>
      <w:r w:rsidRPr="00E61029">
        <w:rPr>
          <w:rFonts w:ascii="Times New Roman" w:hAnsi="Times New Roman" w:eastAsia="Times New Roman" w:cs="Times New Roman"/>
          <w:bCs w:val="0"/>
          <w:color w:val="auto"/>
          <w:sz w:val="24"/>
          <w:szCs w:val="24"/>
        </w:rPr>
        <w:t xml:space="preserve">DXA-mätning utförs normalt efter 2 och 5 år kombinerat med läkarbesök. Om stabil situation efter 5 års behandling (dvs. ej osteoporos) kan behandling avslutas, men patienten bör därefter även följas via vårdcentralen med läkarbesök och eventuellt ny DXA-mätning beroende på det kliniska tillståndet. </w:t>
      </w:r>
    </w:p>
    <w:p w:rsidRPr="00B71653" w:rsidR="00B71653" w:rsidP="00B71653" w:rsidRDefault="00B71653" w14:paraId="01C74EBC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E1728E" w:rsidR="00B71653" w:rsidP="00EF5242" w:rsidRDefault="00B71653" w14:paraId="56244103" w14:textId="77777777">
      <w:pPr>
        <w:pStyle w:val="Rubrik2"/>
      </w:pPr>
      <w:r w:rsidRPr="00E1728E">
        <w:t>Käll- och litteraturförteckning</w:t>
      </w:r>
    </w:p>
    <w:p w:rsidRPr="0008027D" w:rsidR="00B71653" w:rsidP="0008027D" w:rsidRDefault="00000000" w14:paraId="51644939" w14:textId="7F77ED5C">
      <w:pPr>
        <w:rPr>
          <w:rFonts w:ascii="Arial" w:hAnsi="Arial"/>
          <w:color w:val="0563C1"/>
          <w:sz w:val="20"/>
          <w:u w:val="single"/>
        </w:rPr>
      </w:pPr>
      <w:hyperlink w:history="1" r:id="rId17">
        <w:r w:rsidRPr="00B71653" w:rsidR="00B71653">
          <w:rPr>
            <w:rFonts w:ascii="Arial" w:hAnsi="Arial"/>
            <w:color w:val="0563C1"/>
            <w:sz w:val="20"/>
            <w:u w:val="single"/>
          </w:rPr>
          <w:t>Terapigrupp Osteoporos - Vårdgivarwebben Västra Götalandsregionen (vgregion.se)</w:t>
        </w:r>
      </w:hyperlink>
      <w:r w:rsidR="006B521E">
        <w:rPr>
          <w:rFonts w:ascii="Arial" w:hAnsi="Arial"/>
          <w:color w:val="0563C1"/>
          <w:sz w:val="20"/>
          <w:u w:val="single"/>
        </w:rPr>
        <w:br/>
      </w:r>
      <w:hyperlink w:history="1" r:id="rId18">
        <w:r w:rsidRPr="00B71653" w:rsidR="00B71653">
          <w:rPr>
            <w:rFonts w:ascii="Arial" w:hAnsi="Arial"/>
            <w:color w:val="0563C1"/>
            <w:sz w:val="20"/>
            <w:u w:val="single"/>
          </w:rPr>
          <w:t>Regional medicinsk riktlinje Läkemedel Osteoporos (vgregion.se)</w:t>
        </w:r>
      </w:hyperlink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7165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25E80" w:rsidRDefault="00825E80" w14:paraId="6C70AC92" w14:textId="77777777">
      <w:r>
        <w:separator/>
      </w:r>
    </w:p>
  </w:endnote>
  <w:endnote w:type="continuationSeparator" w:id="0">
    <w:p w:rsidR="00825E80" w:rsidRDefault="00825E80" w14:paraId="46BB5D66" w14:textId="77777777">
      <w:r>
        <w:continuationSeparator/>
      </w:r>
    </w:p>
  </w:endnote>
  <w:endnote w:type="continuationNotice" w:id="1">
    <w:p w:rsidR="00825E80" w:rsidRDefault="00825E80" w14:paraId="6004EFB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25E80" w:rsidRDefault="00825E80" w14:paraId="108AF66D" w14:textId="77777777"/>
  </w:footnote>
  <w:footnote w:type="continuationSeparator" w:id="0">
    <w:p w:rsidR="00825E80" w:rsidRDefault="00825E80" w14:paraId="63602D6D" w14:textId="77777777">
      <w:r>
        <w:continuationSeparator/>
      </w:r>
    </w:p>
  </w:footnote>
  <w:footnote w:type="continuationNotice" w:id="1">
    <w:p w:rsidR="00825E80" w:rsidRDefault="00825E80" w14:paraId="65B2D3B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3441F3"/>
    <w:multiLevelType w:val="hybridMultilevel"/>
    <w:tmpl w:val="A308F71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B7244F3"/>
    <w:multiLevelType w:val="hybridMultilevel"/>
    <w:tmpl w:val="D010811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02D404A"/>
    <w:multiLevelType w:val="hybridMultilevel"/>
    <w:tmpl w:val="4E5215D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08757464">
    <w:abstractNumId w:val="20"/>
  </w:num>
  <w:num w:numId="2" w16cid:durableId="193739670">
    <w:abstractNumId w:val="17"/>
  </w:num>
  <w:num w:numId="3" w16cid:durableId="346061410">
    <w:abstractNumId w:val="0"/>
  </w:num>
  <w:num w:numId="4" w16cid:durableId="246380964">
    <w:abstractNumId w:val="7"/>
  </w:num>
  <w:num w:numId="5" w16cid:durableId="1332366159">
    <w:abstractNumId w:val="18"/>
  </w:num>
  <w:num w:numId="6" w16cid:durableId="577443997">
    <w:abstractNumId w:val="3"/>
  </w:num>
  <w:num w:numId="7" w16cid:durableId="212742456">
    <w:abstractNumId w:val="14"/>
  </w:num>
  <w:num w:numId="8" w16cid:durableId="1209102452">
    <w:abstractNumId w:val="9"/>
  </w:num>
  <w:num w:numId="9" w16cid:durableId="1319381061">
    <w:abstractNumId w:val="1"/>
  </w:num>
  <w:num w:numId="10" w16cid:durableId="1083264585">
    <w:abstractNumId w:val="1"/>
  </w:num>
  <w:num w:numId="11" w16cid:durableId="1408921063">
    <w:abstractNumId w:val="4"/>
  </w:num>
  <w:num w:numId="12" w16cid:durableId="718090643">
    <w:abstractNumId w:val="5"/>
  </w:num>
  <w:num w:numId="13" w16cid:durableId="1621257787">
    <w:abstractNumId w:val="16"/>
  </w:num>
  <w:num w:numId="14" w16cid:durableId="1276671503">
    <w:abstractNumId w:val="10"/>
  </w:num>
  <w:num w:numId="15" w16cid:durableId="335351795">
    <w:abstractNumId w:val="8"/>
  </w:num>
  <w:num w:numId="16" w16cid:durableId="1816330892">
    <w:abstractNumId w:val="15"/>
  </w:num>
  <w:num w:numId="17" w16cid:durableId="1601450744">
    <w:abstractNumId w:val="6"/>
  </w:num>
  <w:num w:numId="18" w16cid:durableId="704446708">
    <w:abstractNumId w:val="13"/>
  </w:num>
  <w:num w:numId="19" w16cid:durableId="1359156927">
    <w:abstractNumId w:val="19"/>
  </w:num>
  <w:num w:numId="20" w16cid:durableId="982465842">
    <w:abstractNumId w:val="2"/>
  </w:num>
  <w:num w:numId="21" w16cid:durableId="1305162712">
    <w:abstractNumId w:val="11"/>
  </w:num>
  <w:num w:numId="22" w16cid:durableId="896890809">
    <w:abstractNumId w:val="12"/>
  </w:num>
  <w:num w:numId="23" w16cid:durableId="114369836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00"/>
    <w:rsid w:val="000051D5"/>
    <w:rsid w:val="00006D2A"/>
    <w:rsid w:val="00010D47"/>
    <w:rsid w:val="00015951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27D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F32"/>
    <w:rsid w:val="000E463B"/>
    <w:rsid w:val="000E5A7E"/>
    <w:rsid w:val="000F43A3"/>
    <w:rsid w:val="000F47AD"/>
    <w:rsid w:val="000F7681"/>
    <w:rsid w:val="00103031"/>
    <w:rsid w:val="001044FE"/>
    <w:rsid w:val="00112643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CE7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618F"/>
    <w:rsid w:val="001F7F7D"/>
    <w:rsid w:val="00211487"/>
    <w:rsid w:val="00211D91"/>
    <w:rsid w:val="00217A70"/>
    <w:rsid w:val="00217DEC"/>
    <w:rsid w:val="00235B57"/>
    <w:rsid w:val="00250F24"/>
    <w:rsid w:val="002523C5"/>
    <w:rsid w:val="0025380B"/>
    <w:rsid w:val="002563FB"/>
    <w:rsid w:val="0025703A"/>
    <w:rsid w:val="00262F3D"/>
    <w:rsid w:val="00263281"/>
    <w:rsid w:val="002651D6"/>
    <w:rsid w:val="0026551F"/>
    <w:rsid w:val="00280A85"/>
    <w:rsid w:val="00284119"/>
    <w:rsid w:val="00286CDE"/>
    <w:rsid w:val="00290B5C"/>
    <w:rsid w:val="00294791"/>
    <w:rsid w:val="002B0B30"/>
    <w:rsid w:val="002B0C78"/>
    <w:rsid w:val="002B4B9D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B0E"/>
    <w:rsid w:val="003E2FF7"/>
    <w:rsid w:val="003F1013"/>
    <w:rsid w:val="003F1835"/>
    <w:rsid w:val="003F1ACF"/>
    <w:rsid w:val="00404948"/>
    <w:rsid w:val="00406BEA"/>
    <w:rsid w:val="00413A60"/>
    <w:rsid w:val="004230F7"/>
    <w:rsid w:val="004243E2"/>
    <w:rsid w:val="00426DC7"/>
    <w:rsid w:val="0043167E"/>
    <w:rsid w:val="0043409A"/>
    <w:rsid w:val="00443C1E"/>
    <w:rsid w:val="00446255"/>
    <w:rsid w:val="00451935"/>
    <w:rsid w:val="00460ED0"/>
    <w:rsid w:val="00462A77"/>
    <w:rsid w:val="00465651"/>
    <w:rsid w:val="00470CE7"/>
    <w:rsid w:val="00470F4F"/>
    <w:rsid w:val="00472482"/>
    <w:rsid w:val="00480DC7"/>
    <w:rsid w:val="004876F6"/>
    <w:rsid w:val="0049236A"/>
    <w:rsid w:val="00492718"/>
    <w:rsid w:val="004960F8"/>
    <w:rsid w:val="004A355D"/>
    <w:rsid w:val="004A4970"/>
    <w:rsid w:val="004B2183"/>
    <w:rsid w:val="004B2A01"/>
    <w:rsid w:val="004C2559"/>
    <w:rsid w:val="004D336C"/>
    <w:rsid w:val="004D7BA3"/>
    <w:rsid w:val="004F4518"/>
    <w:rsid w:val="004F4C62"/>
    <w:rsid w:val="00501433"/>
    <w:rsid w:val="00511CC4"/>
    <w:rsid w:val="00531E60"/>
    <w:rsid w:val="005354D2"/>
    <w:rsid w:val="005355C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1B6"/>
    <w:rsid w:val="005E02B3"/>
    <w:rsid w:val="005E1E24"/>
    <w:rsid w:val="005F2F99"/>
    <w:rsid w:val="00604092"/>
    <w:rsid w:val="006041E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7A04"/>
    <w:rsid w:val="006A2789"/>
    <w:rsid w:val="006A4978"/>
    <w:rsid w:val="006A7261"/>
    <w:rsid w:val="006B0D29"/>
    <w:rsid w:val="006B1819"/>
    <w:rsid w:val="006B521E"/>
    <w:rsid w:val="006B5DE7"/>
    <w:rsid w:val="006B7220"/>
    <w:rsid w:val="006C5048"/>
    <w:rsid w:val="006C6A4B"/>
    <w:rsid w:val="006C779F"/>
    <w:rsid w:val="006D01F5"/>
    <w:rsid w:val="006D0CFB"/>
    <w:rsid w:val="006D2349"/>
    <w:rsid w:val="006D30C0"/>
    <w:rsid w:val="006D7535"/>
    <w:rsid w:val="006E450B"/>
    <w:rsid w:val="006F0D7E"/>
    <w:rsid w:val="00710B77"/>
    <w:rsid w:val="007205D9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6A1E"/>
    <w:rsid w:val="0078609F"/>
    <w:rsid w:val="007917BA"/>
    <w:rsid w:val="007A5C6F"/>
    <w:rsid w:val="007C0A68"/>
    <w:rsid w:val="007C6F9A"/>
    <w:rsid w:val="007D4241"/>
    <w:rsid w:val="007D4317"/>
    <w:rsid w:val="007D4EA3"/>
    <w:rsid w:val="007F1CFF"/>
    <w:rsid w:val="007F5DD5"/>
    <w:rsid w:val="00821A1B"/>
    <w:rsid w:val="00825DE5"/>
    <w:rsid w:val="00825E80"/>
    <w:rsid w:val="008262E9"/>
    <w:rsid w:val="00827E69"/>
    <w:rsid w:val="00835C4D"/>
    <w:rsid w:val="00843F48"/>
    <w:rsid w:val="00851423"/>
    <w:rsid w:val="0085240E"/>
    <w:rsid w:val="00857195"/>
    <w:rsid w:val="00857848"/>
    <w:rsid w:val="008654B6"/>
    <w:rsid w:val="0087139C"/>
    <w:rsid w:val="00880E83"/>
    <w:rsid w:val="00892F28"/>
    <w:rsid w:val="008A0C5F"/>
    <w:rsid w:val="008A3DEA"/>
    <w:rsid w:val="008A4EB9"/>
    <w:rsid w:val="008A56E5"/>
    <w:rsid w:val="008A74C0"/>
    <w:rsid w:val="008B1694"/>
    <w:rsid w:val="008C29AF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86A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886"/>
    <w:rsid w:val="00971D93"/>
    <w:rsid w:val="00991EF8"/>
    <w:rsid w:val="009A750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DAB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D7E"/>
    <w:rsid w:val="00AA6EB4"/>
    <w:rsid w:val="00AA767D"/>
    <w:rsid w:val="00AB0CC9"/>
    <w:rsid w:val="00AC3FF6"/>
    <w:rsid w:val="00AD73EC"/>
    <w:rsid w:val="00AE5BC7"/>
    <w:rsid w:val="00AF4AC2"/>
    <w:rsid w:val="00AF5AAF"/>
    <w:rsid w:val="00B03FC8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653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AC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9F7"/>
    <w:rsid w:val="00CC167C"/>
    <w:rsid w:val="00CC52D9"/>
    <w:rsid w:val="00CD6647"/>
    <w:rsid w:val="00CE4B73"/>
    <w:rsid w:val="00CF70BB"/>
    <w:rsid w:val="00D074DB"/>
    <w:rsid w:val="00D10E4A"/>
    <w:rsid w:val="00D139CF"/>
    <w:rsid w:val="00D27732"/>
    <w:rsid w:val="00D311C4"/>
    <w:rsid w:val="00D37E7F"/>
    <w:rsid w:val="00D459A8"/>
    <w:rsid w:val="00D47AD7"/>
    <w:rsid w:val="00D51529"/>
    <w:rsid w:val="00D7390D"/>
    <w:rsid w:val="00D85218"/>
    <w:rsid w:val="00D915B1"/>
    <w:rsid w:val="00DA299D"/>
    <w:rsid w:val="00DA65C4"/>
    <w:rsid w:val="00DB29D7"/>
    <w:rsid w:val="00DB54CA"/>
    <w:rsid w:val="00DD2BE0"/>
    <w:rsid w:val="00DE2F5D"/>
    <w:rsid w:val="00DE4447"/>
    <w:rsid w:val="00DE5DA2"/>
    <w:rsid w:val="00DF0033"/>
    <w:rsid w:val="00E026BF"/>
    <w:rsid w:val="00E07B1B"/>
    <w:rsid w:val="00E11853"/>
    <w:rsid w:val="00E1728E"/>
    <w:rsid w:val="00E32BCE"/>
    <w:rsid w:val="00E43CE6"/>
    <w:rsid w:val="00E52A86"/>
    <w:rsid w:val="00E54B47"/>
    <w:rsid w:val="00E553BF"/>
    <w:rsid w:val="00E55D93"/>
    <w:rsid w:val="00E61029"/>
    <w:rsid w:val="00E61294"/>
    <w:rsid w:val="00E7237C"/>
    <w:rsid w:val="00E77C46"/>
    <w:rsid w:val="00E86CE8"/>
    <w:rsid w:val="00E87164"/>
    <w:rsid w:val="00E87DC5"/>
    <w:rsid w:val="00E90E82"/>
    <w:rsid w:val="00EA00CB"/>
    <w:rsid w:val="00EA1BAA"/>
    <w:rsid w:val="00EA3FCD"/>
    <w:rsid w:val="00EA42A0"/>
    <w:rsid w:val="00EB32B7"/>
    <w:rsid w:val="00EB6714"/>
    <w:rsid w:val="00EC0A68"/>
    <w:rsid w:val="00EC5006"/>
    <w:rsid w:val="00ED4282"/>
    <w:rsid w:val="00ED49C3"/>
    <w:rsid w:val="00ED6CE8"/>
    <w:rsid w:val="00ED7AA6"/>
    <w:rsid w:val="00EE2A54"/>
    <w:rsid w:val="00EE2A56"/>
    <w:rsid w:val="00EE3818"/>
    <w:rsid w:val="00EF5242"/>
    <w:rsid w:val="00F22264"/>
    <w:rsid w:val="00F2564D"/>
    <w:rsid w:val="00F35B05"/>
    <w:rsid w:val="00F413D9"/>
    <w:rsid w:val="00F5135F"/>
    <w:rsid w:val="00F51F78"/>
    <w:rsid w:val="00F634A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780E"/>
    <w:rsid w:val="00FF7C02"/>
    <w:rsid w:val="024801E3"/>
    <w:rsid w:val="14222A3D"/>
    <w:rsid w:val="1B157FB1"/>
    <w:rsid w:val="34C9C117"/>
    <w:rsid w:val="3D088E19"/>
    <w:rsid w:val="647B2B65"/>
    <w:rsid w:val="6B2CF8ED"/>
    <w:rsid w:val="73455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C877479-C67A-42B4-94CB-DCF5F3B41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-offentlig.vgregion.se/alfresco/service/vgr/storage/node/content/3351/Osteoporos.pdf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gregion.se/halsa-och-vard/vardgivarwebben/vardriktlinjer/lakemedel/terapirad/osteoporos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40f51d857b75400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f36e4a-2308-478c-a4a5-6a6c829103c3}"/>
      </w:docPartPr>
      <w:docPartBody>
        <w:p w14:paraId="1FD83EA4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Zoledronsyra - behandling vid osteoporos</dc:title>
  <dc:subject/>
  <dc:creator>patrik.jens.johansson@vgregion.se</dc:creator>
  <keywords/>
  <lastModifiedBy>Anneli Dahlén</lastModifiedBy>
  <revision>58</revision>
  <lastPrinted>2016-03-31T19:56:00.0000000Z</lastPrinted>
  <dcterms:created xsi:type="dcterms:W3CDTF">2022-03-04T23:00:00.0000000Z</dcterms:created>
  <dcterms:modified xsi:type="dcterms:W3CDTF">2024-03-14T10:46:19.0000000Z</dcterms:modified>
</coreProperties>
</file>