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904CBA1" w:rsidR="00184167" w:rsidRPr="00C31839" w:rsidRDefault="00B143D0" w:rsidP="009A32ED">
      <w:pPr>
        <w:pStyle w:val="Rubrik1"/>
        <w:rPr>
          <w:rFonts w:ascii="Verdana" w:hAnsi="Verdana"/>
          <w:b/>
          <w:bCs w:val="0"/>
          <w:sz w:val="44"/>
          <w:szCs w:val="44"/>
        </w:rPr>
      </w:pPr>
      <w:bookmarkStart w:id="0" w:name="_Toc321146591"/>
      <w:r w:rsidRPr="00C31839">
        <w:rPr>
          <w:rFonts w:ascii="Verdana" w:hAnsi="Verdana"/>
          <w:b/>
          <w:bCs w:val="0"/>
          <w:sz w:val="44"/>
          <w:szCs w:val="44"/>
        </w:rPr>
        <w:t>Sena överkänslighetsreaktioner – BFM radiologi</w:t>
      </w:r>
    </w:p>
    <w:p w14:paraId="11BC1DCA" w14:textId="77777777" w:rsidR="009A32ED" w:rsidRPr="00C31839" w:rsidRDefault="009A32ED" w:rsidP="009A32ED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1" w:name="_Toc100327184"/>
      <w:bookmarkStart w:id="2" w:name="_Toc106874287"/>
      <w:bookmarkEnd w:id="0"/>
      <w:r w:rsidRPr="00C31839">
        <w:rPr>
          <w:rFonts w:ascii="Verdana" w:hAnsi="Verdana"/>
          <w:sz w:val="36"/>
          <w:szCs w:val="36"/>
        </w:rPr>
        <w:t>Förändringar sedan föregående version</w:t>
      </w:r>
      <w:bookmarkEnd w:id="1"/>
      <w:bookmarkEnd w:id="2"/>
    </w:p>
    <w:p w14:paraId="4EA6C4B6" w14:textId="44B95A02" w:rsidR="009A32ED" w:rsidRPr="00C31839" w:rsidRDefault="00C31839" w:rsidP="009A32ED">
      <w:pPr>
        <w:ind w:right="-143"/>
        <w:rPr>
          <w:rFonts w:ascii="Georgia" w:hAnsi="Georgia"/>
        </w:rPr>
      </w:pPr>
      <w:r w:rsidRPr="00C31839">
        <w:rPr>
          <w:rFonts w:ascii="Georgia" w:hAnsi="Georgia"/>
        </w:rPr>
        <w:t>Förlänger giltighetsdatum.</w:t>
      </w:r>
    </w:p>
    <w:p w14:paraId="29B03EF5" w14:textId="37C2D363" w:rsidR="009A32ED" w:rsidRPr="00C31839" w:rsidRDefault="00B143D0" w:rsidP="009A32ED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3" w:name="_Toc100327186"/>
      <w:bookmarkStart w:id="4" w:name="_Toc106874289"/>
      <w:r w:rsidRPr="00C31839">
        <w:rPr>
          <w:rFonts w:ascii="Verdana" w:hAnsi="Verdana"/>
          <w:sz w:val="36"/>
          <w:szCs w:val="36"/>
        </w:rPr>
        <w:t>S</w:t>
      </w:r>
      <w:r w:rsidR="009A32ED" w:rsidRPr="00C31839">
        <w:rPr>
          <w:rFonts w:ascii="Verdana" w:hAnsi="Verdana"/>
          <w:sz w:val="36"/>
          <w:szCs w:val="36"/>
        </w:rPr>
        <w:t>yfte</w:t>
      </w:r>
      <w:bookmarkEnd w:id="3"/>
      <w:bookmarkEnd w:id="4"/>
      <w:r w:rsidR="009A32ED" w:rsidRPr="00C31839">
        <w:rPr>
          <w:rFonts w:ascii="Verdana" w:hAnsi="Verdana"/>
          <w:sz w:val="36"/>
          <w:szCs w:val="36"/>
        </w:rPr>
        <w:t xml:space="preserve"> </w:t>
      </w:r>
    </w:p>
    <w:p w14:paraId="549F4CB5" w14:textId="77777777" w:rsidR="007A0678" w:rsidRPr="00C31839" w:rsidRDefault="007A0678" w:rsidP="007A0678">
      <w:pPr>
        <w:rPr>
          <w:rFonts w:ascii="Georgia" w:hAnsi="Georgia"/>
        </w:rPr>
      </w:pPr>
      <w:bookmarkStart w:id="5" w:name="_Toc100327187"/>
      <w:bookmarkStart w:id="6" w:name="_Toc106874290"/>
      <w:r w:rsidRPr="00C31839">
        <w:rPr>
          <w:rFonts w:ascii="Georgia" w:hAnsi="Georgia"/>
        </w:rPr>
        <w:t xml:space="preserve">Handläggning och förebyggande av sena överkänslighetsreaktioner </w:t>
      </w:r>
    </w:p>
    <w:p w14:paraId="4204C0B6" w14:textId="10504881" w:rsidR="008C5C30" w:rsidRPr="00C31839" w:rsidRDefault="008C5C30" w:rsidP="008C5C30">
      <w:pPr>
        <w:pStyle w:val="Rubrik2"/>
        <w:rPr>
          <w:rFonts w:ascii="Verdana" w:hAnsi="Verdana"/>
          <w:sz w:val="36"/>
          <w:szCs w:val="36"/>
        </w:rPr>
      </w:pPr>
      <w:bookmarkStart w:id="7" w:name="_Toc100327195"/>
      <w:bookmarkStart w:id="8" w:name="_Toc106874295"/>
      <w:bookmarkEnd w:id="5"/>
      <w:bookmarkEnd w:id="6"/>
      <w:r w:rsidRPr="00C31839">
        <w:rPr>
          <w:rFonts w:ascii="Verdana" w:hAnsi="Verdana"/>
          <w:sz w:val="36"/>
          <w:szCs w:val="36"/>
        </w:rPr>
        <w:t>Utförande</w:t>
      </w:r>
    </w:p>
    <w:p w14:paraId="45128C1C" w14:textId="77777777" w:rsidR="0026301D" w:rsidRPr="00C31839" w:rsidRDefault="0026301D" w:rsidP="0026301D">
      <w:pPr>
        <w:pStyle w:val="Punktlista"/>
        <w:rPr>
          <w:rFonts w:ascii="Georgia" w:hAnsi="Georgia"/>
          <w:b/>
          <w:bCs/>
        </w:rPr>
      </w:pPr>
      <w:r w:rsidRPr="00C31839">
        <w:rPr>
          <w:rFonts w:ascii="Georgia" w:hAnsi="Georgia"/>
        </w:rPr>
        <w:t>Uppträder först 60 minuter till en vecka efter kontrastmedelinjektion.</w:t>
      </w:r>
    </w:p>
    <w:p w14:paraId="7395FA37" w14:textId="33B41272" w:rsidR="0026301D" w:rsidRPr="00C31839" w:rsidRDefault="0026301D" w:rsidP="0026301D">
      <w:pPr>
        <w:pStyle w:val="Punktlista"/>
        <w:rPr>
          <w:rFonts w:ascii="Georgia" w:hAnsi="Georgia"/>
        </w:rPr>
      </w:pPr>
      <w:r w:rsidRPr="00C31839">
        <w:rPr>
          <w:rFonts w:ascii="Georgia" w:hAnsi="Georgia"/>
        </w:rPr>
        <w:t xml:space="preserve">Varierande sena symtom har beskrivits som </w:t>
      </w:r>
      <w:r w:rsidR="00BA7CF3" w:rsidRPr="00C31839">
        <w:rPr>
          <w:rFonts w:ascii="Georgia" w:hAnsi="Georgia"/>
        </w:rPr>
        <w:t>till exempel</w:t>
      </w:r>
      <w:r w:rsidRPr="00C31839">
        <w:rPr>
          <w:rFonts w:ascii="Georgia" w:hAnsi="Georgia"/>
        </w:rPr>
        <w:t xml:space="preserve"> allmän sjukdomskänsla, huvudvärk, frysningar, feber, illamående, kräkning och </w:t>
      </w:r>
      <w:proofErr w:type="spellStart"/>
      <w:r w:rsidRPr="00C31839">
        <w:rPr>
          <w:rFonts w:ascii="Georgia" w:hAnsi="Georgia"/>
        </w:rPr>
        <w:t>muskuloskeletal</w:t>
      </w:r>
      <w:proofErr w:type="spellEnd"/>
      <w:r w:rsidRPr="00C31839">
        <w:rPr>
          <w:rFonts w:ascii="Georgia" w:hAnsi="Georgia"/>
        </w:rPr>
        <w:t xml:space="preserve"> smärta.</w:t>
      </w:r>
    </w:p>
    <w:p w14:paraId="5BAD0D56" w14:textId="77777777" w:rsidR="0026301D" w:rsidRPr="00C31839" w:rsidRDefault="0026301D" w:rsidP="0026301D">
      <w:pPr>
        <w:pStyle w:val="Punktlista"/>
        <w:rPr>
          <w:rFonts w:ascii="Georgia" w:hAnsi="Georgia"/>
        </w:rPr>
      </w:pPr>
      <w:r w:rsidRPr="00C31839">
        <w:rPr>
          <w:rFonts w:ascii="Georgia" w:hAnsi="Georgia"/>
        </w:rPr>
        <w:t xml:space="preserve">Hudreaktioner med eller utan feber är vanligast, ofta lindriga och självlimiterande som i regel försvinner inom </w:t>
      </w:r>
      <w:proofErr w:type="gramStart"/>
      <w:r w:rsidRPr="00C31839">
        <w:rPr>
          <w:rFonts w:ascii="Georgia" w:hAnsi="Georgia"/>
        </w:rPr>
        <w:t>1-7</w:t>
      </w:r>
      <w:proofErr w:type="gramEnd"/>
      <w:r w:rsidRPr="00C31839">
        <w:rPr>
          <w:rFonts w:ascii="Georgia" w:hAnsi="Georgia"/>
        </w:rPr>
        <w:t xml:space="preserve"> dagar:</w:t>
      </w:r>
    </w:p>
    <w:p w14:paraId="61F65AB6" w14:textId="77777777" w:rsidR="00AF55C7" w:rsidRPr="00C31839" w:rsidRDefault="00AF55C7" w:rsidP="00AF55C7">
      <w:pPr>
        <w:pStyle w:val="Punktlista"/>
        <w:numPr>
          <w:ilvl w:val="2"/>
          <w:numId w:val="21"/>
        </w:numPr>
        <w:rPr>
          <w:rFonts w:ascii="Georgia" w:hAnsi="Georgia"/>
        </w:rPr>
      </w:pPr>
      <w:proofErr w:type="spellStart"/>
      <w:r w:rsidRPr="00C31839">
        <w:rPr>
          <w:rFonts w:ascii="Georgia" w:hAnsi="Georgia"/>
        </w:rPr>
        <w:t>Makulopapulösa</w:t>
      </w:r>
      <w:proofErr w:type="spellEnd"/>
      <w:r w:rsidRPr="00C31839">
        <w:rPr>
          <w:rFonts w:ascii="Georgia" w:hAnsi="Georgia"/>
        </w:rPr>
        <w:t xml:space="preserve"> </w:t>
      </w:r>
      <w:proofErr w:type="spellStart"/>
      <w:r w:rsidRPr="00C31839">
        <w:rPr>
          <w:rFonts w:ascii="Georgia" w:hAnsi="Georgia"/>
        </w:rPr>
        <w:t>exantem</w:t>
      </w:r>
      <w:proofErr w:type="spellEnd"/>
      <w:r w:rsidRPr="00C31839">
        <w:rPr>
          <w:rFonts w:ascii="Georgia" w:hAnsi="Georgia"/>
        </w:rPr>
        <w:t xml:space="preserve"> (utslag med rodnad och knottror) är vanligast.</w:t>
      </w:r>
    </w:p>
    <w:p w14:paraId="4302CFDC" w14:textId="77777777" w:rsidR="00AF55C7" w:rsidRPr="00C31839" w:rsidRDefault="00AF55C7" w:rsidP="00AF55C7">
      <w:pPr>
        <w:pStyle w:val="Punktlista"/>
        <w:numPr>
          <w:ilvl w:val="2"/>
          <w:numId w:val="21"/>
        </w:numPr>
        <w:rPr>
          <w:rFonts w:ascii="Georgia" w:hAnsi="Georgia"/>
        </w:rPr>
      </w:pPr>
      <w:proofErr w:type="spellStart"/>
      <w:r w:rsidRPr="00C31839">
        <w:rPr>
          <w:rFonts w:ascii="Georgia" w:hAnsi="Georgia"/>
        </w:rPr>
        <w:t>Erytem</w:t>
      </w:r>
      <w:proofErr w:type="spellEnd"/>
      <w:r w:rsidRPr="00C31839">
        <w:rPr>
          <w:rFonts w:ascii="Georgia" w:hAnsi="Georgia"/>
        </w:rPr>
        <w:t xml:space="preserve"> och </w:t>
      </w:r>
      <w:proofErr w:type="spellStart"/>
      <w:r w:rsidRPr="00C31839">
        <w:rPr>
          <w:rFonts w:ascii="Georgia" w:hAnsi="Georgia"/>
        </w:rPr>
        <w:t>urtikaria</w:t>
      </w:r>
      <w:proofErr w:type="spellEnd"/>
      <w:r w:rsidRPr="00C31839">
        <w:rPr>
          <w:rFonts w:ascii="Georgia" w:hAnsi="Georgia"/>
        </w:rPr>
        <w:t>, vanliga.</w:t>
      </w:r>
    </w:p>
    <w:p w14:paraId="5DECF94C" w14:textId="77777777" w:rsidR="00AF55C7" w:rsidRPr="00C31839" w:rsidRDefault="00AF55C7" w:rsidP="00AF55C7">
      <w:pPr>
        <w:pStyle w:val="Punktlista"/>
        <w:numPr>
          <w:ilvl w:val="2"/>
          <w:numId w:val="21"/>
        </w:numPr>
        <w:rPr>
          <w:rFonts w:ascii="Georgia" w:hAnsi="Georgia"/>
        </w:rPr>
      </w:pPr>
      <w:proofErr w:type="spellStart"/>
      <w:r w:rsidRPr="00C31839">
        <w:rPr>
          <w:rFonts w:ascii="Georgia" w:hAnsi="Georgia"/>
        </w:rPr>
        <w:t>Fixed</w:t>
      </w:r>
      <w:proofErr w:type="spellEnd"/>
      <w:r w:rsidRPr="00C31839">
        <w:rPr>
          <w:rFonts w:ascii="Georgia" w:hAnsi="Georgia"/>
        </w:rPr>
        <w:t xml:space="preserve"> </w:t>
      </w:r>
      <w:proofErr w:type="spellStart"/>
      <w:r w:rsidRPr="00C31839">
        <w:rPr>
          <w:rFonts w:ascii="Georgia" w:hAnsi="Georgia"/>
        </w:rPr>
        <w:t>drug</w:t>
      </w:r>
      <w:proofErr w:type="spellEnd"/>
      <w:r w:rsidRPr="00C31839">
        <w:rPr>
          <w:rFonts w:ascii="Georgia" w:hAnsi="Georgia"/>
        </w:rPr>
        <w:t xml:space="preserve"> eruption, sällsynt. Rund-oval singellesion med infiltrat/blåsbildning som uppträder på samma ställe vid förnyad exposition. Steroider och </w:t>
      </w:r>
      <w:proofErr w:type="spellStart"/>
      <w:r w:rsidRPr="00C31839">
        <w:rPr>
          <w:rFonts w:ascii="Georgia" w:hAnsi="Georgia"/>
        </w:rPr>
        <w:t>antihistaminika</w:t>
      </w:r>
      <w:proofErr w:type="spellEnd"/>
      <w:r w:rsidRPr="00C31839">
        <w:rPr>
          <w:rFonts w:ascii="Georgia" w:hAnsi="Georgia"/>
        </w:rPr>
        <w:t xml:space="preserve"> har vanligtvis liten eller ingen effekt.</w:t>
      </w:r>
    </w:p>
    <w:p w14:paraId="6724B24C" w14:textId="77777777" w:rsidR="00AF55C7" w:rsidRPr="00C31839" w:rsidRDefault="00AF55C7" w:rsidP="00AF55C7">
      <w:pPr>
        <w:pStyle w:val="Punktlista"/>
        <w:numPr>
          <w:ilvl w:val="2"/>
          <w:numId w:val="21"/>
        </w:numPr>
        <w:rPr>
          <w:rFonts w:ascii="Georgia" w:hAnsi="Georgia"/>
        </w:rPr>
      </w:pPr>
      <w:r w:rsidRPr="00C31839">
        <w:rPr>
          <w:rFonts w:ascii="Georgia" w:hAnsi="Georgia"/>
        </w:rPr>
        <w:t xml:space="preserve">Akut lokaliserad eller generaliserad </w:t>
      </w:r>
      <w:proofErr w:type="spellStart"/>
      <w:r w:rsidRPr="00C31839">
        <w:rPr>
          <w:rFonts w:ascii="Georgia" w:hAnsi="Georgia"/>
        </w:rPr>
        <w:t>exantematös</w:t>
      </w:r>
      <w:proofErr w:type="spellEnd"/>
      <w:r w:rsidRPr="00C31839">
        <w:rPr>
          <w:rFonts w:ascii="Georgia" w:hAnsi="Georgia"/>
        </w:rPr>
        <w:t xml:space="preserve"> </w:t>
      </w:r>
      <w:proofErr w:type="spellStart"/>
      <w:r w:rsidRPr="00C31839">
        <w:rPr>
          <w:rFonts w:ascii="Georgia" w:hAnsi="Georgia"/>
        </w:rPr>
        <w:t>pustulos</w:t>
      </w:r>
      <w:proofErr w:type="spellEnd"/>
      <w:r w:rsidRPr="00C31839">
        <w:rPr>
          <w:rFonts w:ascii="Georgia" w:hAnsi="Georgia"/>
        </w:rPr>
        <w:t>.</w:t>
      </w:r>
    </w:p>
    <w:p w14:paraId="51935B37" w14:textId="77777777" w:rsidR="00017FF2" w:rsidRPr="00C31839" w:rsidRDefault="00017FF2" w:rsidP="00017FF2">
      <w:pPr>
        <w:pStyle w:val="Punktlista"/>
        <w:rPr>
          <w:rFonts w:ascii="Georgia" w:hAnsi="Georgia"/>
          <w:b/>
          <w:bCs/>
        </w:rPr>
      </w:pPr>
      <w:r w:rsidRPr="00C31839">
        <w:rPr>
          <w:rFonts w:ascii="Georgia" w:hAnsi="Georgia"/>
        </w:rPr>
        <w:t xml:space="preserve">I sällsynta fall kan allvarligare hud/slemhinnereaktioner uppstå som exempelvis Stevens-Johnsons syndrom, toxisk </w:t>
      </w:r>
      <w:proofErr w:type="spellStart"/>
      <w:r w:rsidRPr="00C31839">
        <w:rPr>
          <w:rFonts w:ascii="Georgia" w:hAnsi="Georgia"/>
        </w:rPr>
        <w:t>epidermolys</w:t>
      </w:r>
      <w:proofErr w:type="spellEnd"/>
      <w:r w:rsidRPr="00C31839">
        <w:rPr>
          <w:rFonts w:ascii="Georgia" w:hAnsi="Georgia"/>
        </w:rPr>
        <w:t xml:space="preserve"> eller </w:t>
      </w:r>
      <w:proofErr w:type="spellStart"/>
      <w:r w:rsidRPr="00C31839">
        <w:rPr>
          <w:rFonts w:ascii="Georgia" w:hAnsi="Georgia"/>
        </w:rPr>
        <w:t>DRESS-syndrom</w:t>
      </w:r>
      <w:proofErr w:type="spellEnd"/>
      <w:r w:rsidRPr="00C31839">
        <w:rPr>
          <w:rFonts w:ascii="Georgia" w:hAnsi="Georgia"/>
        </w:rPr>
        <w:t>.</w:t>
      </w:r>
    </w:p>
    <w:p w14:paraId="1D1F2300" w14:textId="77777777" w:rsidR="00017FF2" w:rsidRPr="00C31839" w:rsidRDefault="00017FF2" w:rsidP="00017FF2">
      <w:pPr>
        <w:pStyle w:val="Punktlista"/>
        <w:rPr>
          <w:rFonts w:ascii="Georgia" w:hAnsi="Georgia"/>
          <w:b/>
          <w:bCs/>
        </w:rPr>
      </w:pPr>
      <w:r w:rsidRPr="00C31839">
        <w:rPr>
          <w:rFonts w:ascii="Georgia" w:hAnsi="Georgia"/>
        </w:rPr>
        <w:t xml:space="preserve">Sena </w:t>
      </w:r>
      <w:proofErr w:type="spellStart"/>
      <w:r w:rsidRPr="00C31839">
        <w:rPr>
          <w:rFonts w:ascii="Georgia" w:hAnsi="Georgia"/>
        </w:rPr>
        <w:t>anafylaxireaktioner</w:t>
      </w:r>
      <w:proofErr w:type="spellEnd"/>
      <w:r w:rsidRPr="00C31839">
        <w:rPr>
          <w:rFonts w:ascii="Georgia" w:hAnsi="Georgia"/>
        </w:rPr>
        <w:t xml:space="preserve"> är ytterst ovanligt.</w:t>
      </w:r>
    </w:p>
    <w:p w14:paraId="4E8E7E8E" w14:textId="7D1757DC" w:rsidR="00017FF2" w:rsidRPr="00C31839" w:rsidRDefault="00017FF2" w:rsidP="00017FF2">
      <w:pPr>
        <w:pStyle w:val="Punktlista"/>
        <w:rPr>
          <w:rFonts w:ascii="Georgia" w:hAnsi="Georgia"/>
          <w:b/>
          <w:bCs/>
        </w:rPr>
      </w:pPr>
      <w:r w:rsidRPr="00C31839">
        <w:rPr>
          <w:rFonts w:ascii="Georgia" w:hAnsi="Georgia"/>
        </w:rPr>
        <w:lastRenderedPageBreak/>
        <w:t xml:space="preserve">Senreaktion vid förnyad exposition förekommer i </w:t>
      </w:r>
      <w:proofErr w:type="gramStart"/>
      <w:r w:rsidRPr="00C31839">
        <w:rPr>
          <w:rFonts w:ascii="Georgia" w:hAnsi="Georgia"/>
        </w:rPr>
        <w:t>10-30</w:t>
      </w:r>
      <w:proofErr w:type="gramEnd"/>
      <w:r w:rsidR="00005CDE" w:rsidRPr="00C31839">
        <w:rPr>
          <w:rFonts w:ascii="Georgia" w:hAnsi="Georgia"/>
        </w:rPr>
        <w:t xml:space="preserve"> </w:t>
      </w:r>
      <w:r w:rsidRPr="00C31839">
        <w:rPr>
          <w:rFonts w:ascii="Georgia" w:hAnsi="Georgia"/>
        </w:rPr>
        <w:t>% av fallen och är i de flesta fall inte kraftigare än den tidigare reaktionen.</w:t>
      </w:r>
    </w:p>
    <w:p w14:paraId="4B99F955" w14:textId="77777777" w:rsidR="00017FF2" w:rsidRPr="00C31839" w:rsidRDefault="00017FF2" w:rsidP="00017FF2">
      <w:pPr>
        <w:pStyle w:val="Punktlista"/>
        <w:rPr>
          <w:rFonts w:ascii="Georgia" w:hAnsi="Georgia"/>
          <w:b/>
          <w:bCs/>
        </w:rPr>
      </w:pPr>
      <w:r w:rsidRPr="00C31839">
        <w:rPr>
          <w:rFonts w:ascii="Georgia" w:hAnsi="Georgia"/>
        </w:rPr>
        <w:t>Tidigare akut kontrastmedelsreaktion ökar inte risken för senreaktion och vice versa.</w:t>
      </w:r>
    </w:p>
    <w:p w14:paraId="4947E185" w14:textId="77777777" w:rsidR="00E85E4C" w:rsidRPr="00C31839" w:rsidRDefault="00E85E4C" w:rsidP="00E85E4C">
      <w:pPr>
        <w:pStyle w:val="MellanrubrikVGR"/>
        <w:rPr>
          <w:rFonts w:ascii="Verdana" w:hAnsi="Verdana"/>
          <w:sz w:val="24"/>
          <w:szCs w:val="24"/>
        </w:rPr>
      </w:pPr>
      <w:r w:rsidRPr="00C31839">
        <w:rPr>
          <w:rFonts w:ascii="Verdana" w:hAnsi="Verdana"/>
          <w:sz w:val="24"/>
          <w:szCs w:val="24"/>
        </w:rPr>
        <w:t>Riskfaktorer</w:t>
      </w:r>
    </w:p>
    <w:p w14:paraId="0C588A7C" w14:textId="77777777" w:rsidR="0089061E" w:rsidRPr="00C31839" w:rsidRDefault="0089061E" w:rsidP="0089061E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Tidigare senreaktion mot kontrastmedel eller annat läkemedel.</w:t>
      </w:r>
    </w:p>
    <w:p w14:paraId="3BC57DDB" w14:textId="77777777" w:rsidR="0089061E" w:rsidRPr="00C31839" w:rsidRDefault="0089061E" w:rsidP="0089061E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Interleukin-2 behandling, pågående eller avslutad de senaste 2 åren.</w:t>
      </w:r>
    </w:p>
    <w:p w14:paraId="227A06FD" w14:textId="77777777" w:rsidR="0089061E" w:rsidRPr="00C31839" w:rsidRDefault="0089061E" w:rsidP="0089061E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Kontakteksem.</w:t>
      </w:r>
    </w:p>
    <w:p w14:paraId="3E6AD5E0" w14:textId="77777777" w:rsidR="0089061E" w:rsidRPr="00C31839" w:rsidRDefault="0089061E" w:rsidP="0089061E">
      <w:pPr>
        <w:pStyle w:val="Rubrik1"/>
        <w:numPr>
          <w:ilvl w:val="0"/>
          <w:numId w:val="20"/>
        </w:numPr>
        <w:spacing w:after="0"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Pågående virusinfektion.</w:t>
      </w:r>
    </w:p>
    <w:p w14:paraId="22D5AFEA" w14:textId="2014B2C0" w:rsidR="006C619E" w:rsidRPr="00C31839" w:rsidRDefault="006C619E" w:rsidP="006C619E">
      <w:pPr>
        <w:pStyle w:val="MellanrubrikVGR"/>
        <w:rPr>
          <w:rFonts w:ascii="Verdana" w:hAnsi="Verdana"/>
          <w:sz w:val="24"/>
          <w:szCs w:val="24"/>
        </w:rPr>
      </w:pPr>
      <w:r w:rsidRPr="00C31839">
        <w:rPr>
          <w:rFonts w:ascii="Verdana" w:hAnsi="Verdana"/>
          <w:sz w:val="24"/>
          <w:szCs w:val="24"/>
        </w:rPr>
        <w:t xml:space="preserve">Om symtom på senreaktion eller riskfaktor finns bör man: </w:t>
      </w:r>
    </w:p>
    <w:p w14:paraId="40346B95" w14:textId="77777777" w:rsidR="00350807" w:rsidRPr="00C31839" w:rsidRDefault="00350807" w:rsidP="00350807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 xml:space="preserve">Informera patienten att senreaktioner i de allra flesta fall är lindriga och övergående, att </w:t>
      </w:r>
      <w:proofErr w:type="spellStart"/>
      <w:r w:rsidRPr="00C31839">
        <w:rPr>
          <w:rFonts w:ascii="Georgia" w:hAnsi="Georgia"/>
          <w:bCs w:val="0"/>
          <w:sz w:val="24"/>
          <w:szCs w:val="24"/>
        </w:rPr>
        <w:t>antihistaminika</w:t>
      </w:r>
      <w:proofErr w:type="spellEnd"/>
      <w:r w:rsidRPr="00C31839">
        <w:rPr>
          <w:rFonts w:ascii="Georgia" w:hAnsi="Georgia"/>
          <w:bCs w:val="0"/>
          <w:sz w:val="24"/>
          <w:szCs w:val="24"/>
        </w:rPr>
        <w:t xml:space="preserve"> kan inhandlas receptfritt om klåda skulle uppstå och att vid mer uttalade besvär söka sjukvård för bedömning och behandling med steroider.</w:t>
      </w:r>
    </w:p>
    <w:p w14:paraId="360FF73D" w14:textId="77777777" w:rsidR="00350807" w:rsidRPr="00C31839" w:rsidRDefault="00350807" w:rsidP="00350807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 xml:space="preserve">Informera patienten att snarast söka sin läkare/akutintag/dermatolog om vätskefyllda blåsor utvecklas, som kan tyda på Steven-Johnsons syndrom eller toxisk </w:t>
      </w:r>
      <w:proofErr w:type="spellStart"/>
      <w:r w:rsidRPr="00C31839">
        <w:rPr>
          <w:rFonts w:ascii="Georgia" w:hAnsi="Georgia"/>
          <w:bCs w:val="0"/>
          <w:sz w:val="24"/>
          <w:szCs w:val="24"/>
        </w:rPr>
        <w:t>epidermolys</w:t>
      </w:r>
      <w:proofErr w:type="spellEnd"/>
      <w:r w:rsidRPr="00C31839">
        <w:rPr>
          <w:rFonts w:ascii="Georgia" w:hAnsi="Georgia"/>
          <w:bCs w:val="0"/>
          <w:sz w:val="24"/>
          <w:szCs w:val="24"/>
        </w:rPr>
        <w:t xml:space="preserve"> under utveckling. </w:t>
      </w:r>
    </w:p>
    <w:p w14:paraId="02C7A655" w14:textId="77777777" w:rsidR="009F7349" w:rsidRPr="00C31839" w:rsidRDefault="009F7349" w:rsidP="009F7349">
      <w:pPr>
        <w:pStyle w:val="MellanrubrikVGR"/>
        <w:rPr>
          <w:rFonts w:ascii="Verdana" w:hAnsi="Verdana"/>
          <w:sz w:val="24"/>
          <w:szCs w:val="24"/>
        </w:rPr>
      </w:pPr>
      <w:r w:rsidRPr="00C31839">
        <w:rPr>
          <w:rFonts w:ascii="Verdana" w:hAnsi="Verdana"/>
          <w:sz w:val="24"/>
          <w:szCs w:val="24"/>
        </w:rPr>
        <w:t>Om tidigare lätt-måttlig senreaktion mot kontrastmedel/annat läkemedel (</w:t>
      </w:r>
      <w:proofErr w:type="spellStart"/>
      <w:r w:rsidRPr="00C31839">
        <w:rPr>
          <w:rFonts w:ascii="Verdana" w:hAnsi="Verdana"/>
          <w:sz w:val="24"/>
          <w:szCs w:val="24"/>
        </w:rPr>
        <w:t>erytem</w:t>
      </w:r>
      <w:proofErr w:type="spellEnd"/>
      <w:r w:rsidRPr="00C31839">
        <w:rPr>
          <w:rFonts w:ascii="Verdana" w:hAnsi="Verdana"/>
          <w:sz w:val="24"/>
          <w:szCs w:val="24"/>
        </w:rPr>
        <w:t>/</w:t>
      </w:r>
      <w:proofErr w:type="spellStart"/>
      <w:r w:rsidRPr="00C31839">
        <w:rPr>
          <w:rFonts w:ascii="Verdana" w:hAnsi="Verdana"/>
          <w:sz w:val="24"/>
          <w:szCs w:val="24"/>
        </w:rPr>
        <w:t>makulopapulösa</w:t>
      </w:r>
      <w:proofErr w:type="spellEnd"/>
      <w:r w:rsidRPr="00C31839">
        <w:rPr>
          <w:rFonts w:ascii="Verdana" w:hAnsi="Verdana"/>
          <w:sz w:val="24"/>
          <w:szCs w:val="24"/>
        </w:rPr>
        <w:t xml:space="preserve"> utslag, självlimiterande eller som svarat på steroidbehandling)</w:t>
      </w:r>
    </w:p>
    <w:p w14:paraId="20D65D13" w14:textId="77777777" w:rsidR="00167E80" w:rsidRPr="00C31839" w:rsidRDefault="00167E80" w:rsidP="00167E80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Byt om möjligt till annat kontrastmedel än det som patienten tidigare reagerat emot även om korsreaktioner mellan samma typ av kontrastmedel är vanliga.</w:t>
      </w:r>
    </w:p>
    <w:p w14:paraId="5ABD63B0" w14:textId="77777777" w:rsidR="00167E80" w:rsidRPr="00C31839" w:rsidRDefault="00167E80" w:rsidP="00167E80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 xml:space="preserve">Om patienten upplevt tidigare senreaktion som påtagligt besvärande överväg: </w:t>
      </w:r>
    </w:p>
    <w:p w14:paraId="2EA64336" w14:textId="77777777" w:rsidR="00167E80" w:rsidRPr="00C31839" w:rsidRDefault="00167E80" w:rsidP="00167E80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 xml:space="preserve">Undersökning utan kontrastmedel. </w:t>
      </w:r>
    </w:p>
    <w:p w14:paraId="3B6D3427" w14:textId="7A047E08" w:rsidR="00167E80" w:rsidRPr="00C31839" w:rsidRDefault="00167E80" w:rsidP="00167E80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Premedicinering, även om dess effekt är begränsad: enligt en rekommendation tabl</w:t>
      </w:r>
      <w:r w:rsidR="007857BD" w:rsidRPr="00C31839">
        <w:rPr>
          <w:rFonts w:ascii="Georgia" w:hAnsi="Georgia"/>
          <w:bCs w:val="0"/>
          <w:sz w:val="24"/>
          <w:szCs w:val="24"/>
        </w:rPr>
        <w:t>ett</w:t>
      </w:r>
      <w:r w:rsidRPr="00C31839">
        <w:rPr>
          <w:rFonts w:ascii="Georgia" w:hAnsi="Georgia"/>
          <w:bCs w:val="0"/>
          <w:sz w:val="24"/>
          <w:szCs w:val="24"/>
        </w:rPr>
        <w:t xml:space="preserve"> </w:t>
      </w:r>
      <w:proofErr w:type="spellStart"/>
      <w:r w:rsidR="007857BD" w:rsidRPr="00C31839">
        <w:rPr>
          <w:rFonts w:ascii="Georgia" w:hAnsi="Georgia"/>
          <w:bCs w:val="0"/>
          <w:sz w:val="24"/>
          <w:szCs w:val="24"/>
        </w:rPr>
        <w:t>P</w:t>
      </w:r>
      <w:r w:rsidRPr="00C31839">
        <w:rPr>
          <w:rFonts w:ascii="Georgia" w:hAnsi="Georgia"/>
          <w:bCs w:val="0"/>
          <w:sz w:val="24"/>
          <w:szCs w:val="24"/>
        </w:rPr>
        <w:t>rednisolon</w:t>
      </w:r>
      <w:proofErr w:type="spellEnd"/>
      <w:r w:rsidRPr="00C31839">
        <w:rPr>
          <w:rFonts w:ascii="Georgia" w:hAnsi="Georgia"/>
          <w:bCs w:val="0"/>
          <w:sz w:val="24"/>
          <w:szCs w:val="24"/>
        </w:rPr>
        <w:t xml:space="preserve"> 50 mg </w:t>
      </w:r>
      <w:r w:rsidRPr="00C31839">
        <w:rPr>
          <w:rFonts w:ascii="Georgia" w:hAnsi="Georgia"/>
          <w:bCs w:val="0"/>
          <w:sz w:val="24"/>
          <w:szCs w:val="24"/>
        </w:rPr>
        <w:lastRenderedPageBreak/>
        <w:t>dagen före och sedan 25 mg/dag i 3 dagar; öka dosen till 50 mg/dag om symtom uppträder.</w:t>
      </w:r>
    </w:p>
    <w:p w14:paraId="21596B15" w14:textId="77777777" w:rsidR="00AB72BB" w:rsidRPr="00C31839" w:rsidRDefault="00AB72BB" w:rsidP="00AB72BB">
      <w:pPr>
        <w:pStyle w:val="MellanrubrikVGR"/>
        <w:rPr>
          <w:rFonts w:ascii="Verdana" w:hAnsi="Verdana"/>
          <w:sz w:val="24"/>
          <w:szCs w:val="24"/>
        </w:rPr>
      </w:pPr>
      <w:r w:rsidRPr="00C31839">
        <w:rPr>
          <w:rFonts w:ascii="Verdana" w:hAnsi="Verdana"/>
          <w:sz w:val="24"/>
          <w:szCs w:val="24"/>
        </w:rPr>
        <w:t>Om tidigare uttalad senreaktion mot kontrastmedel/annat läkemedel (reaktioner som har varit svårbehandlade, krävt inläggning på sjukhus och/eller varit av potentiellt allvarlig art)</w:t>
      </w:r>
    </w:p>
    <w:p w14:paraId="2A5A263D" w14:textId="77777777" w:rsidR="007E02E4" w:rsidRPr="00C31839" w:rsidRDefault="007E02E4" w:rsidP="007E02E4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Undersökning med kontrastmedel bör inte utföras.</w:t>
      </w:r>
    </w:p>
    <w:p w14:paraId="5F79BFA2" w14:textId="77777777" w:rsidR="007E02E4" w:rsidRPr="00C31839" w:rsidRDefault="007E02E4" w:rsidP="007E02E4">
      <w:pPr>
        <w:pStyle w:val="Rubrik1"/>
        <w:numPr>
          <w:ilvl w:val="0"/>
          <w:numId w:val="20"/>
        </w:numPr>
        <w:spacing w:line="276" w:lineRule="auto"/>
        <w:ind w:left="1701" w:right="1134"/>
        <w:rPr>
          <w:rFonts w:ascii="Georgia" w:hAnsi="Georgia"/>
          <w:b/>
          <w:bCs w:val="0"/>
        </w:rPr>
      </w:pPr>
      <w:r w:rsidRPr="00C31839">
        <w:rPr>
          <w:rFonts w:ascii="Georgia" w:hAnsi="Georgia"/>
          <w:bCs w:val="0"/>
          <w:sz w:val="24"/>
          <w:szCs w:val="24"/>
        </w:rPr>
        <w:t>Om undersökning med kontrastmedel trots allt anses absolut nödvändigt bör dermatolog/allergolog konsulteras för premedicinering. Vidare bör annat kontrastmedel användas än det som patienten tidigare reagerat emot (observera dock att korsreaktioner är vanliga).</w:t>
      </w:r>
    </w:p>
    <w:p w14:paraId="188AE2C8" w14:textId="5A3F1B3C" w:rsidR="009A32ED" w:rsidRPr="00C31839" w:rsidRDefault="009A32ED" w:rsidP="007E02E4">
      <w:pPr>
        <w:pStyle w:val="Rubrik2"/>
        <w:rPr>
          <w:rFonts w:ascii="Verdana" w:hAnsi="Verdana"/>
          <w:sz w:val="36"/>
          <w:szCs w:val="36"/>
        </w:rPr>
      </w:pPr>
      <w:r w:rsidRPr="00C31839">
        <w:rPr>
          <w:rFonts w:ascii="Verdana" w:hAnsi="Verdana"/>
          <w:sz w:val="36"/>
          <w:szCs w:val="36"/>
        </w:rPr>
        <w:t>Källförteckning</w:t>
      </w:r>
      <w:bookmarkEnd w:id="7"/>
      <w:bookmarkEnd w:id="8"/>
    </w:p>
    <w:p w14:paraId="6082FBC9" w14:textId="77777777" w:rsidR="007857BD" w:rsidRPr="00C31839" w:rsidRDefault="007857BD" w:rsidP="007857BD">
      <w:pPr>
        <w:rPr>
          <w:rFonts w:ascii="Georgia" w:hAnsi="Georgia"/>
        </w:rPr>
      </w:pPr>
      <w:r w:rsidRPr="00C31839">
        <w:rPr>
          <w:rFonts w:ascii="Georgia" w:hAnsi="Georgia"/>
        </w:rPr>
        <w:t xml:space="preserve">Nationella rekommendationer för </w:t>
      </w:r>
      <w:proofErr w:type="spellStart"/>
      <w:r w:rsidRPr="00C31839">
        <w:rPr>
          <w:rFonts w:ascii="Georgia" w:hAnsi="Georgia"/>
        </w:rPr>
        <w:t>jodkontrastmedel</w:t>
      </w:r>
      <w:proofErr w:type="spellEnd"/>
      <w:r w:rsidRPr="00C31839">
        <w:rPr>
          <w:rFonts w:ascii="Georgia" w:hAnsi="Georgia"/>
        </w:rPr>
        <w:t>/överkänslighetsreaktioner version 4.0 2021-03-18, Svensk Förening för Medicinsk Radiologi.</w:t>
      </w:r>
    </w:p>
    <w:p w14:paraId="6BCCA0D2" w14:textId="77777777" w:rsidR="007E02E4" w:rsidRPr="007E02E4" w:rsidRDefault="007E02E4" w:rsidP="007E02E4"/>
    <w:sectPr w:rsidR="007E02E4" w:rsidRPr="007E02E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3F03C" w14:textId="77777777" w:rsidR="001E0D4D" w:rsidRDefault="001E0D4D">
      <w:r>
        <w:separator/>
      </w:r>
    </w:p>
  </w:endnote>
  <w:endnote w:type="continuationSeparator" w:id="0">
    <w:p w14:paraId="29FBE4E7" w14:textId="77777777" w:rsidR="001E0D4D" w:rsidRDefault="001E0D4D">
      <w:r>
        <w:continuationSeparator/>
      </w:r>
    </w:p>
  </w:endnote>
  <w:endnote w:type="continuationNotice" w:id="1">
    <w:p w14:paraId="0CF353C7" w14:textId="77777777" w:rsidR="001E0D4D" w:rsidRDefault="001E0D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0ACA7" w14:textId="77777777" w:rsidR="001E0D4D" w:rsidRDefault="001E0D4D"/>
  </w:footnote>
  <w:footnote w:type="continuationSeparator" w:id="0">
    <w:p w14:paraId="1FE043F4" w14:textId="77777777" w:rsidR="001E0D4D" w:rsidRDefault="001E0D4D">
      <w:r>
        <w:continuationSeparator/>
      </w:r>
    </w:p>
  </w:footnote>
  <w:footnote w:type="continuationNotice" w:id="1">
    <w:p w14:paraId="6255772A" w14:textId="77777777" w:rsidR="001E0D4D" w:rsidRDefault="001E0D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FC0B6C"/>
    <w:multiLevelType w:val="hybridMultilevel"/>
    <w:tmpl w:val="53E00DB4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987D2B"/>
    <w:multiLevelType w:val="multilevel"/>
    <w:tmpl w:val="E53498A6"/>
    <w:lvl w:ilvl="0">
      <w:start w:val="1"/>
      <w:numFmt w:val="bullet"/>
      <w:lvlText w:val=""/>
      <w:lvlJc w:val="left"/>
      <w:pPr>
        <w:tabs>
          <w:tab w:val="num" w:pos="774"/>
        </w:tabs>
        <w:ind w:left="1494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-110"/>
        </w:tabs>
        <w:ind w:left="277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-1539"/>
        </w:tabs>
        <w:ind w:left="206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9131515">
    <w:abstractNumId w:val="19"/>
  </w:num>
  <w:num w:numId="2" w16cid:durableId="1820685506">
    <w:abstractNumId w:val="16"/>
  </w:num>
  <w:num w:numId="3" w16cid:durableId="538247640">
    <w:abstractNumId w:val="0"/>
  </w:num>
  <w:num w:numId="4" w16cid:durableId="320088509">
    <w:abstractNumId w:val="7"/>
  </w:num>
  <w:num w:numId="5" w16cid:durableId="1593707360">
    <w:abstractNumId w:val="17"/>
  </w:num>
  <w:num w:numId="6" w16cid:durableId="1357973199">
    <w:abstractNumId w:val="2"/>
  </w:num>
  <w:num w:numId="7" w16cid:durableId="449008670">
    <w:abstractNumId w:val="12"/>
  </w:num>
  <w:num w:numId="8" w16cid:durableId="2122602793">
    <w:abstractNumId w:val="9"/>
  </w:num>
  <w:num w:numId="9" w16cid:durableId="244999364">
    <w:abstractNumId w:val="1"/>
  </w:num>
  <w:num w:numId="10" w16cid:durableId="473061703">
    <w:abstractNumId w:val="1"/>
  </w:num>
  <w:num w:numId="11" w16cid:durableId="314648711">
    <w:abstractNumId w:val="3"/>
  </w:num>
  <w:num w:numId="12" w16cid:durableId="1497383560">
    <w:abstractNumId w:val="5"/>
  </w:num>
  <w:num w:numId="13" w16cid:durableId="2082478824">
    <w:abstractNumId w:val="15"/>
  </w:num>
  <w:num w:numId="14" w16cid:durableId="1563759495">
    <w:abstractNumId w:val="10"/>
  </w:num>
  <w:num w:numId="15" w16cid:durableId="882209082">
    <w:abstractNumId w:val="8"/>
  </w:num>
  <w:num w:numId="16" w16cid:durableId="445541642">
    <w:abstractNumId w:val="14"/>
  </w:num>
  <w:num w:numId="17" w16cid:durableId="2063745187">
    <w:abstractNumId w:val="6"/>
  </w:num>
  <w:num w:numId="18" w16cid:durableId="1581402375">
    <w:abstractNumId w:val="11"/>
  </w:num>
  <w:num w:numId="19" w16cid:durableId="34163807">
    <w:abstractNumId w:val="18"/>
  </w:num>
  <w:num w:numId="20" w16cid:durableId="277296375">
    <w:abstractNumId w:val="13"/>
  </w:num>
  <w:num w:numId="21" w16cid:durableId="16655526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CDE"/>
    <w:rsid w:val="00006D2A"/>
    <w:rsid w:val="00010D47"/>
    <w:rsid w:val="00016CF0"/>
    <w:rsid w:val="00017FF2"/>
    <w:rsid w:val="00030DDD"/>
    <w:rsid w:val="000313BB"/>
    <w:rsid w:val="00033ED5"/>
    <w:rsid w:val="00050500"/>
    <w:rsid w:val="0005691C"/>
    <w:rsid w:val="00056ECB"/>
    <w:rsid w:val="00056ED5"/>
    <w:rsid w:val="00060E20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E80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D4D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01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807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19E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7BD"/>
    <w:rsid w:val="0078609F"/>
    <w:rsid w:val="007917BA"/>
    <w:rsid w:val="007A0678"/>
    <w:rsid w:val="007A334E"/>
    <w:rsid w:val="007A5C6F"/>
    <w:rsid w:val="007D4241"/>
    <w:rsid w:val="007D4317"/>
    <w:rsid w:val="007D4EA3"/>
    <w:rsid w:val="007E02E4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61E"/>
    <w:rsid w:val="00892F28"/>
    <w:rsid w:val="008A0C5F"/>
    <w:rsid w:val="008A2584"/>
    <w:rsid w:val="008A3DEA"/>
    <w:rsid w:val="008A4EB9"/>
    <w:rsid w:val="008A74C0"/>
    <w:rsid w:val="008B1694"/>
    <w:rsid w:val="008C4B27"/>
    <w:rsid w:val="008C5C30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314"/>
    <w:rsid w:val="009E531B"/>
    <w:rsid w:val="009E6C56"/>
    <w:rsid w:val="009E7DCF"/>
    <w:rsid w:val="009F4A56"/>
    <w:rsid w:val="009F4E65"/>
    <w:rsid w:val="009F734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2BB"/>
    <w:rsid w:val="00AC3FF6"/>
    <w:rsid w:val="00AD73EC"/>
    <w:rsid w:val="00AD7AD5"/>
    <w:rsid w:val="00AE5BC7"/>
    <w:rsid w:val="00AF55C7"/>
    <w:rsid w:val="00AF5AAF"/>
    <w:rsid w:val="00B046D8"/>
    <w:rsid w:val="00B13F4C"/>
    <w:rsid w:val="00B143D0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7CF3"/>
    <w:rsid w:val="00BB69DB"/>
    <w:rsid w:val="00BC322E"/>
    <w:rsid w:val="00BC44CD"/>
    <w:rsid w:val="00BC48A6"/>
    <w:rsid w:val="00BE7978"/>
    <w:rsid w:val="00C01F0D"/>
    <w:rsid w:val="00C07DDB"/>
    <w:rsid w:val="00C3183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E4C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3</Pages>
  <Words>517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Sena överkänslighetsreaktioner - BFM radiologi</dc:title>
  <dc:subject/>
  <dc:creator/>
  <keywords/>
  <lastModifiedBy>Susanne Ståhl Björkman</lastModifiedBy>
  <revision>33</revision>
  <lastPrinted>2016-03-31T10:56:00.0000000Z</lastPrinted>
  <dcterms:created xsi:type="dcterms:W3CDTF">2021-05-27T09:47:00.0000000Z</dcterms:created>
  <dcterms:modified xsi:type="dcterms:W3CDTF">2025-03-14T13:11:00.0000000Z</dcterms:modified>
</coreProperties>
</file>