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77917" w14:textId="77777777" w:rsidR="00561588" w:rsidRDefault="00561588" w:rsidP="00F35B05">
      <w:pPr>
        <w:pStyle w:val="Rubrik2"/>
        <w:sectPr w:rsidR="00561588" w:rsidSect="005615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EA493D" w14:textId="10F5BF2E" w:rsidR="67419C09" w:rsidRDefault="67419C09" w:rsidP="355FFBB3">
      <w:pPr>
        <w:pStyle w:val="Rubrik1"/>
        <w:ind w:left="0"/>
      </w:pPr>
      <w:proofErr w:type="spellStart"/>
      <w:r>
        <w:t>Amiodaron</w:t>
      </w:r>
      <w:proofErr w:type="spellEnd"/>
      <w:r>
        <w:t xml:space="preserve"> (</w:t>
      </w:r>
      <w:proofErr w:type="spellStart"/>
      <w:r>
        <w:t>Cordarone</w:t>
      </w:r>
      <w:proofErr w:type="spellEnd"/>
      <w:r>
        <w:t>) - intensivvård</w:t>
      </w:r>
    </w:p>
    <w:p w14:paraId="615151AE" w14:textId="7A58380A" w:rsidR="67419C09" w:rsidRDefault="67419C09" w:rsidP="355FFBB3">
      <w:pPr>
        <w:keepNext/>
        <w:ind w:left="0"/>
      </w:pPr>
      <w:r w:rsidRPr="00A52E45">
        <w:rPr>
          <w:b/>
          <w:bCs/>
        </w:rPr>
        <w:t>Innehållsansvarig</w:t>
      </w:r>
      <w:r w:rsidR="00A52E45" w:rsidRPr="00A52E45">
        <w:rPr>
          <w:b/>
          <w:bCs/>
        </w:rPr>
        <w:t>a</w:t>
      </w:r>
      <w:r w:rsidRPr="00A52E45">
        <w:rPr>
          <w:b/>
          <w:bCs/>
        </w:rPr>
        <w:t xml:space="preserve">: </w:t>
      </w:r>
      <w:r w:rsidR="00A52E45" w:rsidRPr="00A52E45">
        <w:rPr>
          <w:b/>
          <w:bCs/>
        </w:rPr>
        <w:br/>
      </w:r>
      <w:r w:rsidR="00A52E45">
        <w:t>Henrieta Jidbratt, överläkare, IVA SkaS Skövde</w:t>
      </w:r>
      <w:r w:rsidR="00A52E45">
        <w:br/>
      </w:r>
      <w:r>
        <w:t>Andreas Thorén</w:t>
      </w:r>
      <w:r w:rsidR="00A52E45">
        <w:t>,</w:t>
      </w:r>
      <w:r>
        <w:t xml:space="preserve"> överläkare</w:t>
      </w:r>
      <w:r w:rsidR="00A52E45">
        <w:t>, IVA SkaS Skövde</w:t>
      </w:r>
    </w:p>
    <w:p w14:paraId="142D3150" w14:textId="7C891D9F" w:rsidR="00561588" w:rsidRPr="00561588" w:rsidRDefault="67419C09" w:rsidP="355FFBB3">
      <w:pPr>
        <w:pStyle w:val="Rubrik2"/>
        <w:ind w:left="0"/>
        <w:rPr>
          <w:rFonts w:ascii="Arial" w:hAnsi="Arial"/>
          <w:b/>
        </w:rPr>
      </w:pPr>
      <w:r>
        <w:t xml:space="preserve">Förändringar sedan föregående </w:t>
      </w:r>
      <w:r w:rsidR="00561588">
        <w:t>version</w:t>
      </w:r>
    </w:p>
    <w:p w14:paraId="627CF64F" w14:textId="2835315D" w:rsidR="00561588" w:rsidRPr="00561588" w:rsidRDefault="00561588" w:rsidP="355FFBB3">
      <w:pPr>
        <w:ind w:left="0"/>
        <w:rPr>
          <w:rFonts w:ascii="Arial" w:hAnsi="Arial" w:cs="Arial"/>
          <w:sz w:val="20"/>
          <w:szCs w:val="20"/>
        </w:rPr>
      </w:pPr>
      <w:r>
        <w:t xml:space="preserve">Förlängd giltighet. </w:t>
      </w:r>
    </w:p>
    <w:p w14:paraId="6F022696" w14:textId="77777777" w:rsidR="00561588" w:rsidRPr="00561588" w:rsidRDefault="00561588" w:rsidP="355FFBB3">
      <w:pPr>
        <w:pStyle w:val="Rubrik2"/>
        <w:ind w:left="0"/>
        <w:rPr>
          <w:rFonts w:ascii="Arial" w:hAnsi="Arial"/>
          <w:b/>
        </w:rPr>
      </w:pPr>
      <w:r>
        <w:t>Bakgrund, syfte och mål</w:t>
      </w:r>
    </w:p>
    <w:p w14:paraId="408F4C4B" w14:textId="733354DE" w:rsidR="00561588" w:rsidRPr="00561588" w:rsidRDefault="00561588" w:rsidP="355FFBB3">
      <w:pPr>
        <w:spacing w:line="240" w:lineRule="auto"/>
        <w:ind w:left="0"/>
      </w:pPr>
      <w:proofErr w:type="spellStart"/>
      <w:r>
        <w:t>Antiarytmicum</w:t>
      </w:r>
      <w:proofErr w:type="spellEnd"/>
      <w:r>
        <w:t xml:space="preserve">. Används </w:t>
      </w:r>
      <w:proofErr w:type="gramStart"/>
      <w:r>
        <w:t>bl.a.</w:t>
      </w:r>
      <w:proofErr w:type="gramEnd"/>
      <w:r>
        <w:t xml:space="preserve"> vid allvarlig </w:t>
      </w:r>
      <w:proofErr w:type="spellStart"/>
      <w:r>
        <w:t>symtomgivande</w:t>
      </w:r>
      <w:proofErr w:type="spellEnd"/>
      <w:r>
        <w:t xml:space="preserve"> </w:t>
      </w:r>
      <w:proofErr w:type="spellStart"/>
      <w:r>
        <w:t>supraventrikulär</w:t>
      </w:r>
      <w:proofErr w:type="spellEnd"/>
      <w:r>
        <w:t xml:space="preserve"> och </w:t>
      </w:r>
      <w:proofErr w:type="spellStart"/>
      <w:r>
        <w:t>ventrikulär</w:t>
      </w:r>
      <w:proofErr w:type="spellEnd"/>
      <w:r>
        <w:t xml:space="preserve"> takykardi i samband med WPW, förmaksfladder/flimmer samt vid VT/VF.</w:t>
      </w:r>
    </w:p>
    <w:p w14:paraId="3D1EE13E" w14:textId="03C41336" w:rsidR="00561588" w:rsidRPr="00561588" w:rsidRDefault="00561588" w:rsidP="355FFBB3">
      <w:pPr>
        <w:pStyle w:val="Rubrik2"/>
        <w:ind w:left="0"/>
      </w:pPr>
      <w:r>
        <w:t>Arbetsbeskrivning</w:t>
      </w:r>
    </w:p>
    <w:p w14:paraId="102E5CAD" w14:textId="6EFA83CA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>Dosering:</w:t>
      </w:r>
      <w:r>
        <w:br/>
        <w:t>Vid pågående hjärtstopp och kvarstående VT/VF:</w:t>
      </w:r>
      <w:r w:rsidR="5FB4AD2D">
        <w:t xml:space="preserve"> </w:t>
      </w:r>
      <w:r>
        <w:br/>
      </w:r>
      <w:proofErr w:type="gramStart"/>
      <w:r w:rsidRPr="355FFBB3">
        <w:rPr>
          <w:i/>
          <w:iCs/>
        </w:rPr>
        <w:t>1:a</w:t>
      </w:r>
      <w:proofErr w:type="gramEnd"/>
      <w:r w:rsidRPr="355FFBB3">
        <w:rPr>
          <w:i/>
          <w:iCs/>
        </w:rPr>
        <w:t xml:space="preserve"> dos: </w:t>
      </w:r>
      <w:r>
        <w:t xml:space="preserve">300 mg (6 ml) </w:t>
      </w:r>
      <w:proofErr w:type="spellStart"/>
      <w:r>
        <w:t>Cordarone</w:t>
      </w:r>
      <w:proofErr w:type="spellEnd"/>
      <w:r>
        <w:t xml:space="preserve"> ges efter 3 defibrilleringar. Ges snabbt i v som engångsdos i en så central ven som möjligt.</w:t>
      </w:r>
      <w:r w:rsidR="4D894E45">
        <w:t xml:space="preserve"> </w:t>
      </w:r>
      <w:r>
        <w:br/>
      </w:r>
      <w:proofErr w:type="gramStart"/>
      <w:r w:rsidRPr="355FFBB3">
        <w:rPr>
          <w:i/>
          <w:iCs/>
        </w:rPr>
        <w:t>2:a</w:t>
      </w:r>
      <w:proofErr w:type="gramEnd"/>
      <w:r w:rsidRPr="355FFBB3">
        <w:rPr>
          <w:i/>
          <w:iCs/>
        </w:rPr>
        <w:t xml:space="preserve"> dosen:</w:t>
      </w:r>
      <w:r>
        <w:t xml:space="preserve"> 150 mg (3 ml) </w:t>
      </w:r>
      <w:proofErr w:type="spellStart"/>
      <w:r>
        <w:t>Cordarone</w:t>
      </w:r>
      <w:proofErr w:type="spellEnd"/>
      <w:r>
        <w:t xml:space="preserve"> ges efter ytterligare 2 defibrilleringar (dvs 5)</w:t>
      </w:r>
      <w:r w:rsidR="0703D9DF">
        <w:t>.</w:t>
      </w:r>
      <w:r>
        <w:t> </w:t>
      </w:r>
    </w:p>
    <w:p w14:paraId="5DA60BF3" w14:textId="77777777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>Vid övriga indikationer sker ordinationen individuellt. Nedan följer ett exempel på hur ordinationen kan se ut.</w:t>
      </w:r>
    </w:p>
    <w:p w14:paraId="46253E79" w14:textId="77777777" w:rsidR="00561588" w:rsidRPr="00561588" w:rsidRDefault="00561588" w:rsidP="355FFBB3">
      <w:pPr>
        <w:pStyle w:val="Liststycke"/>
        <w:numPr>
          <w:ilvl w:val="0"/>
          <w:numId w:val="1"/>
        </w:numPr>
        <w:spacing w:line="240" w:lineRule="auto"/>
        <w:rPr>
          <w:rFonts w:ascii="Arial" w:hAnsi="Arial" w:cs="Arial"/>
        </w:rPr>
      </w:pPr>
      <w:r>
        <w:t xml:space="preserve">Bolusdos: 300 mg </w:t>
      </w:r>
      <w:proofErr w:type="spellStart"/>
      <w:r>
        <w:t>Cordarone</w:t>
      </w:r>
      <w:proofErr w:type="spellEnd"/>
      <w:r>
        <w:t xml:space="preserve"> (6 ml dvs 2 ampuller) blandas i 250 ml </w:t>
      </w:r>
      <w:proofErr w:type="spellStart"/>
      <w:r>
        <w:t>Glucos</w:t>
      </w:r>
      <w:proofErr w:type="spellEnd"/>
      <w:r>
        <w:t xml:space="preserve"> 50 mg/ml och ges under 20 min – 2 timmar.</w:t>
      </w:r>
    </w:p>
    <w:p w14:paraId="5FF7C035" w14:textId="359871FA" w:rsidR="00561588" w:rsidRPr="00561588" w:rsidRDefault="00561588" w:rsidP="355FFBB3">
      <w:pPr>
        <w:pStyle w:val="Liststycke"/>
        <w:numPr>
          <w:ilvl w:val="0"/>
          <w:numId w:val="1"/>
        </w:numPr>
        <w:spacing w:line="240" w:lineRule="auto"/>
        <w:rPr>
          <w:rFonts w:ascii="Arial" w:hAnsi="Arial" w:cs="Arial"/>
          <w:sz w:val="20"/>
          <w:szCs w:val="20"/>
        </w:rPr>
      </w:pPr>
      <w:r>
        <w:t xml:space="preserve">Kontinuerlig infusion i 24 timmar. Ordinerad dos blandas i </w:t>
      </w:r>
      <w:proofErr w:type="spellStart"/>
      <w:r>
        <w:t>Glucos</w:t>
      </w:r>
      <w:proofErr w:type="spellEnd"/>
      <w:r>
        <w:t xml:space="preserve"> 50 mg/ml. Tex 900 mg </w:t>
      </w:r>
      <w:proofErr w:type="spellStart"/>
      <w:r>
        <w:t>Cordarone</w:t>
      </w:r>
      <w:proofErr w:type="spellEnd"/>
      <w:r>
        <w:t xml:space="preserve">/24 timmar. Blanda 3 ampuller à 3 ml, </w:t>
      </w:r>
      <w:proofErr w:type="spellStart"/>
      <w:r>
        <w:t>Cordarone</w:t>
      </w:r>
      <w:proofErr w:type="spellEnd"/>
      <w:r>
        <w:t xml:space="preserve"> 50 mg/ml (=450 mg) i 500 </w:t>
      </w:r>
      <w:proofErr w:type="spellStart"/>
      <w:r>
        <w:t>Glucos</w:t>
      </w:r>
      <w:proofErr w:type="spellEnd"/>
      <w:r>
        <w:t xml:space="preserve"> 50 mg/ml och </w:t>
      </w:r>
      <w:proofErr w:type="spellStart"/>
      <w:r>
        <w:t>infunderas</w:t>
      </w:r>
      <w:proofErr w:type="spellEnd"/>
      <w:r>
        <w:t xml:space="preserve"> på 12 timmar. Två påsar blandas/dygn. </w:t>
      </w:r>
    </w:p>
    <w:p w14:paraId="0A8D0351" w14:textId="0CFC5B8F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proofErr w:type="spellStart"/>
      <w:r w:rsidRPr="355FFBB3">
        <w:rPr>
          <w:b/>
          <w:bCs/>
        </w:rPr>
        <w:t>Maxdos</w:t>
      </w:r>
      <w:proofErr w:type="spellEnd"/>
      <w:r w:rsidRPr="355FFBB3">
        <w:rPr>
          <w:b/>
          <w:bCs/>
        </w:rPr>
        <w:t>:</w:t>
      </w:r>
      <w:r>
        <w:t xml:space="preserve"> 1200 mg/24 timmar (ca 15 mg/kg)</w:t>
      </w:r>
      <w:r w:rsidR="438CD216">
        <w:t>.</w:t>
      </w:r>
      <w:r>
        <w:t> </w:t>
      </w:r>
    </w:p>
    <w:p w14:paraId="5EC4EB94" w14:textId="081C58BD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>Observation: Innan start av behandling kollas p-Kalium. Behandling sker under pågående EKG-övervakning. </w:t>
      </w:r>
    </w:p>
    <w:p w14:paraId="438E6C99" w14:textId="77777777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 xml:space="preserve">Biverkningar: </w:t>
      </w:r>
      <w:proofErr w:type="spellStart"/>
      <w:r>
        <w:t>Hypotension</w:t>
      </w:r>
      <w:proofErr w:type="spellEnd"/>
      <w:r>
        <w:t>, bradykardi, överledningsrubbningar, förvärrad hjärtsvikt, leverpåverkan.</w:t>
      </w:r>
    </w:p>
    <w:p w14:paraId="29D6B4E8" w14:textId="63741EBD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>Samt ytterligare biverkningar enligt skilda organsystem. Se FASS.</w:t>
      </w:r>
    </w:p>
    <w:p w14:paraId="5BE6D91D" w14:textId="069C968F" w:rsidR="00561588" w:rsidRPr="00561588" w:rsidRDefault="00561588" w:rsidP="355FFBB3">
      <w:pPr>
        <w:spacing w:line="240" w:lineRule="auto"/>
        <w:ind w:left="0"/>
      </w:pPr>
    </w:p>
    <w:p w14:paraId="0D09A2D4" w14:textId="143B5CB6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> </w:t>
      </w:r>
    </w:p>
    <w:p w14:paraId="4E01BDC3" w14:textId="4EAD9214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 xml:space="preserve">Blandbarhet: Blanda ej andra läkemedel i infusionslösningen. Lösningar som innehåller mindre än 300 mg </w:t>
      </w:r>
      <w:proofErr w:type="spellStart"/>
      <w:r>
        <w:t>Cordarone</w:t>
      </w:r>
      <w:proofErr w:type="spellEnd"/>
      <w:r>
        <w:t xml:space="preserve"> i 500 ml </w:t>
      </w:r>
      <w:proofErr w:type="spellStart"/>
      <w:r>
        <w:t>Glucos</w:t>
      </w:r>
      <w:proofErr w:type="spellEnd"/>
      <w:r>
        <w:t xml:space="preserve"> 50 mg/ml är instabila och skall ej användas. Endast 5% </w:t>
      </w:r>
      <w:proofErr w:type="spellStart"/>
      <w:r>
        <w:t>Glucos</w:t>
      </w:r>
      <w:proofErr w:type="spellEnd"/>
      <w:r>
        <w:t xml:space="preserve"> skall användas. Starkt kärlretande. Använd helst CVK. </w:t>
      </w:r>
    </w:p>
    <w:p w14:paraId="411C09BD" w14:textId="7F0DB225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 xml:space="preserve">Kontraindikationer: Sinusbradykardi, SA-block. </w:t>
      </w:r>
      <w:proofErr w:type="spellStart"/>
      <w:r>
        <w:t>Högradigt</w:t>
      </w:r>
      <w:proofErr w:type="spellEnd"/>
      <w:r>
        <w:t xml:space="preserve"> </w:t>
      </w:r>
      <w:proofErr w:type="spellStart"/>
      <w:r>
        <w:t>AV-block</w:t>
      </w:r>
      <w:proofErr w:type="spellEnd"/>
      <w:r>
        <w:t xml:space="preserve">, </w:t>
      </w:r>
      <w:proofErr w:type="spellStart"/>
      <w:r>
        <w:t>bifascikulärt</w:t>
      </w:r>
      <w:proofErr w:type="spellEnd"/>
      <w:r>
        <w:t xml:space="preserve"> block eller </w:t>
      </w:r>
      <w:proofErr w:type="spellStart"/>
      <w:r>
        <w:t>trifascikulärt</w:t>
      </w:r>
      <w:proofErr w:type="spellEnd"/>
      <w:r>
        <w:t xml:space="preserve"> grenblock. Vid sjukdomar i sinusknutan skall </w:t>
      </w:r>
      <w:proofErr w:type="spellStart"/>
      <w:r>
        <w:t>Cordarone</w:t>
      </w:r>
      <w:proofErr w:type="spellEnd"/>
      <w:r>
        <w:t xml:space="preserve"> endast användas tillsammans med pacemaker. </w:t>
      </w:r>
    </w:p>
    <w:p w14:paraId="6BAE76F7" w14:textId="77777777" w:rsidR="00561588" w:rsidRPr="00561588" w:rsidRDefault="00561588" w:rsidP="355FFBB3">
      <w:pPr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t xml:space="preserve">Interaktioner: </w:t>
      </w:r>
      <w:proofErr w:type="spellStart"/>
      <w:r>
        <w:t>Cordarone</w:t>
      </w:r>
      <w:proofErr w:type="spellEnd"/>
      <w:r>
        <w:t xml:space="preserve"> potentierar effekten av </w:t>
      </w:r>
      <w:proofErr w:type="spellStart"/>
      <w:r>
        <w:t>Warfarin</w:t>
      </w:r>
      <w:proofErr w:type="spellEnd"/>
      <w:r>
        <w:t xml:space="preserve">. </w:t>
      </w:r>
      <w:proofErr w:type="spellStart"/>
      <w:r>
        <w:t>Cordarone</w:t>
      </w:r>
      <w:proofErr w:type="spellEnd"/>
      <w:r>
        <w:t xml:space="preserve"> ökar serumkoncentrationen av </w:t>
      </w:r>
      <w:proofErr w:type="spellStart"/>
      <w:r>
        <w:t>digoxin</w:t>
      </w:r>
      <w:proofErr w:type="spellEnd"/>
      <w:r>
        <w:t xml:space="preserve"> med 50%. Risken för </w:t>
      </w:r>
      <w:proofErr w:type="spellStart"/>
      <w:r>
        <w:t>torsades</w:t>
      </w:r>
      <w:proofErr w:type="spellEnd"/>
      <w:r>
        <w:t xml:space="preserve"> de </w:t>
      </w:r>
      <w:proofErr w:type="spellStart"/>
      <w:r>
        <w:t>pointes</w:t>
      </w:r>
      <w:proofErr w:type="spellEnd"/>
      <w:r>
        <w:t xml:space="preserve"> ökar i kombination med läkemedel som direkt eller indirekt förlänger QT-intervallet ex vissa </w:t>
      </w:r>
      <w:proofErr w:type="spellStart"/>
      <w:r>
        <w:t>antiarytmika</w:t>
      </w:r>
      <w:proofErr w:type="spellEnd"/>
      <w:r>
        <w:t xml:space="preserve"> och </w:t>
      </w:r>
      <w:proofErr w:type="spellStart"/>
      <w:r>
        <w:t>diuretika</w:t>
      </w:r>
      <w:proofErr w:type="spellEnd"/>
      <w:r>
        <w:t xml:space="preserve">. Se FASS. </w:t>
      </w:r>
    </w:p>
    <w:p w14:paraId="1F16E3BC" w14:textId="77777777" w:rsidR="00561588" w:rsidRPr="00561588" w:rsidRDefault="00561588" w:rsidP="00561588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615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D4DC1"/>
    <w:multiLevelType w:val="hybridMultilevel"/>
    <w:tmpl w:val="57024CEC"/>
    <w:lvl w:ilvl="0" w:tplc="8848B104">
      <w:start w:val="1"/>
      <w:numFmt w:val="decimal"/>
      <w:lvlText w:val="%1."/>
      <w:lvlJc w:val="left"/>
      <w:pPr>
        <w:ind w:left="720" w:hanging="360"/>
      </w:pPr>
    </w:lvl>
    <w:lvl w:ilvl="1" w:tplc="54CC74BC">
      <w:start w:val="1"/>
      <w:numFmt w:val="lowerLetter"/>
      <w:lvlText w:val="%2."/>
      <w:lvlJc w:val="left"/>
      <w:pPr>
        <w:ind w:left="1440" w:hanging="360"/>
      </w:pPr>
    </w:lvl>
    <w:lvl w:ilvl="2" w:tplc="C0C4D6BA">
      <w:start w:val="1"/>
      <w:numFmt w:val="lowerRoman"/>
      <w:lvlText w:val="%3."/>
      <w:lvlJc w:val="right"/>
      <w:pPr>
        <w:ind w:left="2160" w:hanging="180"/>
      </w:pPr>
    </w:lvl>
    <w:lvl w:ilvl="3" w:tplc="237CC3A8">
      <w:start w:val="1"/>
      <w:numFmt w:val="decimal"/>
      <w:lvlText w:val="%4."/>
      <w:lvlJc w:val="left"/>
      <w:pPr>
        <w:ind w:left="2880" w:hanging="360"/>
      </w:pPr>
    </w:lvl>
    <w:lvl w:ilvl="4" w:tplc="A354657A">
      <w:start w:val="1"/>
      <w:numFmt w:val="lowerLetter"/>
      <w:lvlText w:val="%5."/>
      <w:lvlJc w:val="left"/>
      <w:pPr>
        <w:ind w:left="3600" w:hanging="360"/>
      </w:pPr>
    </w:lvl>
    <w:lvl w:ilvl="5" w:tplc="7CDC9E04">
      <w:start w:val="1"/>
      <w:numFmt w:val="lowerRoman"/>
      <w:lvlText w:val="%6."/>
      <w:lvlJc w:val="right"/>
      <w:pPr>
        <w:ind w:left="4320" w:hanging="180"/>
      </w:pPr>
    </w:lvl>
    <w:lvl w:ilvl="6" w:tplc="8F88B698">
      <w:start w:val="1"/>
      <w:numFmt w:val="decimal"/>
      <w:lvlText w:val="%7."/>
      <w:lvlJc w:val="left"/>
      <w:pPr>
        <w:ind w:left="5040" w:hanging="360"/>
      </w:pPr>
    </w:lvl>
    <w:lvl w:ilvl="7" w:tplc="64D0FC14">
      <w:start w:val="1"/>
      <w:numFmt w:val="lowerLetter"/>
      <w:lvlText w:val="%8."/>
      <w:lvlJc w:val="left"/>
      <w:pPr>
        <w:ind w:left="5760" w:hanging="360"/>
      </w:pPr>
    </w:lvl>
    <w:lvl w:ilvl="8" w:tplc="582C2BB4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774A2C"/>
    <w:multiLevelType w:val="hybridMultilevel"/>
    <w:tmpl w:val="9170FA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4298769">
    <w:abstractNumId w:val="12"/>
  </w:num>
  <w:num w:numId="2" w16cid:durableId="2084401452">
    <w:abstractNumId w:val="19"/>
  </w:num>
  <w:num w:numId="3" w16cid:durableId="531115359">
    <w:abstractNumId w:val="15"/>
  </w:num>
  <w:num w:numId="4" w16cid:durableId="1264535035">
    <w:abstractNumId w:val="0"/>
  </w:num>
  <w:num w:numId="5" w16cid:durableId="484320587">
    <w:abstractNumId w:val="6"/>
  </w:num>
  <w:num w:numId="6" w16cid:durableId="1091851630">
    <w:abstractNumId w:val="17"/>
  </w:num>
  <w:num w:numId="7" w16cid:durableId="1065102121">
    <w:abstractNumId w:val="2"/>
  </w:num>
  <w:num w:numId="8" w16cid:durableId="1903095">
    <w:abstractNumId w:val="11"/>
  </w:num>
  <w:num w:numId="9" w16cid:durableId="1679769613">
    <w:abstractNumId w:val="8"/>
  </w:num>
  <w:num w:numId="10" w16cid:durableId="1168669237">
    <w:abstractNumId w:val="1"/>
  </w:num>
  <w:num w:numId="11" w16cid:durableId="1762096448">
    <w:abstractNumId w:val="1"/>
  </w:num>
  <w:num w:numId="12" w16cid:durableId="602343107">
    <w:abstractNumId w:val="3"/>
  </w:num>
  <w:num w:numId="13" w16cid:durableId="1750224060">
    <w:abstractNumId w:val="4"/>
  </w:num>
  <w:num w:numId="14" w16cid:durableId="133304374">
    <w:abstractNumId w:val="14"/>
  </w:num>
  <w:num w:numId="15" w16cid:durableId="1163273406">
    <w:abstractNumId w:val="9"/>
  </w:num>
  <w:num w:numId="16" w16cid:durableId="726414163">
    <w:abstractNumId w:val="7"/>
  </w:num>
  <w:num w:numId="17" w16cid:durableId="1358234442">
    <w:abstractNumId w:val="13"/>
  </w:num>
  <w:num w:numId="18" w16cid:durableId="439030846">
    <w:abstractNumId w:val="5"/>
  </w:num>
  <w:num w:numId="19" w16cid:durableId="851337632">
    <w:abstractNumId w:val="10"/>
  </w:num>
  <w:num w:numId="20" w16cid:durableId="585722987">
    <w:abstractNumId w:val="18"/>
  </w:num>
  <w:num w:numId="21" w16cid:durableId="156606741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58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8C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E45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66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03D9DF"/>
    <w:rsid w:val="1147530C"/>
    <w:rsid w:val="355FFBB3"/>
    <w:rsid w:val="438CD216"/>
    <w:rsid w:val="44DAC3F7"/>
    <w:rsid w:val="4D894E45"/>
    <w:rsid w:val="5278B7BB"/>
    <w:rsid w:val="5694A5A8"/>
    <w:rsid w:val="5FB4AD2D"/>
    <w:rsid w:val="647B2B65"/>
    <w:rsid w:val="6691A115"/>
    <w:rsid w:val="67419C09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301</Words>
  <Characters>1893</Characters>
  <Application>Microsoft Office Word</Application>
  <DocSecurity>0</DocSecurity>
  <Lines>15</Lines>
  <Paragraphs>4</Paragraphs>
  <ScaleCrop>false</ScaleCrop>
  <Manager/>
  <Company/>
  <LinksUpToDate>false</LinksUpToDate>
  <CharactersWithSpaces>2190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Amiodaron (Cordarone) - intensivvård</dc:title>
  <dc:subject/>
  <dc:creator>patrik.jens.johansson@vgregion.se</dc:creator>
  <keywords/>
  <lastModifiedBy>Anna Lind</lastModifiedBy>
  <revision>4</revision>
  <lastPrinted>2016-03-31T10:56:00.0000000Z</lastPrinted>
  <dcterms:created xsi:type="dcterms:W3CDTF">2022-03-02T07:11:00.0000000Z</dcterms:created>
  <dcterms:modified xsi:type="dcterms:W3CDTF">2025-12-08T11:59:00.0000000Z</dcterms:modified>
</coreProperties>
</file>