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FCC1FA" w14:textId="77777777" w:rsidR="00FC1333" w:rsidRDefault="00FC1333" w:rsidP="200EE24D">
      <w:pPr>
        <w:pStyle w:val="Rubrik2"/>
        <w:rPr>
          <w:highlight w:val="yellow"/>
        </w:rPr>
        <w:sectPr w:rsidR="00FC1333" w:rsidSect="00FC133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C446C57" w14:textId="35C938E5" w:rsidR="51FABA93" w:rsidRDefault="51FABA93" w:rsidP="2FE4ACDA">
      <w:pPr>
        <w:pStyle w:val="Rubrik1"/>
        <w:ind w:left="0"/>
      </w:pPr>
      <w:r>
        <w:t>Transfusionsindikation för blod, plasma och trombocyter</w:t>
      </w:r>
    </w:p>
    <w:p w14:paraId="7AAA43D9" w14:textId="77777777" w:rsidR="00FC1333" w:rsidRPr="00FC1333" w:rsidRDefault="00FC1333" w:rsidP="2FE4ACDA">
      <w:pPr>
        <w:pStyle w:val="Rubrik2"/>
        <w:ind w:left="0"/>
        <w:rPr>
          <w:rFonts w:ascii="Arial" w:hAnsi="Arial"/>
          <w:b/>
        </w:rPr>
      </w:pPr>
      <w:r>
        <w:t>Revideringar i denna version</w:t>
      </w:r>
    </w:p>
    <w:p w14:paraId="7F2196D4" w14:textId="5295D1BE" w:rsidR="00FC1333" w:rsidRPr="00FC1333" w:rsidRDefault="00FC1333" w:rsidP="3DFB0AD0">
      <w:pPr>
        <w:spacing w:line="240" w:lineRule="auto"/>
        <w:ind w:left="0"/>
      </w:pPr>
      <w:r>
        <w:t>Förlängd giltighet</w:t>
      </w:r>
      <w:r w:rsidR="0B1783B1">
        <w:t xml:space="preserve">. </w:t>
      </w:r>
      <w:r w:rsidR="003F24AE">
        <w:t xml:space="preserve">Borttag av text under rubrik ”Vid övriga tillstånd”. </w:t>
      </w:r>
    </w:p>
    <w:p w14:paraId="46A444A4" w14:textId="77777777" w:rsidR="00FC1333" w:rsidRPr="00FC1333" w:rsidRDefault="00FC1333" w:rsidP="2FE4ACDA">
      <w:pPr>
        <w:pStyle w:val="Rubrik2"/>
        <w:ind w:left="0"/>
        <w:rPr>
          <w:rFonts w:ascii="Arial" w:hAnsi="Arial"/>
          <w:b/>
        </w:rPr>
      </w:pPr>
      <w:r>
        <w:t>Bakgrund, syfte och mål</w:t>
      </w:r>
    </w:p>
    <w:p w14:paraId="2E451354" w14:textId="074A94C9" w:rsidR="00FC1333" w:rsidRPr="00FC1333" w:rsidRDefault="00FC1333" w:rsidP="2FE4ACDA">
      <w:pPr>
        <w:pStyle w:val="MellanrubrikVGR"/>
        <w:ind w:left="0"/>
        <w:rPr>
          <w:rFonts w:ascii="Arial" w:hAnsi="Arial" w:cs="Arial"/>
          <w:bCs/>
          <w:color w:val="000000" w:themeColor="text2"/>
          <w:sz w:val="20"/>
          <w:szCs w:val="20"/>
        </w:rPr>
      </w:pPr>
      <w:r>
        <w:t>Indikationer och koder för transfusion</w:t>
      </w:r>
      <w:r w:rsidR="258F1479">
        <w:t>.</w:t>
      </w:r>
    </w:p>
    <w:p w14:paraId="39B40150" w14:textId="436547AC" w:rsidR="00FC1333" w:rsidRPr="00FC1333" w:rsidRDefault="00FC1333" w:rsidP="2FE4ACDA">
      <w:pPr>
        <w:spacing w:line="240" w:lineRule="auto"/>
        <w:ind w:left="0"/>
        <w:rPr>
          <w:rFonts w:ascii="Arial" w:hAnsi="Arial" w:cs="Arial"/>
          <w:color w:val="000000" w:themeColor="text2"/>
          <w:sz w:val="20"/>
          <w:szCs w:val="20"/>
        </w:rPr>
      </w:pPr>
      <w:r>
        <w:t>Nedanstående indikationer och koder för blodtransfusion är till stor del hämtade från Storbritanniens nationella riktlinjer. Avsnittet om indikationer för plasmatransfusion grundar sig på Läkemedelsverkets rekommendation och för transfusion vid massiv blödning på ett nationellt vårdprogram (se referenser).</w:t>
      </w:r>
    </w:p>
    <w:p w14:paraId="11B3CD08" w14:textId="69CCE3FE" w:rsidR="00FC1333" w:rsidRPr="00FC1333" w:rsidRDefault="00FC1333" w:rsidP="2FE4ACDA">
      <w:pPr>
        <w:spacing w:line="240" w:lineRule="auto"/>
        <w:ind w:left="0"/>
        <w:rPr>
          <w:rFonts w:ascii="Arial" w:hAnsi="Arial" w:cs="Arial"/>
          <w:color w:val="000000" w:themeColor="text2"/>
          <w:sz w:val="20"/>
          <w:szCs w:val="20"/>
        </w:rPr>
      </w:pPr>
      <w:r>
        <w:t xml:space="preserve">Den kliniska bedömningen är väsentlig för beslutet om eventuell transfusion. Syftet med detta kortfattade dokument är att underlätta beslutet, det ska ses som ett hjälpmedel och inte som den enda rätta vägen.  </w:t>
      </w:r>
    </w:p>
    <w:p w14:paraId="0B432EEA" w14:textId="32AE8D3C" w:rsidR="00FC1333" w:rsidRPr="00FC1333" w:rsidRDefault="00FC1333" w:rsidP="2FE4ACDA">
      <w:pPr>
        <w:spacing w:line="240" w:lineRule="auto"/>
        <w:ind w:left="0"/>
        <w:rPr>
          <w:rFonts w:ascii="Arial" w:hAnsi="Arial" w:cs="Arial"/>
          <w:color w:val="000000" w:themeColor="text2"/>
          <w:sz w:val="20"/>
          <w:szCs w:val="20"/>
        </w:rPr>
      </w:pPr>
      <w:r>
        <w:t xml:space="preserve">Olika indikationer har även försetts med koder. Dessa kan, om så önskas, användas vid till exempel blodbeställning för att följa förbrukning vid olika indikationer. De skulle kanske också på sikt kunna användas för att underlätta dokumentation av indikationer. </w:t>
      </w:r>
    </w:p>
    <w:p w14:paraId="2B6B7983" w14:textId="77777777" w:rsidR="00FC1333" w:rsidRPr="00FC1333" w:rsidRDefault="00FC1333" w:rsidP="2FE4ACDA">
      <w:pPr>
        <w:pStyle w:val="Rubrik2"/>
        <w:ind w:left="0"/>
        <w:rPr>
          <w:rFonts w:ascii="Arial" w:hAnsi="Arial"/>
          <w:b/>
        </w:rPr>
      </w:pPr>
      <w:r>
        <w:t>Arbetsbeskrivning</w:t>
      </w:r>
    </w:p>
    <w:p w14:paraId="7B95E3A7" w14:textId="29A6D671" w:rsidR="00FC1333" w:rsidRPr="00FC1333" w:rsidRDefault="00FC1333" w:rsidP="2FE4ACDA">
      <w:pPr>
        <w:pStyle w:val="MellanrubrikVGR"/>
        <w:ind w:left="0"/>
        <w:rPr>
          <w:rFonts w:ascii="Arial" w:hAnsi="Arial" w:cs="Arial"/>
          <w:bCs/>
          <w:color w:val="000000" w:themeColor="text2"/>
          <w:sz w:val="20"/>
          <w:szCs w:val="20"/>
        </w:rPr>
      </w:pPr>
      <w:proofErr w:type="spellStart"/>
      <w:r>
        <w:t>Erytrocytenheter</w:t>
      </w:r>
      <w:proofErr w:type="spellEnd"/>
    </w:p>
    <w:p w14:paraId="404B6D63" w14:textId="43C8BDE5" w:rsidR="00FC1333" w:rsidRPr="00FC1333" w:rsidRDefault="00FC1333" w:rsidP="2FE4ACDA">
      <w:pPr>
        <w:pStyle w:val="MellanrubrikVGR"/>
        <w:ind w:left="0"/>
      </w:pPr>
      <w:r>
        <w:t>R1. Akut blodförlust</w:t>
      </w:r>
    </w:p>
    <w:p w14:paraId="28B04236" w14:textId="77777777" w:rsidR="00FC1333" w:rsidRPr="00FC1333" w:rsidRDefault="00FC1333" w:rsidP="2FE4ACDA">
      <w:pPr>
        <w:spacing w:line="240" w:lineRule="auto"/>
        <w:ind w:left="0"/>
        <w:rPr>
          <w:rFonts w:ascii="Arial" w:hAnsi="Arial" w:cs="Arial"/>
          <w:color w:val="000000" w:themeColor="text2"/>
          <w:sz w:val="20"/>
          <w:szCs w:val="20"/>
        </w:rPr>
      </w:pPr>
      <w:r>
        <w:t xml:space="preserve">Hos patienter med massiv blödning är hemoglobinkoncentrationen (Hb) en dålig markör för akut blodförlust och att uppskatta storleken av en blodförlust kan vara svårt. Empiriskt styrda beslut om omedelbar transfusion av </w:t>
      </w:r>
      <w:proofErr w:type="spellStart"/>
      <w:r>
        <w:t>erytrocyter</w:t>
      </w:r>
      <w:proofErr w:type="spellEnd"/>
      <w:r>
        <w:t xml:space="preserve"> krävs därför. Följande är en vägledning om när blodtransfusion troligen behövs.</w:t>
      </w:r>
    </w:p>
    <w:p w14:paraId="0CE8E3E4" w14:textId="77777777" w:rsidR="00FC1333" w:rsidRPr="00FC1333" w:rsidRDefault="00FC1333" w:rsidP="00FC1333">
      <w:pPr>
        <w:spacing w:after="0" w:line="240" w:lineRule="auto"/>
        <w:ind w:left="0" w:right="0"/>
      </w:pPr>
    </w:p>
    <w:p w14:paraId="620E05C7" w14:textId="605A1020" w:rsidR="00FC1333" w:rsidRPr="00FC1333" w:rsidRDefault="00FC1333" w:rsidP="2FE4ACDA">
      <w:pPr>
        <w:pStyle w:val="Liststycke"/>
        <w:numPr>
          <w:ilvl w:val="0"/>
          <w:numId w:val="22"/>
        </w:numPr>
        <w:spacing w:line="240" w:lineRule="auto"/>
        <w:rPr>
          <w:rFonts w:ascii="Arial" w:eastAsia="Calibri" w:hAnsi="Arial" w:cs="Arial"/>
          <w:color w:val="000000" w:themeColor="text2"/>
          <w:sz w:val="20"/>
          <w:szCs w:val="20"/>
          <w:lang w:eastAsia="en-US"/>
        </w:rPr>
      </w:pPr>
      <w:r>
        <w:t xml:space="preserve">Mindre än 30 % blodvolymsförlust (mindre än 1500 ml hos vuxen):  </w:t>
      </w:r>
      <w:r>
        <w:br/>
        <w:t xml:space="preserve">Ersätt volymsförlusten enligt lokala rutiner. </w:t>
      </w:r>
      <w:proofErr w:type="spellStart"/>
      <w:r>
        <w:t>Erytrocyttransfusion</w:t>
      </w:r>
      <w:proofErr w:type="spellEnd"/>
      <w:r>
        <w:t xml:space="preserve"> kommer </w:t>
      </w:r>
      <w:r>
        <w:lastRenderedPageBreak/>
        <w:t>sannolikt inte att bli nödvändig.</w:t>
      </w:r>
      <w:r>
        <w:br/>
      </w:r>
    </w:p>
    <w:p w14:paraId="4F009868" w14:textId="77777777" w:rsidR="00FC1333" w:rsidRPr="00FC1333" w:rsidRDefault="00FC1333" w:rsidP="2FE4ACDA">
      <w:pPr>
        <w:pStyle w:val="Liststycke"/>
        <w:numPr>
          <w:ilvl w:val="0"/>
          <w:numId w:val="22"/>
        </w:numPr>
        <w:spacing w:line="240" w:lineRule="auto"/>
        <w:rPr>
          <w:rFonts w:ascii="Arial" w:eastAsia="Calibri" w:hAnsi="Arial" w:cs="Arial"/>
          <w:color w:val="000000" w:themeColor="text2"/>
          <w:sz w:val="20"/>
          <w:szCs w:val="20"/>
          <w:lang w:eastAsia="en-US"/>
        </w:rPr>
      </w:pPr>
      <w:r>
        <w:t>30–40 % blodvolymsförlust (1500–2000 ml hos vuxen):</w:t>
      </w:r>
      <w:r>
        <w:br/>
        <w:t xml:space="preserve">Snabb volymsersättning enligt lokala rutiner. </w:t>
      </w:r>
      <w:proofErr w:type="spellStart"/>
      <w:r>
        <w:t>Erytrocyttransfusion</w:t>
      </w:r>
      <w:proofErr w:type="spellEnd"/>
      <w:r>
        <w:t xml:space="preserve"> kommer sannolikt att bli nödvändig för att bibehålla rekommenderade Hb-nivåer.</w:t>
      </w:r>
    </w:p>
    <w:p w14:paraId="64E3A3F2" w14:textId="77777777" w:rsidR="00FC1333" w:rsidRPr="00FC1333" w:rsidRDefault="00FC1333" w:rsidP="00FC1333">
      <w:pPr>
        <w:autoSpaceDE w:val="0"/>
        <w:autoSpaceDN w:val="0"/>
        <w:adjustRightInd w:val="0"/>
        <w:spacing w:after="0" w:line="240" w:lineRule="auto"/>
        <w:ind w:left="360" w:right="0"/>
        <w:contextualSpacing/>
        <w:rPr>
          <w:rFonts w:ascii="Arial" w:eastAsia="Calibri" w:hAnsi="Arial" w:cs="Arial"/>
          <w:color w:val="000000"/>
          <w:sz w:val="20"/>
          <w:szCs w:val="20"/>
          <w:lang w:eastAsia="en-US"/>
        </w:rPr>
      </w:pPr>
    </w:p>
    <w:p w14:paraId="0C1576C6" w14:textId="77777777" w:rsidR="00FC1333" w:rsidRPr="00FC1333" w:rsidRDefault="00FC1333" w:rsidP="2FE4ACDA">
      <w:pPr>
        <w:pStyle w:val="Liststycke"/>
        <w:numPr>
          <w:ilvl w:val="0"/>
          <w:numId w:val="22"/>
        </w:numPr>
        <w:spacing w:line="240" w:lineRule="auto"/>
        <w:rPr>
          <w:rFonts w:ascii="Arial" w:eastAsia="Calibri" w:hAnsi="Arial" w:cs="Arial"/>
          <w:color w:val="000000" w:themeColor="text2"/>
          <w:sz w:val="20"/>
          <w:szCs w:val="20"/>
          <w:lang w:eastAsia="en-US"/>
        </w:rPr>
      </w:pPr>
      <w:r>
        <w:t>Mer än 40 % blodvolymsförlust (mer än 2000 ml hos vuxen):</w:t>
      </w:r>
      <w:r>
        <w:br/>
        <w:t xml:space="preserve">Snabb volymsubstitution inkluderande </w:t>
      </w:r>
      <w:proofErr w:type="spellStart"/>
      <w:r>
        <w:t>erytrocyter</w:t>
      </w:r>
      <w:proofErr w:type="spellEnd"/>
      <w:r>
        <w:t xml:space="preserve"> krävs.</w:t>
      </w:r>
    </w:p>
    <w:p w14:paraId="2E7A4713" w14:textId="77777777" w:rsidR="00FC1333" w:rsidRPr="00FC1333" w:rsidRDefault="00FC1333" w:rsidP="00FC1333">
      <w:pPr>
        <w:autoSpaceDE w:val="0"/>
        <w:autoSpaceDN w:val="0"/>
        <w:adjustRightInd w:val="0"/>
        <w:spacing w:after="0" w:line="240" w:lineRule="auto"/>
        <w:ind w:left="360" w:right="0"/>
        <w:contextualSpacing/>
        <w:rPr>
          <w:rFonts w:ascii="Arial" w:eastAsia="Calibri" w:hAnsi="Arial" w:cs="Arial"/>
          <w:color w:val="000000"/>
          <w:sz w:val="20"/>
          <w:szCs w:val="20"/>
          <w:lang w:eastAsia="en-US"/>
        </w:rPr>
      </w:pPr>
    </w:p>
    <w:p w14:paraId="24055FC6" w14:textId="77777777" w:rsidR="00FC1333" w:rsidRPr="00FC1333" w:rsidRDefault="00FC1333" w:rsidP="2FE4ACDA">
      <w:pPr>
        <w:pStyle w:val="Liststycke"/>
        <w:numPr>
          <w:ilvl w:val="0"/>
          <w:numId w:val="22"/>
        </w:numPr>
        <w:rPr>
          <w:rFonts w:ascii="Arial" w:hAnsi="Arial" w:cs="Arial"/>
          <w:color w:val="000000" w:themeColor="text2"/>
          <w:sz w:val="20"/>
          <w:szCs w:val="20"/>
        </w:rPr>
      </w:pPr>
      <w:r>
        <w:t xml:space="preserve">När </w:t>
      </w:r>
      <w:proofErr w:type="spellStart"/>
      <w:r>
        <w:t>normovolemi</w:t>
      </w:r>
      <w:proofErr w:type="spellEnd"/>
      <w:r>
        <w:t xml:space="preserve"> har uppnåtts/bibehållits, kan upprepade mätningar av Hb användas för att avgöra behovet av </w:t>
      </w:r>
      <w:proofErr w:type="spellStart"/>
      <w:r>
        <w:t>erytrocyttransfusion</w:t>
      </w:r>
      <w:proofErr w:type="spellEnd"/>
      <w:r>
        <w:t xml:space="preserve">. </w:t>
      </w:r>
    </w:p>
    <w:p w14:paraId="7D37E76C" w14:textId="77777777" w:rsidR="00FC1333" w:rsidRPr="00FC1333" w:rsidRDefault="00FC1333" w:rsidP="00FC1333">
      <w:pPr>
        <w:autoSpaceDE w:val="0"/>
        <w:autoSpaceDN w:val="0"/>
        <w:adjustRightInd w:val="0"/>
        <w:spacing w:after="0" w:line="240" w:lineRule="auto"/>
        <w:ind w:left="360" w:right="0"/>
        <w:rPr>
          <w:rFonts w:ascii="Arial" w:hAnsi="Arial" w:cs="Arial"/>
          <w:color w:val="000000"/>
          <w:sz w:val="20"/>
          <w:szCs w:val="20"/>
        </w:rPr>
      </w:pPr>
    </w:p>
    <w:p w14:paraId="64B618C9" w14:textId="77777777" w:rsidR="00FC1333" w:rsidRPr="00FC1333" w:rsidRDefault="00FC1333" w:rsidP="2FE4ACDA">
      <w:pPr>
        <w:pStyle w:val="Liststycke"/>
        <w:numPr>
          <w:ilvl w:val="0"/>
          <w:numId w:val="22"/>
        </w:numPr>
        <w:spacing w:line="240" w:lineRule="auto"/>
        <w:rPr>
          <w:rFonts w:ascii="Arial" w:hAnsi="Arial" w:cs="Arial"/>
          <w:color w:val="000000" w:themeColor="text2"/>
          <w:sz w:val="20"/>
          <w:szCs w:val="20"/>
        </w:rPr>
      </w:pPr>
      <w:r>
        <w:t xml:space="preserve">När risken för ytterligare blodförlust är svår att bedöma (till exempel vid </w:t>
      </w:r>
      <w:proofErr w:type="spellStart"/>
      <w:r>
        <w:t>gastrointestinal</w:t>
      </w:r>
      <w:proofErr w:type="spellEnd"/>
      <w:r>
        <w:t xml:space="preserve"> blödning) rekommenderas att Hb100 g/liter används som gräns för transfusion. </w:t>
      </w:r>
    </w:p>
    <w:p w14:paraId="38E1CF48" w14:textId="77777777" w:rsidR="00FC1333" w:rsidRPr="00FC1333" w:rsidRDefault="00FC1333" w:rsidP="00FC1333">
      <w:pPr>
        <w:autoSpaceDE w:val="0"/>
        <w:autoSpaceDN w:val="0"/>
        <w:adjustRightInd w:val="0"/>
        <w:spacing w:after="0" w:line="240" w:lineRule="auto"/>
        <w:ind w:left="360" w:right="0"/>
        <w:rPr>
          <w:rFonts w:ascii="Arial" w:hAnsi="Arial" w:cs="Arial"/>
          <w:color w:val="000000"/>
          <w:sz w:val="20"/>
          <w:szCs w:val="20"/>
        </w:rPr>
      </w:pPr>
    </w:p>
    <w:p w14:paraId="426AC538" w14:textId="1639C203" w:rsidR="00FC1333" w:rsidRPr="00FC1333" w:rsidRDefault="00FC1333" w:rsidP="2FE4ACDA">
      <w:pPr>
        <w:pStyle w:val="Liststycke"/>
        <w:numPr>
          <w:ilvl w:val="0"/>
          <w:numId w:val="22"/>
        </w:numPr>
        <w:spacing w:line="240" w:lineRule="auto"/>
        <w:rPr>
          <w:rFonts w:ascii="Arial" w:hAnsi="Arial" w:cs="Arial"/>
          <w:color w:val="000000" w:themeColor="text2"/>
          <w:sz w:val="20"/>
          <w:szCs w:val="20"/>
        </w:rPr>
      </w:pPr>
      <w:r>
        <w:t>I andra fall är syftet att bibehålla en normal cirkulerande blodvolym och Hb mer än 70 g/liter rekommenderas för i övrigt välmående patienter och Hb mer än 90 g/liter för äldre patienter och för dem med känd kardiovaskulär sjukdom.</w:t>
      </w:r>
    </w:p>
    <w:p w14:paraId="0B53C61F" w14:textId="50CD0E9A" w:rsidR="00FC1333" w:rsidRPr="00FC1333" w:rsidRDefault="00FC1333" w:rsidP="2FE4ACDA">
      <w:pPr>
        <w:pStyle w:val="MellanrubrikVGR"/>
        <w:ind w:left="0"/>
        <w:rPr>
          <w:rFonts w:ascii="Arial" w:hAnsi="Arial" w:cs="Arial"/>
          <w:bCs/>
          <w:color w:val="000000" w:themeColor="text2"/>
          <w:sz w:val="20"/>
          <w:szCs w:val="20"/>
        </w:rPr>
      </w:pPr>
      <w:r>
        <w:t>Peri-operativ transfusion</w:t>
      </w:r>
    </w:p>
    <w:p w14:paraId="27E45CB1" w14:textId="77777777" w:rsidR="00FC1333" w:rsidRPr="00FC1333" w:rsidRDefault="00FC1333" w:rsidP="2FE4ACDA">
      <w:pPr>
        <w:spacing w:line="240" w:lineRule="auto"/>
        <w:ind w:left="0"/>
        <w:rPr>
          <w:rFonts w:ascii="Arial" w:hAnsi="Arial" w:cs="Arial"/>
          <w:color w:val="000000" w:themeColor="text2"/>
          <w:sz w:val="20"/>
          <w:szCs w:val="20"/>
        </w:rPr>
      </w:pPr>
      <w:r>
        <w:t xml:space="preserve">Många patienter som genomgår elektiv kirurgi behöver inte transfunderas om deras Hb är normalt före operationen. Förutsatt att </w:t>
      </w:r>
      <w:proofErr w:type="spellStart"/>
      <w:r>
        <w:t>normovolemi</w:t>
      </w:r>
      <w:proofErr w:type="spellEnd"/>
      <w:r>
        <w:t xml:space="preserve"> kunnat bibehållas, kan Hb användas som vägledning för behovet av </w:t>
      </w:r>
      <w:proofErr w:type="spellStart"/>
      <w:r>
        <w:t>erytrocyttransfusion</w:t>
      </w:r>
      <w:proofErr w:type="spellEnd"/>
      <w:r>
        <w:t>.</w:t>
      </w:r>
    </w:p>
    <w:p w14:paraId="7EC4CC70"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5EE3D23B" w14:textId="77777777" w:rsidR="00FC1333" w:rsidRPr="00FC1333" w:rsidRDefault="00FC1333" w:rsidP="2FE4ACDA">
      <w:pPr>
        <w:ind w:left="0"/>
        <w:rPr>
          <w:rFonts w:ascii="Arial" w:hAnsi="Arial" w:cs="Arial"/>
          <w:color w:val="000000" w:themeColor="text2"/>
          <w:sz w:val="20"/>
          <w:szCs w:val="20"/>
        </w:rPr>
      </w:pPr>
      <w:r w:rsidRPr="2FE4ACDA">
        <w:rPr>
          <w:b/>
          <w:bCs/>
        </w:rPr>
        <w:t>R2.</w:t>
      </w:r>
      <w:r>
        <w:t xml:space="preserve"> Rekommenderad transfusionsgräns Hb mindre än 70 g/liter.</w:t>
      </w:r>
    </w:p>
    <w:p w14:paraId="650510DA"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3AB1A559" w14:textId="71AC9C54" w:rsidR="00FC1333" w:rsidRPr="00FC1333" w:rsidRDefault="00FC1333" w:rsidP="2FE4ACDA">
      <w:pPr>
        <w:spacing w:line="240" w:lineRule="auto"/>
        <w:ind w:left="0"/>
        <w:rPr>
          <w:rFonts w:ascii="Arial" w:hAnsi="Arial" w:cs="Arial"/>
          <w:color w:val="000000" w:themeColor="text2"/>
          <w:sz w:val="20"/>
          <w:szCs w:val="20"/>
        </w:rPr>
      </w:pPr>
      <w:r w:rsidRPr="54A90CCA">
        <w:rPr>
          <w:b/>
          <w:bCs/>
        </w:rPr>
        <w:t>R3.</w:t>
      </w:r>
      <w:r>
        <w:t xml:space="preserve"> Rekommenderad transfusionsgräns Hb mindre än 90 g/liter hos patient med känd kardiovaskulär sjukdom eller med signifikanta riskfaktorer där</w:t>
      </w:r>
      <w:r w:rsidR="0EA0915D">
        <w:t xml:space="preserve"> </w:t>
      </w:r>
      <w:r>
        <w:t xml:space="preserve">för (till exempel äldre patienter, patienter med hypertoni, diabetes </w:t>
      </w:r>
      <w:proofErr w:type="spellStart"/>
      <w:r>
        <w:t>mellitus</w:t>
      </w:r>
      <w:proofErr w:type="spellEnd"/>
      <w:r>
        <w:t xml:space="preserve"> eller perifer vaskulär sjukdom).</w:t>
      </w:r>
    </w:p>
    <w:p w14:paraId="2B30E71E" w14:textId="64CF0FC2" w:rsidR="00FC1333" w:rsidRPr="00FC1333" w:rsidRDefault="00FC1333" w:rsidP="2FE4ACDA">
      <w:pPr>
        <w:pStyle w:val="MellanrubrikVGR"/>
        <w:ind w:left="0"/>
        <w:rPr>
          <w:rFonts w:ascii="Arial" w:hAnsi="Arial" w:cs="Arial"/>
          <w:bCs/>
          <w:color w:val="000000" w:themeColor="text2"/>
          <w:sz w:val="20"/>
          <w:szCs w:val="20"/>
        </w:rPr>
      </w:pPr>
      <w:r>
        <w:t>Intensivvård</w:t>
      </w:r>
    </w:p>
    <w:p w14:paraId="602E9E90" w14:textId="125C1E5B" w:rsidR="00FC1333" w:rsidRPr="00FC1333" w:rsidRDefault="00FC1333" w:rsidP="2FE4ACDA">
      <w:pPr>
        <w:spacing w:line="240" w:lineRule="auto"/>
        <w:ind w:left="0"/>
        <w:rPr>
          <w:rFonts w:ascii="Arial" w:hAnsi="Arial" w:cs="Arial"/>
          <w:color w:val="000000" w:themeColor="text2"/>
          <w:sz w:val="20"/>
          <w:szCs w:val="20"/>
        </w:rPr>
      </w:pPr>
      <w:r w:rsidRPr="2FE4ACDA">
        <w:rPr>
          <w:b/>
          <w:bCs/>
        </w:rPr>
        <w:t xml:space="preserve">R4. </w:t>
      </w:r>
      <w:r>
        <w:t>Transfundera för att upprätthålla Hb mer än 70 g/liter; hos äldre och hos dem med känd kardiovaskulär sjukdom Hb mer än 90 g/liter.</w:t>
      </w:r>
    </w:p>
    <w:p w14:paraId="7785EE00" w14:textId="77777777" w:rsidR="00FC1333" w:rsidRPr="00FC1333" w:rsidRDefault="00FC1333" w:rsidP="2FE4ACDA">
      <w:pPr>
        <w:pStyle w:val="MellanrubrikVGR"/>
        <w:ind w:left="0"/>
        <w:rPr>
          <w:rFonts w:ascii="Arial" w:hAnsi="Arial" w:cs="Arial"/>
          <w:bCs/>
          <w:color w:val="000000" w:themeColor="text2"/>
          <w:sz w:val="20"/>
          <w:szCs w:val="20"/>
        </w:rPr>
      </w:pPr>
      <w:r>
        <w:t>Post-kemoterapi</w:t>
      </w:r>
    </w:p>
    <w:p w14:paraId="68086138"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5B88CE30" w14:textId="20B8C4D9" w:rsidR="00FC1333" w:rsidRPr="00FC1333" w:rsidRDefault="00FC1333" w:rsidP="2FE4ACDA">
      <w:pPr>
        <w:spacing w:line="240" w:lineRule="auto"/>
        <w:ind w:left="0"/>
        <w:rPr>
          <w:rFonts w:ascii="Arial" w:hAnsi="Arial" w:cs="Arial"/>
          <w:color w:val="000000" w:themeColor="text2"/>
          <w:sz w:val="20"/>
          <w:szCs w:val="20"/>
        </w:rPr>
      </w:pPr>
      <w:r w:rsidRPr="2FE4ACDA">
        <w:rPr>
          <w:b/>
          <w:bCs/>
        </w:rPr>
        <w:t>R5.</w:t>
      </w:r>
      <w:r>
        <w:t xml:space="preserve"> Det finns ingen evidens som vägledning för praxis. De flesta kliniker använder en transfusionsgräns på 80 eller 90 g/liter, för leukemipatienter ofta 70 g/liter.</w:t>
      </w:r>
    </w:p>
    <w:p w14:paraId="2A5ADBBC" w14:textId="77777777" w:rsidR="00FC1333" w:rsidRPr="00FC1333" w:rsidRDefault="00FC1333" w:rsidP="2FE4ACDA">
      <w:pPr>
        <w:pStyle w:val="MellanrubrikVGR"/>
        <w:ind w:left="0"/>
        <w:rPr>
          <w:rFonts w:ascii="Arial" w:hAnsi="Arial" w:cs="Arial"/>
          <w:bCs/>
          <w:color w:val="000000" w:themeColor="text2"/>
          <w:sz w:val="20"/>
          <w:szCs w:val="20"/>
        </w:rPr>
      </w:pPr>
      <w:r>
        <w:t>Radioterapi</w:t>
      </w:r>
    </w:p>
    <w:p w14:paraId="7AAC7C08"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461F3CB6" w14:textId="77777777" w:rsidR="00FC1333" w:rsidRPr="00FC1333" w:rsidRDefault="00FC1333" w:rsidP="2FE4ACDA">
      <w:pPr>
        <w:spacing w:line="240" w:lineRule="auto"/>
        <w:ind w:left="0"/>
        <w:rPr>
          <w:rFonts w:ascii="Arial" w:hAnsi="Arial" w:cs="Arial"/>
          <w:color w:val="000000" w:themeColor="text2"/>
          <w:sz w:val="20"/>
          <w:szCs w:val="20"/>
        </w:rPr>
      </w:pPr>
      <w:r w:rsidRPr="2FE4ACDA">
        <w:rPr>
          <w:b/>
          <w:bCs/>
        </w:rPr>
        <w:t>R6.</w:t>
      </w:r>
      <w:r>
        <w:t xml:space="preserve"> Det finns ringa evidens som vägledning för praxis. Transfusion för att bibehålla Hb mer än 100–110 g/liter föreslås.</w:t>
      </w:r>
    </w:p>
    <w:p w14:paraId="3768EB0F" w14:textId="77777777" w:rsidR="00FC1333" w:rsidRPr="00FC1333" w:rsidRDefault="00FC1333" w:rsidP="00FC1333">
      <w:pPr>
        <w:spacing w:after="0" w:line="240" w:lineRule="auto"/>
        <w:ind w:left="0" w:right="0"/>
        <w:rPr>
          <w:rFonts w:ascii="Arial" w:hAnsi="Arial" w:cs="Arial"/>
          <w:sz w:val="20"/>
          <w:szCs w:val="20"/>
        </w:rPr>
      </w:pPr>
    </w:p>
    <w:p w14:paraId="4F0E693A" w14:textId="77777777" w:rsidR="00FC1333" w:rsidRPr="00FC1333" w:rsidRDefault="00FC1333" w:rsidP="2FE4ACDA">
      <w:pPr>
        <w:pStyle w:val="MellanrubrikVGR"/>
        <w:ind w:left="0"/>
        <w:rPr>
          <w:rFonts w:ascii="Arial" w:hAnsi="Arial" w:cs="Arial"/>
          <w:bCs/>
          <w:color w:val="000000" w:themeColor="text2"/>
          <w:sz w:val="20"/>
          <w:szCs w:val="20"/>
        </w:rPr>
      </w:pPr>
      <w:r>
        <w:t>Kronisk anemi</w:t>
      </w:r>
    </w:p>
    <w:p w14:paraId="76E7BA8C"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35826C4A" w14:textId="40D60F69" w:rsidR="00FC1333" w:rsidRPr="00FC1333" w:rsidRDefault="00FC1333" w:rsidP="2FE4ACDA">
      <w:pPr>
        <w:spacing w:line="240" w:lineRule="auto"/>
        <w:ind w:left="0"/>
        <w:rPr>
          <w:rFonts w:ascii="Arial" w:hAnsi="Arial" w:cs="Arial"/>
          <w:color w:val="000000" w:themeColor="text2"/>
          <w:sz w:val="20"/>
          <w:szCs w:val="20"/>
        </w:rPr>
      </w:pPr>
      <w:r w:rsidRPr="2FE4ACDA">
        <w:rPr>
          <w:b/>
          <w:bCs/>
        </w:rPr>
        <w:t>R7.</w:t>
      </w:r>
      <w:r>
        <w:t xml:space="preserve"> Transfundera så att hemoglobinkoncentrationen är tillräcklig för att förhindra symtom på anemi. Många patienter med kronisk anemi är asymtomatiska med ett Hb på 80 g/liter.</w:t>
      </w:r>
    </w:p>
    <w:p w14:paraId="62192151" w14:textId="4EE22727" w:rsidR="00FC1333" w:rsidRPr="00FC1333" w:rsidRDefault="00FC1333" w:rsidP="2FE4ACDA">
      <w:pPr>
        <w:pStyle w:val="MellanrubrikVGR"/>
        <w:ind w:left="0"/>
        <w:rPr>
          <w:rFonts w:ascii="Arial" w:hAnsi="Arial" w:cs="Arial"/>
          <w:bCs/>
          <w:color w:val="000000" w:themeColor="text2"/>
          <w:sz w:val="20"/>
          <w:szCs w:val="20"/>
        </w:rPr>
      </w:pPr>
      <w:r>
        <w:t>Färskfryst plasma (FFP)</w:t>
      </w:r>
    </w:p>
    <w:p w14:paraId="7920086C" w14:textId="77EA2389" w:rsidR="00FC1333" w:rsidRPr="00FC1333" w:rsidRDefault="00FC1333" w:rsidP="2FE4ACDA">
      <w:pPr>
        <w:pStyle w:val="MellanrubrikVGR"/>
        <w:ind w:left="0"/>
      </w:pPr>
      <w:r>
        <w:t>Plasma ska ges</w:t>
      </w:r>
    </w:p>
    <w:p w14:paraId="5CF01BEE" w14:textId="77777777" w:rsidR="00FC1333" w:rsidRPr="00FC1333" w:rsidRDefault="00FC1333" w:rsidP="2FE4ACDA">
      <w:pPr>
        <w:spacing w:line="240" w:lineRule="auto"/>
        <w:ind w:left="0"/>
        <w:rPr>
          <w:rFonts w:ascii="Arial" w:hAnsi="Arial" w:cs="Arial"/>
          <w:color w:val="000000" w:themeColor="text2"/>
          <w:sz w:val="20"/>
          <w:szCs w:val="20"/>
        </w:rPr>
      </w:pPr>
      <w:r w:rsidRPr="2FE4ACDA">
        <w:rPr>
          <w:b/>
          <w:bCs/>
        </w:rPr>
        <w:t>F1</w:t>
      </w:r>
      <w:r>
        <w:t xml:space="preserve">. Vid stor eller förväntat stor blodförlust som en del av transfusionsbehandling (i proportion 1/1 till </w:t>
      </w:r>
      <w:proofErr w:type="spellStart"/>
      <w:r>
        <w:t>erytrocytkoncentrat</w:t>
      </w:r>
      <w:proofErr w:type="spellEnd"/>
      <w:r>
        <w:t xml:space="preserve">). </w:t>
      </w:r>
    </w:p>
    <w:p w14:paraId="026C6DAE" w14:textId="77777777" w:rsidR="00FC1333" w:rsidRPr="00FC1333" w:rsidRDefault="00FC1333" w:rsidP="2FE4ACDA">
      <w:pPr>
        <w:spacing w:line="240" w:lineRule="auto"/>
        <w:ind w:left="0"/>
        <w:rPr>
          <w:rFonts w:ascii="Arial" w:hAnsi="Arial" w:cs="Arial"/>
          <w:b/>
          <w:bCs/>
          <w:color w:val="000000" w:themeColor="text2"/>
          <w:sz w:val="20"/>
          <w:szCs w:val="20"/>
        </w:rPr>
      </w:pPr>
      <w:r>
        <w:t xml:space="preserve">Vid misstanke om fortsatt massiv blödning ordineras </w:t>
      </w:r>
      <w:proofErr w:type="spellStart"/>
      <w:r>
        <w:t>erytrocyter</w:t>
      </w:r>
      <w:proofErr w:type="spellEnd"/>
      <w:r>
        <w:t xml:space="preserve">, färskfryst plasma och trombocyter samtidigt i förhållande 4:4:1. Se lokala anvisningar för transfusionspaket. </w:t>
      </w:r>
      <w:r>
        <w:br/>
      </w:r>
    </w:p>
    <w:p w14:paraId="14B85520" w14:textId="77777777" w:rsidR="00FC1333" w:rsidRPr="00FC1333" w:rsidRDefault="00FC1333" w:rsidP="2FE4ACDA">
      <w:pPr>
        <w:spacing w:line="240" w:lineRule="auto"/>
        <w:ind w:left="0"/>
        <w:rPr>
          <w:rFonts w:ascii="Arial" w:hAnsi="Arial" w:cs="Arial"/>
          <w:color w:val="000000" w:themeColor="text2"/>
          <w:sz w:val="20"/>
          <w:szCs w:val="20"/>
        </w:rPr>
      </w:pPr>
      <w:r w:rsidRPr="2FE4ACDA">
        <w:rPr>
          <w:b/>
          <w:bCs/>
        </w:rPr>
        <w:t>F2</w:t>
      </w:r>
      <w:r>
        <w:t xml:space="preserve">. För volymsubstitution vid komplex </w:t>
      </w:r>
      <w:proofErr w:type="spellStart"/>
      <w:r>
        <w:t>koagulopati</w:t>
      </w:r>
      <w:proofErr w:type="spellEnd"/>
      <w:r>
        <w:t xml:space="preserve"> med blödning eller påtaglig blödningsrisk.</w:t>
      </w:r>
      <w:r>
        <w:br/>
      </w:r>
    </w:p>
    <w:p w14:paraId="7EA666D8" w14:textId="77777777" w:rsidR="00FC1333" w:rsidRPr="00FC1333" w:rsidRDefault="00FC1333" w:rsidP="2FE4ACDA">
      <w:pPr>
        <w:spacing w:line="240" w:lineRule="auto"/>
        <w:ind w:left="0"/>
        <w:rPr>
          <w:rFonts w:ascii="Arial" w:hAnsi="Arial" w:cs="Arial"/>
          <w:color w:val="000000" w:themeColor="text2"/>
          <w:sz w:val="20"/>
          <w:szCs w:val="20"/>
        </w:rPr>
      </w:pPr>
      <w:r w:rsidRPr="2FE4ACDA">
        <w:rPr>
          <w:b/>
          <w:bCs/>
        </w:rPr>
        <w:t>F3</w:t>
      </w:r>
      <w:r>
        <w:t>. Som ersättning av koagulationsfaktorer vid blödning när renframställda preparat saknas och diagnosen är oklar.</w:t>
      </w:r>
      <w:r>
        <w:br/>
      </w:r>
    </w:p>
    <w:p w14:paraId="50C4627B" w14:textId="77777777" w:rsidR="00FC1333" w:rsidRPr="00FC1333" w:rsidRDefault="00FC1333" w:rsidP="2FE4ACDA">
      <w:pPr>
        <w:ind w:left="0"/>
        <w:rPr>
          <w:rFonts w:ascii="Arial" w:hAnsi="Arial" w:cs="Arial"/>
          <w:color w:val="000000" w:themeColor="text2"/>
          <w:sz w:val="20"/>
          <w:szCs w:val="20"/>
        </w:rPr>
      </w:pPr>
      <w:r w:rsidRPr="2FE4ACDA">
        <w:rPr>
          <w:b/>
          <w:bCs/>
        </w:rPr>
        <w:t xml:space="preserve">F4. </w:t>
      </w:r>
      <w:r>
        <w:t>Vid misstänkt TTP (</w:t>
      </w:r>
      <w:proofErr w:type="spellStart"/>
      <w:r>
        <w:t>trombotisk</w:t>
      </w:r>
      <w:proofErr w:type="spellEnd"/>
      <w:r>
        <w:t xml:space="preserve"> </w:t>
      </w:r>
      <w:proofErr w:type="spellStart"/>
      <w:r>
        <w:t>trombocytopen</w:t>
      </w:r>
      <w:proofErr w:type="spellEnd"/>
      <w:r>
        <w:t xml:space="preserve"> </w:t>
      </w:r>
      <w:proofErr w:type="spellStart"/>
      <w:r>
        <w:t>purpura</w:t>
      </w:r>
      <w:proofErr w:type="spellEnd"/>
      <w:r>
        <w:t>).</w:t>
      </w:r>
    </w:p>
    <w:p w14:paraId="1902E5D2"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2E698946" w14:textId="7690C478" w:rsidR="00FC1333" w:rsidRPr="00FC1333" w:rsidRDefault="00FC1333" w:rsidP="2FE4ACDA">
      <w:pPr>
        <w:spacing w:line="240" w:lineRule="auto"/>
        <w:ind w:left="0"/>
        <w:rPr>
          <w:rFonts w:ascii="Arial" w:hAnsi="Arial" w:cs="Arial"/>
          <w:color w:val="000000" w:themeColor="text2"/>
          <w:sz w:val="20"/>
          <w:szCs w:val="20"/>
        </w:rPr>
      </w:pPr>
      <w:r w:rsidRPr="2FE4ACDA">
        <w:rPr>
          <w:b/>
          <w:bCs/>
        </w:rPr>
        <w:t>F5.</w:t>
      </w:r>
      <w:r>
        <w:t xml:space="preserve"> Som substitution vid terapeutisk </w:t>
      </w:r>
      <w:proofErr w:type="spellStart"/>
      <w:r>
        <w:t>plasmaferes</w:t>
      </w:r>
      <w:proofErr w:type="spellEnd"/>
      <w:r>
        <w:t xml:space="preserve"> vid vissa tillstånd.</w:t>
      </w:r>
    </w:p>
    <w:p w14:paraId="7C382C54" w14:textId="4B811C69" w:rsidR="00FC1333" w:rsidRPr="00FC1333" w:rsidRDefault="00FC1333" w:rsidP="2FE4ACDA">
      <w:pPr>
        <w:pStyle w:val="MellanrubrikVGR"/>
        <w:ind w:left="0"/>
        <w:rPr>
          <w:rFonts w:ascii="Arial" w:hAnsi="Arial" w:cs="Arial"/>
          <w:color w:val="000000" w:themeColor="text2"/>
          <w:sz w:val="20"/>
          <w:szCs w:val="20"/>
        </w:rPr>
      </w:pPr>
      <w:r>
        <w:t xml:space="preserve">Dosering vid faktorbrist </w:t>
      </w:r>
    </w:p>
    <w:p w14:paraId="120992F2" w14:textId="77777777" w:rsidR="00FC1333" w:rsidRPr="00FC1333" w:rsidRDefault="00FC1333" w:rsidP="2FE4ACDA">
      <w:pPr>
        <w:spacing w:line="240" w:lineRule="auto"/>
        <w:ind w:left="0"/>
        <w:rPr>
          <w:rFonts w:ascii="Arial" w:hAnsi="Arial" w:cs="Arial"/>
          <w:color w:val="000000" w:themeColor="text2"/>
          <w:sz w:val="20"/>
          <w:szCs w:val="20"/>
        </w:rPr>
      </w:pPr>
      <w:r>
        <w:t>Tillförsel av 1 ml plasma/kg kroppsvikt bedöms höja faktor- och hämmarnivån med en procentenhet vid normal omsättning och med 0,5–1 procentenhet vid ökad omsättning. Exempelvis: för att höja faktor XI från 40 % till 60 % hos en patient som väger 75 kg krävs 75 kg x 20 (60–40) ml plasma = 1 500 ml plasma.</w:t>
      </w:r>
    </w:p>
    <w:p w14:paraId="6ACB94C1" w14:textId="52EBE26E" w:rsidR="00FC1333" w:rsidRPr="00FC1333" w:rsidRDefault="00FC1333" w:rsidP="2FE4ACDA">
      <w:pPr>
        <w:ind w:left="0"/>
        <w:rPr>
          <w:rFonts w:ascii="Arial" w:hAnsi="Arial" w:cs="Arial"/>
          <w:color w:val="000000" w:themeColor="text2"/>
          <w:sz w:val="20"/>
          <w:szCs w:val="20"/>
        </w:rPr>
      </w:pPr>
      <w:r>
        <w:t>Om indikationen är faktorbrist måste halveringstiden styra transfusionsintervallet.</w:t>
      </w:r>
    </w:p>
    <w:p w14:paraId="41A84581" w14:textId="2DA5E658" w:rsidR="00FC1333" w:rsidRPr="00FC1333" w:rsidRDefault="00FC1333" w:rsidP="2FE4ACDA">
      <w:pPr>
        <w:pStyle w:val="MellanrubrikVGR"/>
        <w:ind w:left="0"/>
        <w:rPr>
          <w:rFonts w:ascii="Arial" w:hAnsi="Arial" w:cs="Arial"/>
          <w:bCs/>
          <w:color w:val="000000" w:themeColor="text2"/>
          <w:sz w:val="20"/>
          <w:szCs w:val="20"/>
        </w:rPr>
      </w:pPr>
      <w:r>
        <w:t>Plasma ska inte ges</w:t>
      </w:r>
    </w:p>
    <w:p w14:paraId="6F7F40AC" w14:textId="77777777" w:rsidR="00FC1333" w:rsidRPr="00FC1333" w:rsidRDefault="00FC1333" w:rsidP="2FE4ACDA">
      <w:pPr>
        <w:pStyle w:val="MellanrubrikVGR"/>
        <w:ind w:left="0"/>
        <w:rPr>
          <w:rFonts w:ascii="Arial" w:hAnsi="Arial" w:cs="Arial"/>
          <w:bCs/>
          <w:color w:val="000000" w:themeColor="text2"/>
          <w:sz w:val="20"/>
          <w:szCs w:val="20"/>
        </w:rPr>
      </w:pPr>
      <w:r>
        <w:t>Vid koagulationsrubbningar</w:t>
      </w:r>
    </w:p>
    <w:p w14:paraId="77A4D5DA" w14:textId="3DACF8D0" w:rsidR="00FC1333" w:rsidRPr="00FC1333" w:rsidRDefault="00FC1333" w:rsidP="2FE4ACDA">
      <w:pPr>
        <w:pStyle w:val="Liststycke"/>
        <w:numPr>
          <w:ilvl w:val="0"/>
          <w:numId w:val="23"/>
        </w:numPr>
        <w:tabs>
          <w:tab w:val="left" w:pos="720"/>
        </w:tabs>
        <w:spacing w:line="240" w:lineRule="auto"/>
        <w:rPr>
          <w:rFonts w:ascii="Arial" w:eastAsia="Calibri" w:hAnsi="Arial" w:cs="Arial"/>
          <w:color w:val="000000" w:themeColor="text2"/>
          <w:sz w:val="20"/>
          <w:szCs w:val="20"/>
          <w:lang w:eastAsia="en-US"/>
        </w:rPr>
      </w:pPr>
      <w:r>
        <w:t>För korrigering av patologiska laboratorieparametrar (APTT, PK(INR), TPK) utan blödning eller påtaglig blödningsrisk.</w:t>
      </w:r>
      <w:r>
        <w:br/>
      </w:r>
    </w:p>
    <w:p w14:paraId="4ECCF649" w14:textId="36FF224C" w:rsidR="00FC1333" w:rsidRPr="00FC1333" w:rsidRDefault="00FC1333" w:rsidP="2FE4ACDA">
      <w:pPr>
        <w:pStyle w:val="Liststycke"/>
        <w:numPr>
          <w:ilvl w:val="0"/>
          <w:numId w:val="23"/>
        </w:numPr>
        <w:tabs>
          <w:tab w:val="left" w:pos="720"/>
        </w:tabs>
        <w:spacing w:line="240" w:lineRule="auto"/>
        <w:rPr>
          <w:rFonts w:ascii="Arial" w:eastAsia="Calibri" w:hAnsi="Arial" w:cs="Arial"/>
          <w:color w:val="000000" w:themeColor="text2"/>
          <w:sz w:val="20"/>
          <w:szCs w:val="20"/>
          <w:lang w:eastAsia="en-US"/>
        </w:rPr>
      </w:pPr>
      <w:r>
        <w:t>Vid blödning orsakad av antivitamin K (</w:t>
      </w:r>
      <w:proofErr w:type="spellStart"/>
      <w:r>
        <w:t>warfin</w:t>
      </w:r>
      <w:proofErr w:type="spellEnd"/>
      <w:r>
        <w:t xml:space="preserve">) – ge K-vitamin och </w:t>
      </w:r>
      <w:proofErr w:type="spellStart"/>
      <w:r>
        <w:t>protrombinkomplexkoncentrat</w:t>
      </w:r>
      <w:proofErr w:type="spellEnd"/>
      <w:r>
        <w:t>. (K-vitamin ensamt ges vid mindre blödning).</w:t>
      </w:r>
      <w:r>
        <w:br/>
      </w:r>
    </w:p>
    <w:p w14:paraId="33C7D44C" w14:textId="694A6D94" w:rsidR="00FC1333" w:rsidRPr="00FC1333" w:rsidRDefault="00FC1333" w:rsidP="2FE4ACDA">
      <w:pPr>
        <w:pStyle w:val="Liststycke"/>
        <w:numPr>
          <w:ilvl w:val="0"/>
          <w:numId w:val="23"/>
        </w:numPr>
        <w:tabs>
          <w:tab w:val="left" w:pos="720"/>
        </w:tabs>
        <w:spacing w:line="240" w:lineRule="auto"/>
        <w:rPr>
          <w:rFonts w:ascii="Arial" w:eastAsia="Calibri" w:hAnsi="Arial" w:cs="Arial"/>
          <w:color w:val="000000" w:themeColor="text2"/>
          <w:sz w:val="20"/>
          <w:szCs w:val="20"/>
          <w:lang w:eastAsia="en-US"/>
        </w:rPr>
      </w:pPr>
      <w:r>
        <w:lastRenderedPageBreak/>
        <w:t xml:space="preserve">Vid blödning orsakad av acetylsalicylsyra, </w:t>
      </w:r>
      <w:proofErr w:type="spellStart"/>
      <w:r>
        <w:t>clopidogrel</w:t>
      </w:r>
      <w:proofErr w:type="spellEnd"/>
      <w:r>
        <w:t xml:space="preserve"> eller heparin – saknar specifik effekt.</w:t>
      </w:r>
      <w:r>
        <w:br/>
      </w:r>
    </w:p>
    <w:p w14:paraId="63393A6D" w14:textId="095527E4" w:rsidR="00FC1333" w:rsidRPr="00FC1333" w:rsidRDefault="00FC1333" w:rsidP="2FE4ACDA">
      <w:pPr>
        <w:pStyle w:val="Liststycke"/>
        <w:numPr>
          <w:ilvl w:val="0"/>
          <w:numId w:val="23"/>
        </w:numPr>
        <w:tabs>
          <w:tab w:val="left" w:pos="720"/>
        </w:tabs>
        <w:spacing w:line="240" w:lineRule="auto"/>
        <w:rPr>
          <w:rFonts w:ascii="Arial" w:eastAsia="Calibri" w:hAnsi="Arial" w:cs="Arial"/>
          <w:color w:val="000000" w:themeColor="text2"/>
          <w:sz w:val="20"/>
          <w:szCs w:val="20"/>
          <w:lang w:eastAsia="en-US"/>
        </w:rPr>
      </w:pPr>
      <w:r>
        <w:t xml:space="preserve">Vid blödning orsakad av nya perorala </w:t>
      </w:r>
      <w:proofErr w:type="spellStart"/>
      <w:r>
        <w:t>antikoagulantia</w:t>
      </w:r>
      <w:proofErr w:type="spellEnd"/>
      <w:r>
        <w:t xml:space="preserve"> (Faktor II- och X-hämmare) – vetenskapliga bevis för effekt saknas.</w:t>
      </w:r>
      <w:r>
        <w:br/>
      </w:r>
    </w:p>
    <w:p w14:paraId="3C491F9F" w14:textId="32249DA2" w:rsidR="00FC1333" w:rsidRPr="00FC1333" w:rsidRDefault="00FC1333" w:rsidP="2FE4ACDA">
      <w:pPr>
        <w:pStyle w:val="Liststycke"/>
        <w:numPr>
          <w:ilvl w:val="0"/>
          <w:numId w:val="23"/>
        </w:numPr>
        <w:tabs>
          <w:tab w:val="left" w:pos="720"/>
        </w:tabs>
        <w:spacing w:line="240" w:lineRule="auto"/>
        <w:rPr>
          <w:rFonts w:ascii="Arial" w:eastAsia="Calibri" w:hAnsi="Arial" w:cs="Arial"/>
          <w:color w:val="000000" w:themeColor="text2"/>
          <w:sz w:val="20"/>
          <w:szCs w:val="20"/>
          <w:lang w:eastAsia="en-US"/>
        </w:rPr>
      </w:pPr>
      <w:r>
        <w:t xml:space="preserve">Vid leversvikt med </w:t>
      </w:r>
      <w:proofErr w:type="spellStart"/>
      <w:r>
        <w:t>koagulopati</w:t>
      </w:r>
      <w:proofErr w:type="spellEnd"/>
      <w:r>
        <w:t xml:space="preserve"> utan blödning – vetenskapliga bevis saknas för effekt.</w:t>
      </w:r>
    </w:p>
    <w:p w14:paraId="59A80A2E" w14:textId="54628B98" w:rsidR="00FC1333" w:rsidRPr="00FC1333" w:rsidRDefault="00FC1333" w:rsidP="2FE4ACDA">
      <w:pPr>
        <w:pStyle w:val="MellanrubrikVGR"/>
        <w:spacing w:line="240" w:lineRule="auto"/>
        <w:ind w:left="0"/>
        <w:rPr>
          <w:rFonts w:ascii="Arial" w:hAnsi="Arial" w:cs="Arial"/>
          <w:bCs/>
          <w:color w:val="000000" w:themeColor="text2"/>
          <w:sz w:val="20"/>
          <w:szCs w:val="20"/>
        </w:rPr>
      </w:pPr>
      <w:r>
        <w:t>Plasma ska inte ges</w:t>
      </w:r>
    </w:p>
    <w:p w14:paraId="1E9B632D" w14:textId="77777777" w:rsidR="00FC1333" w:rsidRPr="00F4073E" w:rsidRDefault="00FC1333" w:rsidP="200EE24D">
      <w:pPr>
        <w:pStyle w:val="MellanrubrikVGR"/>
        <w:ind w:left="0"/>
        <w:rPr>
          <w:rFonts w:ascii="Arial" w:hAnsi="Arial" w:cs="Arial"/>
          <w:bCs/>
          <w:color w:val="000000" w:themeColor="text2"/>
          <w:sz w:val="20"/>
          <w:szCs w:val="20"/>
        </w:rPr>
      </w:pPr>
      <w:r w:rsidRPr="00F4073E">
        <w:t>Vid övriga tillstånd</w:t>
      </w:r>
    </w:p>
    <w:p w14:paraId="4A386E5E" w14:textId="77777777" w:rsidR="00FC1333" w:rsidRPr="00F4073E" w:rsidRDefault="00FC1333" w:rsidP="00F4073E">
      <w:pPr>
        <w:pStyle w:val="Liststycke"/>
        <w:rPr>
          <w:rFonts w:ascii="Arial" w:eastAsia="Calibri" w:hAnsi="Arial" w:cs="Arial"/>
          <w:color w:val="000000" w:themeColor="text2"/>
          <w:sz w:val="20"/>
          <w:szCs w:val="20"/>
          <w:lang w:eastAsia="en-US"/>
        </w:rPr>
      </w:pPr>
      <w:r w:rsidRPr="00F4073E">
        <w:t>För enbart volymsubstitution.</w:t>
      </w:r>
    </w:p>
    <w:p w14:paraId="71EEEEC0" w14:textId="77777777" w:rsidR="00FC1333" w:rsidRPr="00F4073E" w:rsidRDefault="00FC1333" w:rsidP="200EE24D">
      <w:pPr>
        <w:tabs>
          <w:tab w:val="left" w:pos="720"/>
        </w:tabs>
        <w:autoSpaceDE w:val="0"/>
        <w:autoSpaceDN w:val="0"/>
        <w:adjustRightInd w:val="0"/>
        <w:spacing w:after="0" w:line="240" w:lineRule="auto"/>
        <w:ind w:left="360" w:right="0"/>
        <w:contextualSpacing/>
        <w:rPr>
          <w:rFonts w:ascii="Arial" w:eastAsia="Calibri" w:hAnsi="Arial" w:cs="Arial"/>
          <w:color w:val="000000"/>
          <w:sz w:val="20"/>
          <w:szCs w:val="20"/>
          <w:lang w:eastAsia="en-US"/>
        </w:rPr>
      </w:pPr>
    </w:p>
    <w:p w14:paraId="0B23E49E" w14:textId="061A3BB7" w:rsidR="00FC1333" w:rsidRPr="00F4073E" w:rsidRDefault="00FC1333" w:rsidP="200EE24D">
      <w:pPr>
        <w:pStyle w:val="Liststycke"/>
        <w:tabs>
          <w:tab w:val="left" w:pos="720"/>
        </w:tabs>
        <w:spacing w:line="240" w:lineRule="auto"/>
        <w:rPr>
          <w:rFonts w:ascii="Arial" w:eastAsia="Calibri" w:hAnsi="Arial" w:cs="Arial"/>
          <w:color w:val="000000" w:themeColor="text2"/>
          <w:sz w:val="20"/>
          <w:szCs w:val="20"/>
          <w:lang w:eastAsia="en-US"/>
        </w:rPr>
      </w:pPr>
      <w:r w:rsidRPr="00F4073E">
        <w:t>Efter tidigare anafylaktisk transfusionsreaktion och konstaterad kontraindikation.</w:t>
      </w:r>
    </w:p>
    <w:p w14:paraId="764A3D73" w14:textId="565747E1" w:rsidR="00FC1333" w:rsidRPr="00F4073E" w:rsidRDefault="00FC1333" w:rsidP="605CEB30">
      <w:pPr>
        <w:pStyle w:val="Liststycke"/>
        <w:numPr>
          <w:ilvl w:val="0"/>
          <w:numId w:val="0"/>
        </w:numPr>
        <w:tabs>
          <w:tab w:val="left" w:pos="720"/>
        </w:tabs>
        <w:spacing w:line="240" w:lineRule="auto"/>
        <w:ind w:left="717"/>
        <w:rPr>
          <w:rFonts w:ascii="Arial" w:eastAsia="Calibri" w:hAnsi="Arial" w:cs="Arial"/>
          <w:color w:val="000000" w:themeColor="text2"/>
          <w:sz w:val="20"/>
          <w:szCs w:val="20"/>
          <w:lang w:eastAsia="en-US"/>
        </w:rPr>
      </w:pPr>
      <w:r w:rsidRPr="00F4073E">
        <w:br/>
      </w:r>
    </w:p>
    <w:p w14:paraId="20EFE937" w14:textId="2A1ED406" w:rsidR="00FC1333" w:rsidRPr="00F4073E" w:rsidRDefault="562F929A" w:rsidP="200EE24D">
      <w:pPr>
        <w:pStyle w:val="Liststycke"/>
        <w:tabs>
          <w:tab w:val="left" w:pos="720"/>
        </w:tabs>
        <w:spacing w:line="240" w:lineRule="auto"/>
        <w:rPr>
          <w:rFonts w:ascii="Arial" w:eastAsia="Calibri" w:hAnsi="Arial" w:cs="Arial"/>
          <w:color w:val="000000" w:themeColor="text2"/>
          <w:sz w:val="20"/>
          <w:szCs w:val="20"/>
          <w:lang w:eastAsia="en-US"/>
        </w:rPr>
      </w:pPr>
      <w:r w:rsidRPr="00F4073E">
        <w:t xml:space="preserve">Vid känd </w:t>
      </w:r>
      <w:proofErr w:type="spellStart"/>
      <w:r w:rsidRPr="00F4073E">
        <w:t>IgA</w:t>
      </w:r>
      <w:proofErr w:type="spellEnd"/>
      <w:r w:rsidRPr="00F4073E">
        <w:t>-brist och påvisade anti-</w:t>
      </w:r>
      <w:proofErr w:type="spellStart"/>
      <w:r w:rsidRPr="00F4073E">
        <w:t>IgA</w:t>
      </w:r>
      <w:proofErr w:type="spellEnd"/>
      <w:r w:rsidRPr="00F4073E">
        <w:t>-antikroppar</w:t>
      </w:r>
      <w:r w:rsidR="0039554D">
        <w:t xml:space="preserve">, </w:t>
      </w:r>
      <w:r w:rsidR="00FC1333" w:rsidRPr="00F4073E">
        <w:t>kontakta blodcentralen om behov finns.</w:t>
      </w:r>
    </w:p>
    <w:p w14:paraId="2ED2952F" w14:textId="77777777" w:rsidR="00FC1333" w:rsidRPr="00FC1333" w:rsidRDefault="00FC1333" w:rsidP="00FC1333">
      <w:pPr>
        <w:spacing w:after="160" w:line="259" w:lineRule="auto"/>
        <w:ind w:left="720" w:right="0"/>
        <w:contextualSpacing/>
        <w:rPr>
          <w:rFonts w:ascii="Arial" w:eastAsia="Calibri" w:hAnsi="Arial" w:cs="Arial"/>
          <w:color w:val="000000"/>
          <w:sz w:val="20"/>
          <w:szCs w:val="20"/>
          <w:lang w:eastAsia="en-US"/>
        </w:rPr>
      </w:pPr>
    </w:p>
    <w:p w14:paraId="5FB1FA5F" w14:textId="77777777" w:rsidR="00FC1333" w:rsidRPr="00FC1333" w:rsidRDefault="00FC1333" w:rsidP="2FE4ACDA">
      <w:pPr>
        <w:pStyle w:val="Liststycke"/>
        <w:numPr>
          <w:ilvl w:val="0"/>
          <w:numId w:val="1"/>
        </w:numPr>
        <w:tabs>
          <w:tab w:val="left" w:pos="720"/>
        </w:tabs>
        <w:spacing w:line="240" w:lineRule="auto"/>
        <w:rPr>
          <w:rFonts w:ascii="Arial" w:eastAsia="Calibri" w:hAnsi="Arial" w:cs="Arial"/>
          <w:color w:val="000000" w:themeColor="text2"/>
          <w:sz w:val="20"/>
          <w:szCs w:val="20"/>
          <w:lang w:eastAsia="en-US"/>
        </w:rPr>
      </w:pPr>
      <w:r>
        <w:t xml:space="preserve">För behandling av </w:t>
      </w:r>
      <w:proofErr w:type="spellStart"/>
      <w:r>
        <w:t>hypoalbuminemi</w:t>
      </w:r>
      <w:proofErr w:type="spellEnd"/>
      <w:r>
        <w:t>.</w:t>
      </w:r>
    </w:p>
    <w:p w14:paraId="49DF0798" w14:textId="77777777" w:rsidR="00FC1333" w:rsidRPr="00FC1333" w:rsidRDefault="00FC1333" w:rsidP="00FC1333">
      <w:pPr>
        <w:spacing w:after="160" w:line="259" w:lineRule="auto"/>
        <w:ind w:left="720" w:right="0"/>
        <w:contextualSpacing/>
        <w:rPr>
          <w:rFonts w:ascii="Arial" w:eastAsia="Calibri" w:hAnsi="Arial" w:cs="Arial"/>
          <w:color w:val="000000"/>
          <w:sz w:val="20"/>
          <w:szCs w:val="20"/>
          <w:lang w:eastAsia="en-US"/>
        </w:rPr>
      </w:pPr>
    </w:p>
    <w:p w14:paraId="253BE9F2" w14:textId="6F6F06E3" w:rsidR="00FC1333" w:rsidRPr="00FC1333" w:rsidRDefault="00FC1333" w:rsidP="2FE4ACDA">
      <w:pPr>
        <w:pStyle w:val="Liststycke"/>
        <w:numPr>
          <w:ilvl w:val="0"/>
          <w:numId w:val="1"/>
        </w:numPr>
        <w:tabs>
          <w:tab w:val="left" w:pos="720"/>
        </w:tabs>
        <w:rPr>
          <w:rFonts w:ascii="Arial" w:eastAsia="Calibri" w:hAnsi="Arial" w:cs="Arial"/>
          <w:color w:val="000000" w:themeColor="text2"/>
          <w:sz w:val="20"/>
          <w:szCs w:val="20"/>
          <w:lang w:eastAsia="en-US"/>
        </w:rPr>
      </w:pPr>
      <w:r>
        <w:t>Som del av parenteral nutrition.</w:t>
      </w:r>
    </w:p>
    <w:p w14:paraId="53E326CB" w14:textId="77777777" w:rsidR="00FC1333" w:rsidRPr="00FC1333" w:rsidRDefault="00FC1333" w:rsidP="2FE4ACDA">
      <w:pPr>
        <w:pStyle w:val="MellanrubrikVGR"/>
        <w:ind w:left="0"/>
        <w:rPr>
          <w:rFonts w:ascii="Arial" w:hAnsi="Arial" w:cs="Arial"/>
          <w:bCs/>
          <w:color w:val="000000" w:themeColor="text2"/>
          <w:sz w:val="20"/>
          <w:szCs w:val="20"/>
        </w:rPr>
      </w:pPr>
      <w:r>
        <w:t>Trombocytkoncentrat</w:t>
      </w:r>
    </w:p>
    <w:p w14:paraId="4C542ABD"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7C357BDC" w14:textId="306D3101" w:rsidR="00FC1333" w:rsidRPr="00FC1333" w:rsidRDefault="00FC1333" w:rsidP="2FE4ACDA">
      <w:pPr>
        <w:spacing w:line="240" w:lineRule="auto"/>
        <w:ind w:left="0"/>
        <w:rPr>
          <w:rFonts w:ascii="Arial" w:hAnsi="Arial" w:cs="Arial"/>
          <w:color w:val="000000" w:themeColor="text2"/>
          <w:sz w:val="20"/>
          <w:szCs w:val="20"/>
        </w:rPr>
      </w:pPr>
      <w:r w:rsidRPr="2FE4ACDA">
        <w:rPr>
          <w:b/>
          <w:bCs/>
        </w:rPr>
        <w:t>Dosering</w:t>
      </w:r>
      <w:r>
        <w:t xml:space="preserve"> </w:t>
      </w:r>
      <w:r>
        <w:br/>
        <w:t>15 ml/kg kroppsvikt för barn under 20 kg. Vuxna och äldre barn ges trombocyter i form av en terapeutisk dos (= en enhet trombocyter oavsett framställningssätt).</w:t>
      </w:r>
    </w:p>
    <w:p w14:paraId="2ADD9C30" w14:textId="77777777" w:rsidR="00FC1333" w:rsidRPr="00FC1333" w:rsidRDefault="00FC1333" w:rsidP="2FE4ACDA">
      <w:pPr>
        <w:pStyle w:val="MellanrubrikVGR"/>
        <w:ind w:left="0"/>
        <w:rPr>
          <w:rFonts w:ascii="Arial" w:hAnsi="Arial" w:cs="Arial"/>
          <w:bCs/>
          <w:color w:val="000000" w:themeColor="text2"/>
          <w:sz w:val="20"/>
          <w:szCs w:val="20"/>
        </w:rPr>
      </w:pPr>
      <w:r>
        <w:t>Benmärgssvikt</w:t>
      </w:r>
    </w:p>
    <w:p w14:paraId="12BD9B42"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0EF9E0D6" w14:textId="77777777" w:rsidR="00FC1333" w:rsidRPr="00FC1333" w:rsidRDefault="00FC1333" w:rsidP="2FE4ACDA">
      <w:pPr>
        <w:spacing w:line="240" w:lineRule="auto"/>
        <w:ind w:left="0"/>
        <w:rPr>
          <w:rFonts w:ascii="Arial" w:hAnsi="Arial" w:cs="Arial"/>
          <w:color w:val="000000" w:themeColor="text2"/>
          <w:sz w:val="20"/>
          <w:szCs w:val="20"/>
        </w:rPr>
      </w:pPr>
      <w:r w:rsidRPr="2A8C1F5F">
        <w:rPr>
          <w:b/>
          <w:bCs/>
        </w:rPr>
        <w:t>P1.</w:t>
      </w:r>
      <w:r>
        <w:t xml:space="preserve"> För att förhindra spontan blödning hos patienter med reversibel benmärgssvikt när TPK är mindre än 10 x 10</w:t>
      </w:r>
      <w:r w:rsidRPr="2A8C1F5F">
        <w:rPr>
          <w:vertAlign w:val="superscript"/>
        </w:rPr>
        <w:t>9</w:t>
      </w:r>
      <w:r>
        <w:t xml:space="preserve">/liter. Vid kronisk stabil trombocytopeni är profylaktisk trombocyttransfusion inte indicerad. </w:t>
      </w:r>
    </w:p>
    <w:p w14:paraId="23332B84"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7D191C26" w14:textId="77777777" w:rsidR="00FC1333" w:rsidRPr="00FC1333" w:rsidRDefault="00FC1333" w:rsidP="2FE4ACDA">
      <w:pPr>
        <w:spacing w:line="240" w:lineRule="auto"/>
        <w:ind w:left="0"/>
        <w:rPr>
          <w:rFonts w:ascii="Arial" w:hAnsi="Arial" w:cs="Arial"/>
          <w:color w:val="000000" w:themeColor="text2"/>
          <w:sz w:val="20"/>
          <w:szCs w:val="20"/>
        </w:rPr>
      </w:pPr>
      <w:r w:rsidRPr="2A8C1F5F">
        <w:rPr>
          <w:b/>
          <w:bCs/>
        </w:rPr>
        <w:t>P2.</w:t>
      </w:r>
      <w:r>
        <w:t xml:space="preserve"> För att förhindra spontan blödning när TPK är mindre än 20 x 10</w:t>
      </w:r>
      <w:r w:rsidRPr="2A8C1F5F">
        <w:rPr>
          <w:vertAlign w:val="superscript"/>
        </w:rPr>
        <w:t>9</w:t>
      </w:r>
      <w:r>
        <w:t xml:space="preserve">/liter vid samtidig förekomst av ytterligare riskfaktorer för blödning såsom sepsis eller </w:t>
      </w:r>
      <w:proofErr w:type="spellStart"/>
      <w:r>
        <w:t>hemostatiska</w:t>
      </w:r>
      <w:proofErr w:type="spellEnd"/>
      <w:r>
        <w:t xml:space="preserve"> avvikelser.</w:t>
      </w:r>
    </w:p>
    <w:p w14:paraId="4759DCA8"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5D7306CD" w14:textId="77777777" w:rsidR="00FC1333" w:rsidRPr="00FC1333" w:rsidRDefault="00FC1333" w:rsidP="2FE4ACDA">
      <w:pPr>
        <w:ind w:left="0"/>
        <w:rPr>
          <w:rFonts w:ascii="Arial" w:hAnsi="Arial" w:cs="Arial"/>
          <w:color w:val="000000" w:themeColor="text2"/>
          <w:sz w:val="20"/>
          <w:szCs w:val="20"/>
        </w:rPr>
      </w:pPr>
      <w:r w:rsidRPr="2FE4ACDA">
        <w:rPr>
          <w:b/>
          <w:bCs/>
        </w:rPr>
        <w:t>P3.</w:t>
      </w:r>
      <w:r>
        <w:t xml:space="preserve"> För att förhindra blödning vid </w:t>
      </w:r>
      <w:proofErr w:type="spellStart"/>
      <w:r>
        <w:t>invasiva</w:t>
      </w:r>
      <w:proofErr w:type="spellEnd"/>
      <w:r>
        <w:t xml:space="preserve"> procedurer. TPK ska höjas till: </w:t>
      </w:r>
    </w:p>
    <w:p w14:paraId="20D8C449" w14:textId="77777777" w:rsidR="00FC1333" w:rsidRPr="00FC1333" w:rsidRDefault="00FC1333" w:rsidP="2FE4ACDA">
      <w:pPr>
        <w:spacing w:line="240" w:lineRule="auto"/>
        <w:ind w:left="0"/>
        <w:rPr>
          <w:rFonts w:ascii="Arial" w:hAnsi="Arial" w:cs="Arial"/>
          <w:color w:val="000000" w:themeColor="text2"/>
          <w:sz w:val="20"/>
          <w:szCs w:val="20"/>
        </w:rPr>
      </w:pPr>
      <w:r>
        <w:t>mer än 50 x 10</w:t>
      </w:r>
      <w:r w:rsidRPr="2A8C1F5F">
        <w:rPr>
          <w:vertAlign w:val="superscript"/>
        </w:rPr>
        <w:t>9</w:t>
      </w:r>
      <w:r>
        <w:t xml:space="preserve">/liter före lumbalpunktion, inläggande av intravaskulära katetrar, </w:t>
      </w:r>
      <w:proofErr w:type="spellStart"/>
      <w:r>
        <w:t>transbronkiell</w:t>
      </w:r>
      <w:proofErr w:type="spellEnd"/>
      <w:r>
        <w:t xml:space="preserve"> biopsi, leverbiopsi och laparotomi </w:t>
      </w:r>
    </w:p>
    <w:p w14:paraId="36EEE7E2" w14:textId="77777777" w:rsidR="00FC1333" w:rsidRPr="00FC1333" w:rsidRDefault="00FC1333" w:rsidP="2FE4ACDA">
      <w:pPr>
        <w:ind w:left="0"/>
        <w:rPr>
          <w:rFonts w:ascii="Arial" w:hAnsi="Arial" w:cs="Arial"/>
          <w:color w:val="000000" w:themeColor="text2"/>
          <w:sz w:val="20"/>
          <w:szCs w:val="20"/>
        </w:rPr>
      </w:pPr>
      <w:r>
        <w:t>mer än 80 x 10</w:t>
      </w:r>
      <w:r w:rsidRPr="2A8C1F5F">
        <w:rPr>
          <w:vertAlign w:val="superscript"/>
        </w:rPr>
        <w:t>9</w:t>
      </w:r>
      <w:r>
        <w:t xml:space="preserve">/liter före epiduralanestesi </w:t>
      </w:r>
    </w:p>
    <w:p w14:paraId="064287E5" w14:textId="77777777" w:rsidR="00FC1333" w:rsidRPr="00FC1333" w:rsidRDefault="00FC1333" w:rsidP="2FE4ACDA">
      <w:pPr>
        <w:ind w:left="0"/>
        <w:rPr>
          <w:rFonts w:ascii="Arial" w:hAnsi="Arial" w:cs="Arial"/>
          <w:color w:val="000000" w:themeColor="text2"/>
          <w:sz w:val="20"/>
          <w:szCs w:val="20"/>
        </w:rPr>
      </w:pPr>
      <w:r>
        <w:lastRenderedPageBreak/>
        <w:t>mer än 100 x 10</w:t>
      </w:r>
      <w:r w:rsidRPr="2A8C1F5F">
        <w:rPr>
          <w:vertAlign w:val="superscript"/>
        </w:rPr>
        <w:t>9</w:t>
      </w:r>
      <w:r>
        <w:t>/liter före kirurgi på kritiska lokaler såsom hjärna och ögon</w:t>
      </w:r>
    </w:p>
    <w:p w14:paraId="416417E9"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Cs w:val="20"/>
        </w:rPr>
      </w:pPr>
    </w:p>
    <w:p w14:paraId="37F61691" w14:textId="77777777" w:rsidR="00FC1333" w:rsidRPr="00FC1333" w:rsidRDefault="00FC1333" w:rsidP="2FE4ACDA">
      <w:pPr>
        <w:pStyle w:val="MellanrubrikVGR"/>
        <w:ind w:left="0"/>
        <w:rPr>
          <w:rFonts w:ascii="Arial" w:hAnsi="Arial" w:cs="Arial"/>
          <w:bCs/>
          <w:color w:val="000000" w:themeColor="text2"/>
          <w:sz w:val="20"/>
          <w:szCs w:val="20"/>
        </w:rPr>
      </w:pPr>
      <w:r>
        <w:t>Intensivvård/kirurgi</w:t>
      </w:r>
    </w:p>
    <w:p w14:paraId="76CC991B"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221A983F" w14:textId="77777777" w:rsidR="00FC1333" w:rsidRPr="00FC1333" w:rsidRDefault="00FC1333" w:rsidP="2FE4ACDA">
      <w:pPr>
        <w:ind w:left="0"/>
        <w:rPr>
          <w:rFonts w:ascii="Arial" w:hAnsi="Arial" w:cs="Arial"/>
          <w:b/>
          <w:bCs/>
          <w:color w:val="000000" w:themeColor="text2"/>
          <w:sz w:val="20"/>
          <w:szCs w:val="20"/>
        </w:rPr>
      </w:pPr>
      <w:r w:rsidRPr="2FE4ACDA">
        <w:rPr>
          <w:b/>
          <w:bCs/>
        </w:rPr>
        <w:t xml:space="preserve">P4. Massiv blodtransfusion. </w:t>
      </w:r>
    </w:p>
    <w:p w14:paraId="714F710A" w14:textId="77777777" w:rsidR="00FC1333" w:rsidRPr="00FC1333" w:rsidRDefault="00FC1333" w:rsidP="2FE4ACDA">
      <w:pPr>
        <w:spacing w:line="240" w:lineRule="auto"/>
        <w:ind w:left="0"/>
        <w:rPr>
          <w:rFonts w:ascii="Arial" w:hAnsi="Arial" w:cs="Arial"/>
          <w:color w:val="000000" w:themeColor="text2"/>
          <w:sz w:val="20"/>
          <w:szCs w:val="20"/>
        </w:rPr>
      </w:pPr>
      <w:r>
        <w:t xml:space="preserve">Vid misstanke om fortsatt massiv blödning ordineras </w:t>
      </w:r>
      <w:proofErr w:type="spellStart"/>
      <w:r>
        <w:t>erytrocyter</w:t>
      </w:r>
      <w:proofErr w:type="spellEnd"/>
      <w:r>
        <w:t>, färskfryst plasma och trombocyter samtidigt. Se lokala anvisningar för transfusionspaket!</w:t>
      </w:r>
    </w:p>
    <w:p w14:paraId="0FB089C4" w14:textId="77777777" w:rsidR="00FC1333" w:rsidRPr="00FC1333" w:rsidRDefault="00FC1333" w:rsidP="2FE4ACDA">
      <w:pPr>
        <w:spacing w:line="240" w:lineRule="auto"/>
        <w:ind w:left="0"/>
        <w:rPr>
          <w:rFonts w:ascii="Arial" w:hAnsi="Arial" w:cs="Arial"/>
          <w:color w:val="000000" w:themeColor="text2"/>
          <w:sz w:val="20"/>
          <w:szCs w:val="20"/>
        </w:rPr>
      </w:pPr>
      <w:r>
        <w:br/>
        <w:t>Sträva efter TPK mer än 75 x 10</w:t>
      </w:r>
      <w:r w:rsidRPr="2A8C1F5F">
        <w:rPr>
          <w:vertAlign w:val="superscript"/>
        </w:rPr>
        <w:t>9</w:t>
      </w:r>
      <w:r>
        <w:t>/liter. Vid multipla skador, ögon- eller CNS-trauma eftersträvas TPK mer än 100 x 10</w:t>
      </w:r>
      <w:r w:rsidRPr="2A8C1F5F">
        <w:rPr>
          <w:vertAlign w:val="superscript"/>
        </w:rPr>
        <w:t>9</w:t>
      </w:r>
      <w:r>
        <w:t>/liter.</w:t>
      </w:r>
      <w:r>
        <w:br/>
      </w:r>
    </w:p>
    <w:p w14:paraId="02A1E4DF" w14:textId="77777777" w:rsidR="00FC1333" w:rsidRPr="00FC1333" w:rsidRDefault="00FC1333" w:rsidP="2FE4ACDA">
      <w:pPr>
        <w:spacing w:line="240" w:lineRule="auto"/>
        <w:ind w:left="0"/>
        <w:rPr>
          <w:rFonts w:ascii="Arial" w:hAnsi="Arial" w:cs="Arial"/>
          <w:color w:val="000000" w:themeColor="text2"/>
          <w:sz w:val="20"/>
          <w:szCs w:val="20"/>
        </w:rPr>
      </w:pPr>
      <w:r w:rsidRPr="2FE4ACDA">
        <w:rPr>
          <w:b/>
          <w:bCs/>
        </w:rPr>
        <w:t>P5. Förvärvad trombocytdysfunktion</w:t>
      </w:r>
      <w:r>
        <w:t xml:space="preserve"> och kirurgiskt ej åtgärdbar blödning, till exempel efter </w:t>
      </w:r>
      <w:proofErr w:type="spellStart"/>
      <w:r>
        <w:t>kardiopulmonär</w:t>
      </w:r>
      <w:proofErr w:type="spellEnd"/>
      <w:r>
        <w:t xml:space="preserve"> bypass, användning av potenta trombocytaggregationshämmande medel såsom </w:t>
      </w:r>
      <w:proofErr w:type="spellStart"/>
      <w:r>
        <w:t>clopidogrel</w:t>
      </w:r>
      <w:proofErr w:type="spellEnd"/>
      <w:r>
        <w:t>.</w:t>
      </w:r>
      <w:r>
        <w:br/>
      </w:r>
      <w:r>
        <w:br/>
      </w:r>
      <w:r w:rsidRPr="2FE4ACDA">
        <w:rPr>
          <w:b/>
          <w:bCs/>
        </w:rPr>
        <w:t>P6.</w:t>
      </w:r>
      <w:r>
        <w:t xml:space="preserve"> Akut disseminerad intravaskulär koagulation (DIC) vid samtidig blödning och allvarlig trombocytopeni.</w:t>
      </w:r>
    </w:p>
    <w:p w14:paraId="17D5E920"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04B79CB1" w14:textId="3393722C" w:rsidR="00FC1333" w:rsidRPr="00FC1333" w:rsidRDefault="00FC1333" w:rsidP="2FE4ACDA">
      <w:pPr>
        <w:spacing w:line="240" w:lineRule="auto"/>
        <w:ind w:left="0"/>
        <w:rPr>
          <w:rFonts w:ascii="Arial" w:hAnsi="Arial" w:cs="Arial"/>
          <w:color w:val="000000" w:themeColor="text2"/>
          <w:sz w:val="20"/>
          <w:szCs w:val="20"/>
        </w:rPr>
      </w:pPr>
      <w:r w:rsidRPr="2FE4ACDA">
        <w:rPr>
          <w:b/>
          <w:bCs/>
        </w:rPr>
        <w:t xml:space="preserve">P7. </w:t>
      </w:r>
      <w:r>
        <w:t xml:space="preserve">Medfödda trombocytdysfunktioner till exempel </w:t>
      </w:r>
      <w:proofErr w:type="spellStart"/>
      <w:r>
        <w:t>Glanzmanns</w:t>
      </w:r>
      <w:proofErr w:type="spellEnd"/>
      <w:r>
        <w:t xml:space="preserve"> </w:t>
      </w:r>
      <w:proofErr w:type="spellStart"/>
      <w:r>
        <w:t>thrombasteni</w:t>
      </w:r>
      <w:proofErr w:type="spellEnd"/>
      <w:r>
        <w:t xml:space="preserve"> med blödning eller inför kirurgi.</w:t>
      </w:r>
    </w:p>
    <w:p w14:paraId="1302EEFF" w14:textId="77777777" w:rsidR="00FC1333" w:rsidRPr="00FC1333" w:rsidRDefault="00FC1333" w:rsidP="2FE4ACDA">
      <w:pPr>
        <w:pStyle w:val="MellanrubrikVGR"/>
        <w:ind w:left="0"/>
        <w:rPr>
          <w:rFonts w:ascii="Arial" w:hAnsi="Arial" w:cs="Arial"/>
          <w:bCs/>
          <w:color w:val="000000" w:themeColor="text2"/>
          <w:sz w:val="20"/>
          <w:szCs w:val="20"/>
        </w:rPr>
      </w:pPr>
      <w:r>
        <w:t>Immunologisk trombocytopeni</w:t>
      </w:r>
    </w:p>
    <w:p w14:paraId="7297650E" w14:textId="77777777" w:rsidR="00FC1333" w:rsidRPr="00FC1333" w:rsidRDefault="00FC1333" w:rsidP="00FC1333">
      <w:pPr>
        <w:autoSpaceDE w:val="0"/>
        <w:autoSpaceDN w:val="0"/>
        <w:adjustRightInd w:val="0"/>
        <w:spacing w:after="0" w:line="240" w:lineRule="auto"/>
        <w:ind w:left="0" w:right="0"/>
        <w:rPr>
          <w:rFonts w:ascii="Arial" w:hAnsi="Arial" w:cs="Arial"/>
          <w:b/>
          <w:bCs/>
          <w:color w:val="000000"/>
          <w:sz w:val="20"/>
          <w:szCs w:val="20"/>
        </w:rPr>
      </w:pPr>
    </w:p>
    <w:p w14:paraId="350CC1AC" w14:textId="77777777" w:rsidR="00FC1333" w:rsidRPr="00FC1333" w:rsidRDefault="00FC1333" w:rsidP="2FE4ACDA">
      <w:pPr>
        <w:spacing w:line="240" w:lineRule="auto"/>
        <w:ind w:left="0"/>
        <w:rPr>
          <w:rFonts w:ascii="Arial" w:hAnsi="Arial" w:cs="Arial"/>
          <w:color w:val="000000" w:themeColor="text2"/>
          <w:sz w:val="20"/>
          <w:szCs w:val="20"/>
        </w:rPr>
      </w:pPr>
      <w:r w:rsidRPr="2A8C1F5F">
        <w:rPr>
          <w:b/>
          <w:bCs/>
        </w:rPr>
        <w:t>P8</w:t>
      </w:r>
      <w:r>
        <w:t>. Autoimmun trombocytopeni vid samtidig betydande blödning eller inför kirurgi. TPK mer än eller lika med 80 x 10</w:t>
      </w:r>
      <w:r w:rsidRPr="2A8C1F5F">
        <w:rPr>
          <w:vertAlign w:val="superscript"/>
        </w:rPr>
        <w:t>9</w:t>
      </w:r>
      <w:r>
        <w:t>/liter vid stor kirurgi och TPK mer än 70 x 10</w:t>
      </w:r>
      <w:r w:rsidRPr="2A8C1F5F">
        <w:rPr>
          <w:vertAlign w:val="superscript"/>
        </w:rPr>
        <w:t>9</w:t>
      </w:r>
      <w:r>
        <w:t>/liter för obstetrisk regional anestesi.</w:t>
      </w:r>
    </w:p>
    <w:p w14:paraId="456EB96D"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43CC718D" w14:textId="77777777" w:rsidR="00FC1333" w:rsidRPr="00FC1333" w:rsidRDefault="00FC1333" w:rsidP="2FE4ACDA">
      <w:pPr>
        <w:ind w:left="0"/>
        <w:rPr>
          <w:rFonts w:ascii="Arial" w:hAnsi="Arial" w:cs="Arial"/>
          <w:color w:val="000000" w:themeColor="text2"/>
          <w:sz w:val="20"/>
          <w:szCs w:val="20"/>
        </w:rPr>
      </w:pPr>
      <w:r w:rsidRPr="2FE4ACDA">
        <w:rPr>
          <w:b/>
          <w:bCs/>
        </w:rPr>
        <w:t xml:space="preserve">P9. </w:t>
      </w:r>
      <w:proofErr w:type="spellStart"/>
      <w:r>
        <w:t>Posttransfusionspurpura</w:t>
      </w:r>
      <w:proofErr w:type="spellEnd"/>
      <w:r>
        <w:t xml:space="preserve"> vid samtidig betydande blödning.</w:t>
      </w:r>
    </w:p>
    <w:p w14:paraId="152CF7BB" w14:textId="77777777" w:rsidR="00FC1333" w:rsidRPr="00FC1333" w:rsidRDefault="00FC1333" w:rsidP="00FC1333">
      <w:pPr>
        <w:autoSpaceDE w:val="0"/>
        <w:autoSpaceDN w:val="0"/>
        <w:adjustRightInd w:val="0"/>
        <w:spacing w:after="0" w:line="240" w:lineRule="auto"/>
        <w:ind w:left="0" w:right="0"/>
        <w:rPr>
          <w:rFonts w:ascii="Arial" w:hAnsi="Arial" w:cs="Arial"/>
          <w:color w:val="000000"/>
          <w:sz w:val="20"/>
          <w:szCs w:val="20"/>
        </w:rPr>
      </w:pPr>
    </w:p>
    <w:p w14:paraId="048E97CA" w14:textId="742A7010" w:rsidR="00FC1333" w:rsidRPr="00FC1333" w:rsidRDefault="00FC1333" w:rsidP="2FE4ACDA">
      <w:pPr>
        <w:spacing w:line="240" w:lineRule="auto"/>
        <w:ind w:left="0"/>
        <w:rPr>
          <w:rFonts w:ascii="Arial" w:hAnsi="Arial" w:cs="Arial"/>
          <w:color w:val="000000" w:themeColor="text2"/>
          <w:sz w:val="20"/>
          <w:szCs w:val="20"/>
        </w:rPr>
      </w:pPr>
      <w:r w:rsidRPr="2A8C1F5F">
        <w:rPr>
          <w:b/>
          <w:bCs/>
        </w:rPr>
        <w:t>P10.</w:t>
      </w:r>
      <w:r>
        <w:t xml:space="preserve"> Neonatal alloimmun trombocytopeni vid pågående blödning eller som profylax för att</w:t>
      </w:r>
      <w:r w:rsidR="3BD0F94A">
        <w:t xml:space="preserve"> </w:t>
      </w:r>
      <w:r>
        <w:t>upprätthålla TPK mer än 30 x 10</w:t>
      </w:r>
      <w:r w:rsidRPr="2A8C1F5F">
        <w:rPr>
          <w:vertAlign w:val="superscript"/>
        </w:rPr>
        <w:t>9</w:t>
      </w:r>
      <w:r>
        <w:t>/liter.</w:t>
      </w:r>
    </w:p>
    <w:p w14:paraId="6D61CD30" w14:textId="77777777" w:rsidR="00FC1333" w:rsidRPr="00FC1333" w:rsidRDefault="00FC1333" w:rsidP="00FC1333">
      <w:pPr>
        <w:spacing w:after="0" w:line="240" w:lineRule="auto"/>
        <w:ind w:left="0" w:right="0"/>
        <w:rPr>
          <w:rFonts w:ascii="Arial" w:hAnsi="Arial" w:cs="Arial"/>
          <w:sz w:val="16"/>
          <w:szCs w:val="16"/>
        </w:rPr>
      </w:pPr>
    </w:p>
    <w:p w14:paraId="5C099C1A" w14:textId="5198DAD7" w:rsidR="00FC1333" w:rsidRPr="00FC1333" w:rsidRDefault="00FC1333" w:rsidP="2FE4ACDA">
      <w:pPr>
        <w:pStyle w:val="Rubrik2"/>
        <w:ind w:left="0"/>
        <w:rPr>
          <w:rFonts w:ascii="Arial" w:hAnsi="Arial"/>
          <w:sz w:val="20"/>
          <w:szCs w:val="20"/>
        </w:rPr>
      </w:pPr>
      <w:r>
        <w:t>Käll- och litteraturförteckning</w:t>
      </w:r>
      <w:r>
        <w:br/>
      </w:r>
    </w:p>
    <w:p w14:paraId="02655DDC" w14:textId="68CD162F" w:rsidR="00FC1333" w:rsidRPr="00FC1333" w:rsidRDefault="00FC1333" w:rsidP="2FE4ACDA">
      <w:pPr>
        <w:spacing w:line="240" w:lineRule="auto"/>
        <w:ind w:left="0"/>
      </w:pPr>
      <w:r w:rsidRPr="349565F9">
        <w:rPr>
          <w:color w:val="000000" w:themeColor="text2"/>
          <w:lang w:val="en-US"/>
        </w:rPr>
        <w:t>I</w:t>
      </w:r>
      <w:r w:rsidRPr="349565F9">
        <w:rPr>
          <w:lang w:val="en-US"/>
        </w:rPr>
        <w:t xml:space="preserve">ndication Codes for Transfusion – an Audit Tool, British Committee for Standards in Hematology, October 2011. </w:t>
      </w:r>
      <w:hyperlink r:id="rId17">
        <w:r w:rsidRPr="349565F9">
          <w:rPr>
            <w:rStyle w:val="Hyperlnk"/>
          </w:rPr>
          <w:t>http://www.transfusionguidelines.org.uk/Index.aspx?Publication=NTC&amp;Section=27&amp;pageid=7644</w:t>
        </w:r>
        <w:r>
          <w:br/>
        </w:r>
      </w:hyperlink>
    </w:p>
    <w:bookmarkEnd w:id="0"/>
    <w:p w14:paraId="76B9F95B" w14:textId="24513497" w:rsidR="00536A5A" w:rsidRPr="00536A5A" w:rsidRDefault="00536A5A" w:rsidP="00536A5A">
      <w:pPr>
        <w:spacing w:after="0" w:line="240" w:lineRule="auto"/>
        <w:ind w:left="0" w:right="0"/>
      </w:pPr>
    </w:p>
    <w:sectPr w:rsidR="00536A5A" w:rsidRPr="00536A5A" w:rsidSect="00FC133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15746" w14:textId="77777777" w:rsidR="00BB59A6" w:rsidRDefault="00BB59A6">
      <w:r>
        <w:separator/>
      </w:r>
    </w:p>
  </w:endnote>
  <w:endnote w:type="continuationSeparator" w:id="0">
    <w:p w14:paraId="333B139B" w14:textId="77777777" w:rsidR="00BB59A6" w:rsidRDefault="00BB59A6">
      <w:r>
        <w:continuationSeparator/>
      </w:r>
    </w:p>
  </w:endnote>
  <w:endnote w:type="continuationNotice" w:id="1">
    <w:p w14:paraId="526416F2" w14:textId="77777777" w:rsidR="00BB59A6" w:rsidRDefault="00BB59A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6C5684" w14:textId="77777777" w:rsidR="00BB59A6" w:rsidRDefault="00BB59A6"/>
  </w:footnote>
  <w:footnote w:type="continuationSeparator" w:id="0">
    <w:p w14:paraId="4F507FB3" w14:textId="77777777" w:rsidR="00BB59A6" w:rsidRDefault="00BB59A6">
      <w:r>
        <w:continuationSeparator/>
      </w:r>
    </w:p>
  </w:footnote>
  <w:footnote w:type="continuationNotice" w:id="1">
    <w:p w14:paraId="4FFF75DD" w14:textId="77777777" w:rsidR="00BB59A6" w:rsidRDefault="00BB59A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761CE8"/>
    <w:multiLevelType w:val="hybridMultilevel"/>
    <w:tmpl w:val="3E56F73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AD69AB6"/>
    <w:multiLevelType w:val="hybridMultilevel"/>
    <w:tmpl w:val="EFFA1492"/>
    <w:lvl w:ilvl="0" w:tplc="6EA63588">
      <w:start w:val="1"/>
      <w:numFmt w:val="bullet"/>
      <w:lvlText w:val=""/>
      <w:lvlJc w:val="left"/>
      <w:pPr>
        <w:ind w:left="720" w:hanging="360"/>
      </w:pPr>
      <w:rPr>
        <w:rFonts w:ascii="Symbol" w:hAnsi="Symbol" w:hint="default"/>
      </w:rPr>
    </w:lvl>
    <w:lvl w:ilvl="1" w:tplc="1BD083DA">
      <w:start w:val="1"/>
      <w:numFmt w:val="bullet"/>
      <w:lvlText w:val=""/>
      <w:lvlJc w:val="left"/>
      <w:pPr>
        <w:ind w:left="1440" w:hanging="360"/>
      </w:pPr>
      <w:rPr>
        <w:rFonts w:ascii="Symbol" w:hAnsi="Symbol" w:hint="default"/>
      </w:rPr>
    </w:lvl>
    <w:lvl w:ilvl="2" w:tplc="C8387F30">
      <w:start w:val="1"/>
      <w:numFmt w:val="bullet"/>
      <w:lvlText w:val=""/>
      <w:lvlJc w:val="left"/>
      <w:pPr>
        <w:ind w:left="2160" w:hanging="360"/>
      </w:pPr>
      <w:rPr>
        <w:rFonts w:ascii="Wingdings" w:hAnsi="Wingdings" w:hint="default"/>
      </w:rPr>
    </w:lvl>
    <w:lvl w:ilvl="3" w:tplc="C900BEFA">
      <w:start w:val="1"/>
      <w:numFmt w:val="bullet"/>
      <w:lvlText w:val=""/>
      <w:lvlJc w:val="left"/>
      <w:pPr>
        <w:ind w:left="2880" w:hanging="360"/>
      </w:pPr>
      <w:rPr>
        <w:rFonts w:ascii="Symbol" w:hAnsi="Symbol" w:hint="default"/>
      </w:rPr>
    </w:lvl>
    <w:lvl w:ilvl="4" w:tplc="2AE0554E">
      <w:start w:val="1"/>
      <w:numFmt w:val="bullet"/>
      <w:lvlText w:val="o"/>
      <w:lvlJc w:val="left"/>
      <w:pPr>
        <w:ind w:left="3600" w:hanging="360"/>
      </w:pPr>
      <w:rPr>
        <w:rFonts w:ascii="Courier New" w:hAnsi="Courier New" w:hint="default"/>
      </w:rPr>
    </w:lvl>
    <w:lvl w:ilvl="5" w:tplc="123AC152">
      <w:start w:val="1"/>
      <w:numFmt w:val="bullet"/>
      <w:lvlText w:val=""/>
      <w:lvlJc w:val="left"/>
      <w:pPr>
        <w:ind w:left="4320" w:hanging="360"/>
      </w:pPr>
      <w:rPr>
        <w:rFonts w:ascii="Wingdings" w:hAnsi="Wingdings" w:hint="default"/>
      </w:rPr>
    </w:lvl>
    <w:lvl w:ilvl="6" w:tplc="1826B17A">
      <w:start w:val="1"/>
      <w:numFmt w:val="bullet"/>
      <w:lvlText w:val=""/>
      <w:lvlJc w:val="left"/>
      <w:pPr>
        <w:ind w:left="5040" w:hanging="360"/>
      </w:pPr>
      <w:rPr>
        <w:rFonts w:ascii="Symbol" w:hAnsi="Symbol" w:hint="default"/>
      </w:rPr>
    </w:lvl>
    <w:lvl w:ilvl="7" w:tplc="4D066684">
      <w:start w:val="1"/>
      <w:numFmt w:val="bullet"/>
      <w:lvlText w:val="o"/>
      <w:lvlJc w:val="left"/>
      <w:pPr>
        <w:ind w:left="5760" w:hanging="360"/>
      </w:pPr>
      <w:rPr>
        <w:rFonts w:ascii="Courier New" w:hAnsi="Courier New" w:hint="default"/>
      </w:rPr>
    </w:lvl>
    <w:lvl w:ilvl="8" w:tplc="3258C7DA">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B9F8D1C2"/>
    <w:lvl w:ilvl="0" w:tplc="041D0001">
      <w:start w:val="1"/>
      <w:numFmt w:val="bullet"/>
      <w:pStyle w:val="Liststycke"/>
      <w:lvlText w:val=""/>
      <w:lvlJc w:val="left"/>
      <w:pPr>
        <w:ind w:left="717"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69E1BB9"/>
    <w:multiLevelType w:val="hybridMultilevel"/>
    <w:tmpl w:val="C3CE3312"/>
    <w:lvl w:ilvl="0" w:tplc="86D87E4A">
      <w:start w:val="1"/>
      <w:numFmt w:val="bullet"/>
      <w:lvlText w:val="·"/>
      <w:lvlJc w:val="left"/>
      <w:pPr>
        <w:ind w:left="720" w:hanging="360"/>
      </w:pPr>
      <w:rPr>
        <w:rFonts w:ascii="Symbol" w:hAnsi="Symbol" w:hint="default"/>
      </w:rPr>
    </w:lvl>
    <w:lvl w:ilvl="1" w:tplc="648E1652">
      <w:start w:val="1"/>
      <w:numFmt w:val="bullet"/>
      <w:lvlText w:val=""/>
      <w:lvlJc w:val="left"/>
      <w:pPr>
        <w:ind w:left="1440" w:hanging="360"/>
      </w:pPr>
      <w:rPr>
        <w:rFonts w:ascii="Symbol" w:hAnsi="Symbol" w:hint="default"/>
      </w:rPr>
    </w:lvl>
    <w:lvl w:ilvl="2" w:tplc="B3BA6252">
      <w:start w:val="1"/>
      <w:numFmt w:val="bullet"/>
      <w:lvlText w:val=""/>
      <w:lvlJc w:val="left"/>
      <w:pPr>
        <w:ind w:left="2160" w:hanging="360"/>
      </w:pPr>
      <w:rPr>
        <w:rFonts w:ascii="Wingdings" w:hAnsi="Wingdings" w:hint="default"/>
      </w:rPr>
    </w:lvl>
    <w:lvl w:ilvl="3" w:tplc="50880834">
      <w:start w:val="1"/>
      <w:numFmt w:val="bullet"/>
      <w:lvlText w:val=""/>
      <w:lvlJc w:val="left"/>
      <w:pPr>
        <w:ind w:left="2880" w:hanging="360"/>
      </w:pPr>
      <w:rPr>
        <w:rFonts w:ascii="Symbol" w:hAnsi="Symbol" w:hint="default"/>
      </w:rPr>
    </w:lvl>
    <w:lvl w:ilvl="4" w:tplc="EED88DEA">
      <w:start w:val="1"/>
      <w:numFmt w:val="bullet"/>
      <w:lvlText w:val="o"/>
      <w:lvlJc w:val="left"/>
      <w:pPr>
        <w:ind w:left="3600" w:hanging="360"/>
      </w:pPr>
      <w:rPr>
        <w:rFonts w:ascii="Courier New" w:hAnsi="Courier New" w:hint="default"/>
      </w:rPr>
    </w:lvl>
    <w:lvl w:ilvl="5" w:tplc="C43496AC">
      <w:start w:val="1"/>
      <w:numFmt w:val="bullet"/>
      <w:lvlText w:val=""/>
      <w:lvlJc w:val="left"/>
      <w:pPr>
        <w:ind w:left="4320" w:hanging="360"/>
      </w:pPr>
      <w:rPr>
        <w:rFonts w:ascii="Wingdings" w:hAnsi="Wingdings" w:hint="default"/>
      </w:rPr>
    </w:lvl>
    <w:lvl w:ilvl="6" w:tplc="D20E17D2">
      <w:start w:val="1"/>
      <w:numFmt w:val="bullet"/>
      <w:lvlText w:val=""/>
      <w:lvlJc w:val="left"/>
      <w:pPr>
        <w:ind w:left="5040" w:hanging="360"/>
      </w:pPr>
      <w:rPr>
        <w:rFonts w:ascii="Symbol" w:hAnsi="Symbol" w:hint="default"/>
      </w:rPr>
    </w:lvl>
    <w:lvl w:ilvl="7" w:tplc="44828BAC">
      <w:start w:val="1"/>
      <w:numFmt w:val="bullet"/>
      <w:lvlText w:val="o"/>
      <w:lvlJc w:val="left"/>
      <w:pPr>
        <w:ind w:left="5760" w:hanging="360"/>
      </w:pPr>
      <w:rPr>
        <w:rFonts w:ascii="Courier New" w:hAnsi="Courier New" w:hint="default"/>
      </w:rPr>
    </w:lvl>
    <w:lvl w:ilvl="8" w:tplc="D35279AE">
      <w:start w:val="1"/>
      <w:numFmt w:val="bullet"/>
      <w:lvlText w:val=""/>
      <w:lvlJc w:val="left"/>
      <w:pPr>
        <w:ind w:left="648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F0602E1"/>
    <w:multiLevelType w:val="hybridMultilevel"/>
    <w:tmpl w:val="24F2AC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89830A1"/>
    <w:multiLevelType w:val="hybridMultilevel"/>
    <w:tmpl w:val="BBC615D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2690409">
    <w:abstractNumId w:val="16"/>
  </w:num>
  <w:num w:numId="2" w16cid:durableId="318845846">
    <w:abstractNumId w:val="9"/>
  </w:num>
  <w:num w:numId="3" w16cid:durableId="1317799769">
    <w:abstractNumId w:val="22"/>
  </w:num>
  <w:num w:numId="4" w16cid:durableId="451632914">
    <w:abstractNumId w:val="17"/>
  </w:num>
  <w:num w:numId="5" w16cid:durableId="793980483">
    <w:abstractNumId w:val="0"/>
  </w:num>
  <w:num w:numId="6" w16cid:durableId="449789304">
    <w:abstractNumId w:val="7"/>
  </w:num>
  <w:num w:numId="7" w16cid:durableId="374044617">
    <w:abstractNumId w:val="19"/>
  </w:num>
  <w:num w:numId="8" w16cid:durableId="733821228">
    <w:abstractNumId w:val="2"/>
  </w:num>
  <w:num w:numId="9" w16cid:durableId="1509561755">
    <w:abstractNumId w:val="13"/>
  </w:num>
  <w:num w:numId="10" w16cid:durableId="313338318">
    <w:abstractNumId w:val="10"/>
  </w:num>
  <w:num w:numId="11" w16cid:durableId="1240139348">
    <w:abstractNumId w:val="1"/>
  </w:num>
  <w:num w:numId="12" w16cid:durableId="2062821310">
    <w:abstractNumId w:val="1"/>
  </w:num>
  <w:num w:numId="13" w16cid:durableId="1101946650">
    <w:abstractNumId w:val="4"/>
  </w:num>
  <w:num w:numId="14" w16cid:durableId="1743024448">
    <w:abstractNumId w:val="5"/>
  </w:num>
  <w:num w:numId="15" w16cid:durableId="1532838901">
    <w:abstractNumId w:val="15"/>
  </w:num>
  <w:num w:numId="16" w16cid:durableId="1586762017">
    <w:abstractNumId w:val="11"/>
  </w:num>
  <w:num w:numId="17" w16cid:durableId="1807308940">
    <w:abstractNumId w:val="8"/>
  </w:num>
  <w:num w:numId="18" w16cid:durableId="668869845">
    <w:abstractNumId w:val="14"/>
  </w:num>
  <w:num w:numId="19" w16cid:durableId="467164260">
    <w:abstractNumId w:val="6"/>
  </w:num>
  <w:num w:numId="20" w16cid:durableId="434597159">
    <w:abstractNumId w:val="12"/>
  </w:num>
  <w:num w:numId="21" w16cid:durableId="612444152">
    <w:abstractNumId w:val="21"/>
  </w:num>
  <w:num w:numId="22" w16cid:durableId="1831753511">
    <w:abstractNumId w:val="3"/>
  </w:num>
  <w:num w:numId="23" w16cid:durableId="841819581">
    <w:abstractNumId w:val="18"/>
  </w:num>
  <w:num w:numId="24" w16cid:durableId="149877055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0F6"/>
    <w:rsid w:val="000A4C35"/>
    <w:rsid w:val="000A611A"/>
    <w:rsid w:val="000B12D9"/>
    <w:rsid w:val="000B4536"/>
    <w:rsid w:val="000B7715"/>
    <w:rsid w:val="000E463B"/>
    <w:rsid w:val="000E5A7E"/>
    <w:rsid w:val="000F43A3"/>
    <w:rsid w:val="000F7681"/>
    <w:rsid w:val="00103031"/>
    <w:rsid w:val="001044FE"/>
    <w:rsid w:val="001139D4"/>
    <w:rsid w:val="00113C9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E11"/>
    <w:rsid w:val="00211487"/>
    <w:rsid w:val="00211D91"/>
    <w:rsid w:val="00217DEC"/>
    <w:rsid w:val="00235B57"/>
    <w:rsid w:val="00250F24"/>
    <w:rsid w:val="002523C5"/>
    <w:rsid w:val="0025380B"/>
    <w:rsid w:val="0025703A"/>
    <w:rsid w:val="00262731"/>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554D"/>
    <w:rsid w:val="00397F54"/>
    <w:rsid w:val="003A0D43"/>
    <w:rsid w:val="003B2A4B"/>
    <w:rsid w:val="003D099E"/>
    <w:rsid w:val="003D21A2"/>
    <w:rsid w:val="003D29D2"/>
    <w:rsid w:val="003E0705"/>
    <w:rsid w:val="003E2FF7"/>
    <w:rsid w:val="003F1013"/>
    <w:rsid w:val="003F1ACF"/>
    <w:rsid w:val="003F24AE"/>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741B"/>
    <w:rsid w:val="005C0045"/>
    <w:rsid w:val="005C084E"/>
    <w:rsid w:val="005C4606"/>
    <w:rsid w:val="005C518B"/>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375D"/>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A12"/>
    <w:rsid w:val="00A90D77"/>
    <w:rsid w:val="00A92E07"/>
    <w:rsid w:val="00AA0B3A"/>
    <w:rsid w:val="00AA6EB4"/>
    <w:rsid w:val="00AA767D"/>
    <w:rsid w:val="00AB0CC9"/>
    <w:rsid w:val="00AC3FF6"/>
    <w:rsid w:val="00AD73EC"/>
    <w:rsid w:val="00AE311B"/>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BF8"/>
    <w:rsid w:val="00BB59A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D05F"/>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D7A"/>
    <w:rsid w:val="00F20B5F"/>
    <w:rsid w:val="00F22264"/>
    <w:rsid w:val="00F2564D"/>
    <w:rsid w:val="00F35B05"/>
    <w:rsid w:val="00F4073E"/>
    <w:rsid w:val="00F413D9"/>
    <w:rsid w:val="00F5135F"/>
    <w:rsid w:val="00F51F78"/>
    <w:rsid w:val="00F76DE3"/>
    <w:rsid w:val="00F86F47"/>
    <w:rsid w:val="00F90B64"/>
    <w:rsid w:val="00FB2F0F"/>
    <w:rsid w:val="00FB5086"/>
    <w:rsid w:val="00FB5411"/>
    <w:rsid w:val="00FB6392"/>
    <w:rsid w:val="00FC1333"/>
    <w:rsid w:val="00FD3C70"/>
    <w:rsid w:val="00FD6820"/>
    <w:rsid w:val="00FE12D8"/>
    <w:rsid w:val="00FF7C02"/>
    <w:rsid w:val="019D060A"/>
    <w:rsid w:val="024801E3"/>
    <w:rsid w:val="09A96E1D"/>
    <w:rsid w:val="0B1783B1"/>
    <w:rsid w:val="0BE29CDA"/>
    <w:rsid w:val="0EA0915D"/>
    <w:rsid w:val="10F3E1AF"/>
    <w:rsid w:val="1251DE5E"/>
    <w:rsid w:val="14445905"/>
    <w:rsid w:val="16FAE49D"/>
    <w:rsid w:val="18FEF394"/>
    <w:rsid w:val="1A7FADF2"/>
    <w:rsid w:val="1AF0CAA2"/>
    <w:rsid w:val="1C1B7E53"/>
    <w:rsid w:val="1DB74EB4"/>
    <w:rsid w:val="200EE24D"/>
    <w:rsid w:val="228ABFD7"/>
    <w:rsid w:val="242684CA"/>
    <w:rsid w:val="258F1479"/>
    <w:rsid w:val="28FA015B"/>
    <w:rsid w:val="2A8C1F5F"/>
    <w:rsid w:val="2FE4ACDA"/>
    <w:rsid w:val="349565F9"/>
    <w:rsid w:val="351448E4"/>
    <w:rsid w:val="3850DD00"/>
    <w:rsid w:val="3BD0F94A"/>
    <w:rsid w:val="3C37A510"/>
    <w:rsid w:val="3D088C5A"/>
    <w:rsid w:val="3DFB0AD0"/>
    <w:rsid w:val="41C1D91A"/>
    <w:rsid w:val="435DA97B"/>
    <w:rsid w:val="47647CF0"/>
    <w:rsid w:val="495AC3BD"/>
    <w:rsid w:val="4A664B81"/>
    <w:rsid w:val="50EB8E66"/>
    <w:rsid w:val="51FABA93"/>
    <w:rsid w:val="52029C86"/>
    <w:rsid w:val="5213E2F0"/>
    <w:rsid w:val="54A90CCA"/>
    <w:rsid w:val="554B83B2"/>
    <w:rsid w:val="562F929A"/>
    <w:rsid w:val="5978D50D"/>
    <w:rsid w:val="5A204B03"/>
    <w:rsid w:val="5D57EBC5"/>
    <w:rsid w:val="5F911A82"/>
    <w:rsid w:val="605CEB30"/>
    <w:rsid w:val="6107CB05"/>
    <w:rsid w:val="612CEAE3"/>
    <w:rsid w:val="62C8BB44"/>
    <w:rsid w:val="647B2B65"/>
    <w:rsid w:val="67D81273"/>
    <w:rsid w:val="6B2CF8ED"/>
    <w:rsid w:val="7A668EDA"/>
    <w:rsid w:val="7B2DC48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transfusionguidelines.org.uk/Index.aspx?Publication=NTC&amp;Section=27&amp;pageid=7644"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5</Pages>
  <Words>1066</Words>
  <Characters>7031</Characters>
  <Application>Microsoft Office Word</Application>
  <DocSecurity>0</DocSecurity>
  <Lines>58</Lines>
  <Paragraphs>16</Paragraphs>
  <ScaleCrop>false</ScaleCrop>
  <Manager/>
  <Company/>
  <LinksUpToDate>false</LinksUpToDate>
  <CharactersWithSpaces>8081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Transfusionsindikation för blod, plasma och trombocyter</dc:title>
  <dc:subject/>
  <dc:creator>patrik.jens.johansson@vgregion.se</dc:creator>
  <keywords/>
  <lastModifiedBy>Anna Lind</lastModifiedBy>
  <revision>17</revision>
  <lastPrinted>2016-03-31T10:56:00.0000000Z</lastPrinted>
  <dcterms:created xsi:type="dcterms:W3CDTF">2022-03-01T13:20:00.0000000Z</dcterms:created>
  <dcterms:modified xsi:type="dcterms:W3CDTF">2026-02-11T07:03:00.0000000Z</dcterms:modified>
</coreProperties>
</file>