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60765" w:rsidP="00F35B05" w:rsidRDefault="00660765" w14:paraId="358A035B" w14:textId="77777777">
      <w:pPr>
        <w:pStyle w:val="Rubrik2"/>
        <w:sectPr w:rsidR="00660765" w:rsidSect="0066076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4B4DC71E" w:rsidP="635F885E" w:rsidRDefault="4B4DC71E" w14:paraId="623EC13F" w14:textId="765B0100">
      <w:pPr>
        <w:pStyle w:val="Rubrik1"/>
      </w:pPr>
      <w:r>
        <w:t xml:space="preserve">Propofol – </w:t>
      </w:r>
      <w:proofErr w:type="spellStart"/>
      <w:r>
        <w:t>Remifentanil</w:t>
      </w:r>
      <w:proofErr w:type="spellEnd"/>
      <w:r>
        <w:t xml:space="preserve"> (</w:t>
      </w:r>
      <w:proofErr w:type="spellStart"/>
      <w:r>
        <w:t>Ultiva</w:t>
      </w:r>
      <w:proofErr w:type="spellEnd"/>
      <w:r>
        <w:t>) - TCI</w:t>
      </w:r>
    </w:p>
    <w:p w:rsidRPr="00660765" w:rsidR="00660765" w:rsidP="635F885E" w:rsidRDefault="00660765" w14:paraId="0AAF9A45" w14:textId="77777777">
      <w:pPr>
        <w:pStyle w:val="Rubrik2"/>
        <w:rPr>
          <w:rFonts w:ascii="Arial" w:hAnsi="Arial"/>
          <w:b/>
        </w:rPr>
      </w:pPr>
      <w:r>
        <w:t>Revideringar i denna version</w:t>
      </w:r>
    </w:p>
    <w:p w:rsidRPr="00660765" w:rsidR="00660765" w:rsidP="659296B7" w:rsidRDefault="00660765" w14:paraId="0DBE053D" w14:textId="65CD88AC">
      <w:pPr>
        <w:spacing w:line="240" w:lineRule="auto"/>
      </w:pPr>
      <w:r w:rsidR="00660765">
        <w:rPr/>
        <w:t>Förlängd giltighet</w:t>
      </w:r>
      <w:r w:rsidR="276B1720">
        <w:rPr/>
        <w:t xml:space="preserve"> samt mindre revidering. </w:t>
      </w:r>
    </w:p>
    <w:p w:rsidRPr="00660765" w:rsidR="00660765" w:rsidP="635F885E" w:rsidRDefault="00660765" w14:paraId="7E0F7053" w14:textId="77777777">
      <w:pPr>
        <w:pStyle w:val="Rubrik2"/>
        <w:rPr>
          <w:rFonts w:ascii="Arial" w:hAnsi="Arial"/>
          <w:b/>
        </w:rPr>
      </w:pPr>
      <w:r>
        <w:t>Bakgrund, syfte och mål</w:t>
      </w:r>
    </w:p>
    <w:p w:rsidRPr="00660765" w:rsidR="00660765" w:rsidP="003E4B88" w:rsidRDefault="00660765" w14:paraId="315519D6" w14:textId="77777777">
      <w:pPr>
        <w:spacing w:line="240" w:lineRule="auto"/>
        <w:rPr>
          <w:rFonts w:ascii="Arial" w:hAnsi="Arial" w:cs="Arial"/>
          <w:sz w:val="20"/>
          <w:szCs w:val="20"/>
        </w:rPr>
      </w:pPr>
      <w:r>
        <w:t>Beskriver anestesi med TIVA, TCI till vuxna.</w:t>
      </w:r>
    </w:p>
    <w:p w:rsidR="00660765" w:rsidP="635F885E" w:rsidRDefault="00660765" w14:paraId="5B8526D6" w14:textId="77777777">
      <w:pPr>
        <w:pStyle w:val="Rubrik2"/>
      </w:pPr>
      <w:r>
        <w:t>Arbetsbeskrivning</w:t>
      </w:r>
    </w:p>
    <w:tbl>
      <w:tblPr>
        <w:tblStyle w:val="Tabellrutnt"/>
        <w:tblW w:w="9214" w:type="dxa"/>
        <w:tblInd w:w="99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445"/>
        <w:gridCol w:w="6769"/>
      </w:tblGrid>
      <w:tr w:rsidR="00A0233D" w:rsidTr="659296B7" w14:paraId="1E8CFF62" w14:textId="77777777">
        <w:trPr>
          <w:trHeight w:val="300"/>
        </w:trPr>
        <w:tc>
          <w:tcPr>
            <w:tcW w:w="1985" w:type="dxa"/>
            <w:tcMar/>
          </w:tcPr>
          <w:p w:rsidRPr="00A0233D" w:rsidR="00A0233D" w:rsidP="003E4B88" w:rsidRDefault="00A0233D" w14:paraId="021DF5FF" w14:textId="5DDDC456">
            <w:pPr>
              <w:spacing w:line="240" w:lineRule="auto"/>
              <w:ind w:left="0"/>
              <w:rPr>
                <w:b/>
                <w:bCs/>
              </w:rPr>
            </w:pPr>
            <w:r w:rsidRPr="00A0233D">
              <w:rPr>
                <w:b/>
                <w:bCs/>
              </w:rPr>
              <w:t>Patientgrupp</w:t>
            </w:r>
          </w:p>
        </w:tc>
        <w:tc>
          <w:tcPr>
            <w:tcW w:w="7229" w:type="dxa"/>
            <w:tcMar/>
          </w:tcPr>
          <w:p w:rsidR="00A0233D" w:rsidP="003E4B88" w:rsidRDefault="00A0233D" w14:paraId="5272F0CE" w14:textId="58AF5783">
            <w:pPr>
              <w:spacing w:line="240" w:lineRule="auto"/>
              <w:ind w:left="0"/>
            </w:pPr>
            <w:r>
              <w:t>Vuxna</w:t>
            </w:r>
          </w:p>
        </w:tc>
      </w:tr>
      <w:tr w:rsidR="00A0233D" w:rsidTr="659296B7" w14:paraId="30F9AFA4" w14:textId="77777777">
        <w:tc>
          <w:tcPr>
            <w:tcW w:w="1985" w:type="dxa"/>
            <w:tcMar/>
          </w:tcPr>
          <w:p w:rsidR="00A0233D" w:rsidP="003E4B88" w:rsidRDefault="00BD3678" w14:paraId="16BABF49" w14:textId="03D20183">
            <w:pPr>
              <w:spacing w:line="240" w:lineRule="auto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Propofol</w:t>
            </w:r>
          </w:p>
        </w:tc>
        <w:tc>
          <w:tcPr>
            <w:tcW w:w="7229" w:type="dxa"/>
            <w:tcMar/>
          </w:tcPr>
          <w:p w:rsidRPr="00BD3678" w:rsidR="00BD3678" w:rsidP="003E4B88" w:rsidRDefault="00BD3678" w14:paraId="60567592" w14:textId="7777777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eastAsia="Calibri"/>
                <w:color w:val="000000"/>
              </w:rPr>
            </w:pPr>
            <w:r w:rsidRPr="00BD3678">
              <w:rPr>
                <w:rFonts w:eastAsia="Calibri"/>
                <w:b/>
                <w:bCs/>
                <w:color w:val="000000"/>
              </w:rPr>
              <w:t>Induktion:</w:t>
            </w:r>
            <w:r w:rsidRPr="00BD3678">
              <w:rPr>
                <w:rFonts w:eastAsia="Calibri"/>
                <w:color w:val="000000"/>
              </w:rPr>
              <w:t xml:space="preserve"> Pumpens grundinställning är </w:t>
            </w:r>
            <w:proofErr w:type="spellStart"/>
            <w:r w:rsidRPr="00BD3678">
              <w:rPr>
                <w:rFonts w:eastAsia="Calibri"/>
                <w:color w:val="000000"/>
              </w:rPr>
              <w:t>Cet</w:t>
            </w:r>
            <w:proofErr w:type="spellEnd"/>
            <w:r w:rsidRPr="00BD3678">
              <w:rPr>
                <w:rFonts w:eastAsia="Calibri"/>
                <w:color w:val="000000"/>
              </w:rPr>
              <w:t xml:space="preserve"> (målkoncentration) 6 mikrogram/ml, vilket motsvarar en bolusdos på cirka 2 mg/kg. Vid äldre och sköra patienter ska pumpens inställning justeras nedåt.</w:t>
            </w:r>
          </w:p>
          <w:p w:rsidRPr="00660765" w:rsidR="00A0233D" w:rsidP="003E4B88" w:rsidRDefault="00BD3678" w14:paraId="15491D67" w14:textId="66CFFAA4">
            <w:pPr>
              <w:spacing w:line="240" w:lineRule="auto"/>
              <w:ind w:left="0"/>
              <w:rPr>
                <w:rFonts w:eastAsia="Calibri"/>
              </w:rPr>
            </w:pPr>
            <w:r w:rsidRPr="00BD3678">
              <w:rPr>
                <w:rFonts w:eastAsia="Calibri"/>
                <w:b/>
                <w:bCs/>
                <w:color w:val="000000"/>
              </w:rPr>
              <w:t>Underhåll:</w:t>
            </w:r>
            <w:r w:rsidRPr="00BD3678">
              <w:rPr>
                <w:rFonts w:eastAsia="Calibri"/>
                <w:color w:val="000000"/>
              </w:rPr>
              <w:t xml:space="preserve"> </w:t>
            </w:r>
            <w:proofErr w:type="spellStart"/>
            <w:r w:rsidRPr="00BD3678">
              <w:rPr>
                <w:rFonts w:eastAsia="Calibri"/>
                <w:color w:val="000000"/>
              </w:rPr>
              <w:t>Cet</w:t>
            </w:r>
            <w:proofErr w:type="spellEnd"/>
            <w:r w:rsidRPr="00BD3678">
              <w:rPr>
                <w:rFonts w:eastAsia="Calibri"/>
                <w:color w:val="000000"/>
              </w:rPr>
              <w:t xml:space="preserve"> reduceras gradvis till </w:t>
            </w:r>
            <w:proofErr w:type="gramStart"/>
            <w:r w:rsidRPr="00BD3678">
              <w:rPr>
                <w:rFonts w:eastAsia="Calibri"/>
                <w:color w:val="000000"/>
              </w:rPr>
              <w:t>2-2,5</w:t>
            </w:r>
            <w:proofErr w:type="gramEnd"/>
            <w:r w:rsidRPr="00BD3678">
              <w:rPr>
                <w:rFonts w:eastAsia="Calibri"/>
                <w:color w:val="000000"/>
              </w:rPr>
              <w:t xml:space="preserve"> mikrogram/ml</w:t>
            </w:r>
            <w:r>
              <w:rPr>
                <w:rFonts w:eastAsia="Calibri"/>
                <w:color w:val="000000"/>
              </w:rPr>
              <w:t>.</w:t>
            </w:r>
          </w:p>
        </w:tc>
      </w:tr>
      <w:tr w:rsidR="00BD3678" w:rsidTr="659296B7" w14:paraId="3C85AE20" w14:textId="77777777">
        <w:tc>
          <w:tcPr>
            <w:tcW w:w="1985" w:type="dxa"/>
            <w:tcMar/>
          </w:tcPr>
          <w:p w:rsidR="00BD3678" w:rsidP="003E4B88" w:rsidRDefault="00BD3678" w14:paraId="436E3187" w14:textId="73CE4D81">
            <w:pPr>
              <w:spacing w:line="240" w:lineRule="auto"/>
              <w:ind w:left="0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Ultiva</w:t>
            </w:r>
            <w:proofErr w:type="spellEnd"/>
          </w:p>
        </w:tc>
        <w:tc>
          <w:tcPr>
            <w:tcW w:w="7229" w:type="dxa"/>
            <w:tcMar/>
          </w:tcPr>
          <w:p w:rsidRPr="00BD3678" w:rsidR="00BD3678" w:rsidP="003E4B88" w:rsidRDefault="00BD3678" w14:paraId="5B669528" w14:textId="7777777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eastAsia="Calibri"/>
                <w:color w:val="000000"/>
              </w:rPr>
            </w:pPr>
            <w:r w:rsidRPr="00BD3678">
              <w:rPr>
                <w:rFonts w:eastAsia="Calibri"/>
                <w:b/>
                <w:bCs/>
                <w:color w:val="000000"/>
              </w:rPr>
              <w:t>Induktion:</w:t>
            </w:r>
            <w:r w:rsidRPr="00BD3678">
              <w:rPr>
                <w:rFonts w:eastAsia="Calibri"/>
                <w:color w:val="000000"/>
              </w:rPr>
              <w:t xml:space="preserve"> Pumpens grundinställning är </w:t>
            </w:r>
            <w:proofErr w:type="spellStart"/>
            <w:r w:rsidRPr="00BD3678">
              <w:rPr>
                <w:rFonts w:eastAsia="Calibri"/>
                <w:color w:val="000000"/>
              </w:rPr>
              <w:t>Cet</w:t>
            </w:r>
            <w:proofErr w:type="spellEnd"/>
            <w:r w:rsidRPr="00BD3678">
              <w:rPr>
                <w:rFonts w:eastAsia="Calibri"/>
                <w:color w:val="000000"/>
              </w:rPr>
              <w:t xml:space="preserve"> 5 nanogram/ml. Detta är en lämplig </w:t>
            </w:r>
            <w:proofErr w:type="spellStart"/>
            <w:r w:rsidRPr="00BD3678">
              <w:rPr>
                <w:rFonts w:eastAsia="Calibri"/>
                <w:color w:val="000000"/>
              </w:rPr>
              <w:t>startdos</w:t>
            </w:r>
            <w:proofErr w:type="spellEnd"/>
            <w:r w:rsidRPr="00BD3678">
              <w:rPr>
                <w:rFonts w:eastAsia="Calibri"/>
                <w:color w:val="000000"/>
              </w:rPr>
              <w:t xml:space="preserve"> vid larynxmask eller för äldre och sköra patienter. Vid intubation sätts </w:t>
            </w:r>
            <w:proofErr w:type="spellStart"/>
            <w:r w:rsidRPr="00BD3678">
              <w:rPr>
                <w:rFonts w:eastAsia="Calibri"/>
                <w:color w:val="000000"/>
              </w:rPr>
              <w:t>Cet</w:t>
            </w:r>
            <w:proofErr w:type="spellEnd"/>
            <w:r w:rsidRPr="00BD3678">
              <w:rPr>
                <w:rFonts w:eastAsia="Calibri"/>
                <w:color w:val="000000"/>
              </w:rPr>
              <w:t xml:space="preserve"> i intervallet 8-10-12 nanogram/ml, den högre dosen om intubation utan </w:t>
            </w:r>
            <w:proofErr w:type="spellStart"/>
            <w:r w:rsidRPr="00BD3678">
              <w:rPr>
                <w:rFonts w:eastAsia="Calibri"/>
                <w:color w:val="000000"/>
              </w:rPr>
              <w:t>muskelrelaxans</w:t>
            </w:r>
            <w:proofErr w:type="spellEnd"/>
            <w:r w:rsidRPr="00BD3678">
              <w:rPr>
                <w:rFonts w:eastAsia="Calibri"/>
                <w:color w:val="000000"/>
              </w:rPr>
              <w:t xml:space="preserve"> planeras. För äldre och sköra patienter reduceras </w:t>
            </w:r>
            <w:proofErr w:type="spellStart"/>
            <w:r w:rsidRPr="00BD3678">
              <w:rPr>
                <w:rFonts w:eastAsia="Calibri"/>
                <w:color w:val="000000"/>
              </w:rPr>
              <w:t>Cet</w:t>
            </w:r>
            <w:proofErr w:type="spellEnd"/>
            <w:r w:rsidRPr="00BD3678">
              <w:rPr>
                <w:rFonts w:eastAsia="Calibri"/>
                <w:color w:val="000000"/>
              </w:rPr>
              <w:t>.</w:t>
            </w:r>
          </w:p>
          <w:p w:rsidRPr="00BD3678" w:rsidR="00BD3678" w:rsidP="003E4B88" w:rsidRDefault="00BD3678" w14:paraId="0975170C" w14:textId="7777777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eastAsia="Calibri"/>
                <w:color w:val="000000"/>
              </w:rPr>
            </w:pPr>
            <w:r w:rsidRPr="00BD3678">
              <w:rPr>
                <w:rFonts w:eastAsia="Calibri"/>
                <w:b/>
                <w:bCs/>
                <w:color w:val="000000"/>
              </w:rPr>
              <w:t>Underhåll:</w:t>
            </w:r>
            <w:r w:rsidRPr="00BD3678">
              <w:rPr>
                <w:rFonts w:eastAsia="Calibri"/>
                <w:color w:val="000000"/>
              </w:rPr>
              <w:t xml:space="preserve"> Efter nedsövning i väntan på kirurg reduceras </w:t>
            </w:r>
            <w:proofErr w:type="spellStart"/>
            <w:r w:rsidRPr="00BD3678">
              <w:rPr>
                <w:rFonts w:eastAsia="Calibri"/>
                <w:color w:val="000000"/>
              </w:rPr>
              <w:t>Cet</w:t>
            </w:r>
            <w:proofErr w:type="spellEnd"/>
            <w:r w:rsidRPr="00BD3678">
              <w:rPr>
                <w:rFonts w:eastAsia="Calibri"/>
                <w:color w:val="000000"/>
              </w:rPr>
              <w:t xml:space="preserve"> till </w:t>
            </w:r>
            <w:proofErr w:type="gramStart"/>
            <w:r w:rsidRPr="00BD3678">
              <w:rPr>
                <w:rFonts w:eastAsia="Calibri"/>
                <w:color w:val="000000"/>
              </w:rPr>
              <w:t>3-4</w:t>
            </w:r>
            <w:proofErr w:type="gramEnd"/>
            <w:r w:rsidRPr="00BD3678">
              <w:rPr>
                <w:rFonts w:eastAsia="Calibri"/>
                <w:color w:val="000000"/>
              </w:rPr>
              <w:t xml:space="preserve"> nanogram/ml. Inför operationsstart ökas </w:t>
            </w:r>
            <w:proofErr w:type="spellStart"/>
            <w:r w:rsidRPr="00BD3678">
              <w:rPr>
                <w:rFonts w:eastAsia="Calibri"/>
                <w:color w:val="000000"/>
              </w:rPr>
              <w:t>Cet</w:t>
            </w:r>
            <w:proofErr w:type="spellEnd"/>
            <w:r w:rsidRPr="00BD3678">
              <w:rPr>
                <w:rFonts w:eastAsia="Calibri"/>
                <w:color w:val="000000"/>
              </w:rPr>
              <w:t xml:space="preserve"> till </w:t>
            </w:r>
            <w:proofErr w:type="gramStart"/>
            <w:r w:rsidRPr="00BD3678">
              <w:rPr>
                <w:rFonts w:eastAsia="Calibri"/>
                <w:color w:val="000000"/>
              </w:rPr>
              <w:t>6-8</w:t>
            </w:r>
            <w:proofErr w:type="gramEnd"/>
            <w:r w:rsidRPr="00BD3678">
              <w:rPr>
                <w:rFonts w:eastAsia="Calibri"/>
                <w:color w:val="000000"/>
              </w:rPr>
              <w:t xml:space="preserve"> nanogram/ml. Underhållsdosen får sedan anpassas efter ingreppets art och patientens respons, vanligen i intervallet </w:t>
            </w:r>
            <w:proofErr w:type="gramStart"/>
            <w:r w:rsidRPr="00BD3678">
              <w:rPr>
                <w:rFonts w:eastAsia="Calibri"/>
                <w:color w:val="000000"/>
              </w:rPr>
              <w:t>3-12</w:t>
            </w:r>
            <w:proofErr w:type="gramEnd"/>
            <w:r w:rsidRPr="00BD3678">
              <w:rPr>
                <w:rFonts w:eastAsia="Calibri"/>
                <w:color w:val="000000"/>
              </w:rPr>
              <w:t xml:space="preserve"> nanogram/ml. </w:t>
            </w:r>
          </w:p>
          <w:p w:rsidRPr="00BD3678" w:rsidR="00BD3678" w:rsidP="003E4B88" w:rsidRDefault="00BD3678" w14:paraId="756EF3A3" w14:textId="7777777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eastAsia="Calibri"/>
                <w:b/>
                <w:bCs/>
                <w:color w:val="000000"/>
              </w:rPr>
            </w:pPr>
          </w:p>
        </w:tc>
      </w:tr>
      <w:tr w:rsidR="00BD3678" w:rsidTr="659296B7" w14:paraId="34D8F287" w14:textId="77777777">
        <w:tc>
          <w:tcPr>
            <w:tcW w:w="1985" w:type="dxa"/>
            <w:tcMar/>
          </w:tcPr>
          <w:p w:rsidR="00BD3678" w:rsidP="003E4B88" w:rsidRDefault="00BD3678" w14:paraId="2C6AE5E9" w14:textId="68465413">
            <w:pPr>
              <w:spacing w:line="240" w:lineRule="auto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Uppkoppling</w:t>
            </w:r>
          </w:p>
        </w:tc>
        <w:tc>
          <w:tcPr>
            <w:tcW w:w="7229" w:type="dxa"/>
            <w:tcMar/>
          </w:tcPr>
          <w:p w:rsidRPr="00BD3678" w:rsidR="00BD3678" w:rsidP="003E4B88" w:rsidRDefault="00BD3678" w14:paraId="1D6E88A8" w14:textId="7777777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eastAsia="Calibri"/>
                <w:color w:val="000000"/>
              </w:rPr>
            </w:pPr>
            <w:r w:rsidRPr="00BD3678">
              <w:rPr>
                <w:rFonts w:eastAsia="Calibri"/>
                <w:color w:val="000000"/>
              </w:rPr>
              <w:t xml:space="preserve">För att minska risken för felkoppling och förväxling ska pumparna placeras så att </w:t>
            </w:r>
            <w:proofErr w:type="spellStart"/>
            <w:r w:rsidRPr="00BD3678">
              <w:rPr>
                <w:rFonts w:eastAsia="Calibri"/>
                <w:color w:val="000000"/>
              </w:rPr>
              <w:t>propofolpumpen</w:t>
            </w:r>
            <w:proofErr w:type="spellEnd"/>
            <w:r w:rsidRPr="00BD3678">
              <w:rPr>
                <w:rFonts w:eastAsia="Calibri"/>
                <w:color w:val="000000"/>
              </w:rPr>
              <w:t xml:space="preserve"> </w:t>
            </w:r>
            <w:r w:rsidRPr="00BD3678">
              <w:rPr>
                <w:rFonts w:eastAsia="Calibri"/>
                <w:b/>
                <w:bCs/>
                <w:color w:val="000000"/>
              </w:rPr>
              <w:t>alltid</w:t>
            </w:r>
            <w:r w:rsidRPr="00BD3678">
              <w:rPr>
                <w:rFonts w:eastAsia="Calibri"/>
                <w:color w:val="000000"/>
              </w:rPr>
              <w:t xml:space="preserve"> sätts överst på droppställningen med </w:t>
            </w:r>
            <w:proofErr w:type="spellStart"/>
            <w:r w:rsidRPr="00BD3678">
              <w:rPr>
                <w:rFonts w:eastAsia="Calibri"/>
                <w:color w:val="000000"/>
              </w:rPr>
              <w:t>remifentanilpumpen</w:t>
            </w:r>
            <w:proofErr w:type="spellEnd"/>
            <w:r w:rsidRPr="00BD3678">
              <w:rPr>
                <w:rFonts w:eastAsia="Calibri"/>
                <w:color w:val="000000"/>
              </w:rPr>
              <w:t xml:space="preserve"> nedanför.</w:t>
            </w:r>
          </w:p>
          <w:p w:rsidRPr="00BD3678" w:rsidR="00BD3678" w:rsidP="003E4B88" w:rsidRDefault="00BD3678" w14:paraId="1C02DCAF" w14:textId="7777777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eastAsia="Calibri"/>
                <w:b/>
                <w:bCs/>
                <w:color w:val="000000"/>
              </w:rPr>
            </w:pPr>
          </w:p>
        </w:tc>
      </w:tr>
    </w:tbl>
    <w:p w:rsidR="00D47C0E" w:rsidP="00D47C0E" w:rsidRDefault="00660765" w14:paraId="42436EAB" w14:textId="77777777">
      <w:pPr>
        <w:spacing w:line="240" w:lineRule="auto"/>
      </w:pPr>
      <w:r w:rsidRPr="00660765">
        <w:t xml:space="preserve">Inledning sker lämpligen med att propofol startas först (för att minska risken för rigiditet) och efter </w:t>
      </w:r>
      <w:proofErr w:type="gramStart"/>
      <w:r w:rsidRPr="00660765">
        <w:t>15-30</w:t>
      </w:r>
      <w:proofErr w:type="gramEnd"/>
      <w:r w:rsidRPr="00660765">
        <w:t xml:space="preserve"> sekunder startas </w:t>
      </w:r>
      <w:proofErr w:type="spellStart"/>
      <w:r w:rsidRPr="00660765">
        <w:t>remifentanil</w:t>
      </w:r>
      <w:proofErr w:type="spellEnd"/>
      <w:r w:rsidRPr="00660765">
        <w:t xml:space="preserve">. Vid otillräckligt anestesidjup ökas </w:t>
      </w:r>
      <w:proofErr w:type="spellStart"/>
      <w:r w:rsidRPr="00660765">
        <w:t>Cet</w:t>
      </w:r>
      <w:proofErr w:type="spellEnd"/>
      <w:r w:rsidRPr="00660765">
        <w:t xml:space="preserve"> för propofol i steg om 1 mikrogram/ml. </w:t>
      </w:r>
      <w:r w:rsidR="00D47C0E">
        <w:br/>
      </w:r>
    </w:p>
    <w:p w:rsidRPr="00660765" w:rsidR="00660765" w:rsidP="00D47C0E" w:rsidRDefault="00660765" w14:paraId="4F0BEBE7" w14:textId="2407D90B">
      <w:pPr>
        <w:spacing w:line="240" w:lineRule="auto"/>
      </w:pPr>
      <w:r w:rsidRPr="00660765">
        <w:t>Kontrollerad andning krävs under anestesin.</w:t>
      </w:r>
      <w:r w:rsidR="00D47C0E">
        <w:br/>
      </w:r>
      <w:r w:rsidR="00D47C0E">
        <w:br/>
      </w:r>
      <w:r w:rsidRPr="00660765">
        <w:t>Under anestesin uppträder ofta en relativ bradykardi, vilken kan kuperas med atropin. Blodtrycksfall behandlas enligt gängse rutiner; justering av anestesidjup och Efedrin i intermittenta doser.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66076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88BF0BB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87ABB8C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4B88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0765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33D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3678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47C0E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68B8640"/>
    <w:rsid w:val="276B1720"/>
    <w:rsid w:val="2A87408D"/>
    <w:rsid w:val="30EBECE1"/>
    <w:rsid w:val="4B4DC71E"/>
    <w:rsid w:val="635F885E"/>
    <w:rsid w:val="647B2B65"/>
    <w:rsid w:val="659296B7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0c3dea96a22641ad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4ec1e8-c42f-4af0-a77b-141e13ee1ca0}"/>
      </w:docPartPr>
      <w:docPartBody>
        <w:p xmlns:wp14="http://schemas.microsoft.com/office/word/2010/wordml" w14:paraId="589E3387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Propofol - Remifentanil (Ultiva) - TCI</dc:title>
  <dc:subject/>
  <dc:creator>patrik.jens.johansson@vgregion.se</dc:creator>
  <keywords/>
  <lastModifiedBy>Anna-Karin Blomqvist</lastModifiedBy>
  <revision>9</revision>
  <lastPrinted>2016-03-31T10:56:00.0000000Z</lastPrinted>
  <dcterms:created xsi:type="dcterms:W3CDTF">2022-03-01T13:15:00.0000000Z</dcterms:created>
  <dcterms:modified xsi:type="dcterms:W3CDTF">2024-10-24T06:04:08.0000000Z</dcterms:modified>
</coreProperties>
</file>