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F20F8E" w14:textId="77777777" w:rsidR="00200B45" w:rsidRDefault="00200B45" w:rsidP="00F35B05">
      <w:pPr>
        <w:pStyle w:val="Rubrik2"/>
        <w:sectPr w:rsidR="00200B45" w:rsidSect="00200B45">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E09BEF0" w14:textId="67E614E4" w:rsidR="107C4608" w:rsidRDefault="107C4608" w:rsidP="027248E1">
      <w:pPr>
        <w:pStyle w:val="Rubrik1"/>
        <w:ind w:left="0"/>
      </w:pPr>
      <w:r>
        <w:t>Medicinering i samband med operation</w:t>
      </w:r>
    </w:p>
    <w:p w14:paraId="5C4B8CB5" w14:textId="1455EBAE" w:rsidR="00200B45" w:rsidRPr="00200B45" w:rsidRDefault="107C4608" w:rsidP="027248E1">
      <w:pPr>
        <w:pStyle w:val="Rubrik2"/>
        <w:ind w:left="0"/>
        <w:rPr>
          <w:rFonts w:ascii="Arial" w:hAnsi="Arial"/>
          <w:b/>
        </w:rPr>
      </w:pPr>
      <w:r>
        <w:t xml:space="preserve">Förändringar sedan föregående </w:t>
      </w:r>
      <w:r w:rsidR="00200B45">
        <w:t>version</w:t>
      </w:r>
    </w:p>
    <w:p w14:paraId="5961D897" w14:textId="2FEB9EB2" w:rsidR="00200B45" w:rsidRPr="00200B45" w:rsidRDefault="00200B45" w:rsidP="027248E1">
      <w:pPr>
        <w:ind w:left="0"/>
        <w:rPr>
          <w:rFonts w:ascii="Arial" w:hAnsi="Arial" w:cs="Arial"/>
          <w:sz w:val="20"/>
          <w:szCs w:val="20"/>
        </w:rPr>
      </w:pPr>
      <w:r>
        <w:t>Förlängd giltighet.</w:t>
      </w:r>
      <w:r w:rsidR="008A2602">
        <w:t xml:space="preserve"> </w:t>
      </w:r>
    </w:p>
    <w:p w14:paraId="4DBF04D8" w14:textId="77777777" w:rsidR="00200B45" w:rsidRPr="00200B45" w:rsidRDefault="00200B45" w:rsidP="027248E1">
      <w:pPr>
        <w:pStyle w:val="Rubrik2"/>
        <w:ind w:left="0"/>
        <w:rPr>
          <w:rFonts w:ascii="Arial" w:hAnsi="Arial"/>
          <w:b/>
        </w:rPr>
      </w:pPr>
      <w:r>
        <w:t>Bakgrund, syfte och mål</w:t>
      </w:r>
    </w:p>
    <w:p w14:paraId="3429AFAE" w14:textId="77777777" w:rsidR="00200B45" w:rsidRPr="00200B45" w:rsidRDefault="00200B45" w:rsidP="027248E1">
      <w:pPr>
        <w:ind w:left="0"/>
        <w:rPr>
          <w:rFonts w:ascii="Arial" w:hAnsi="Arial" w:cs="Arial"/>
          <w:sz w:val="20"/>
          <w:szCs w:val="20"/>
        </w:rPr>
      </w:pPr>
      <w:r>
        <w:t xml:space="preserve">Beskriver preoperativ medicinering. </w:t>
      </w:r>
    </w:p>
    <w:p w14:paraId="0B14C6FC" w14:textId="77777777" w:rsidR="00200B45" w:rsidRPr="00200B45" w:rsidRDefault="00200B45" w:rsidP="027248E1">
      <w:pPr>
        <w:pStyle w:val="Rubrik2"/>
        <w:ind w:left="0"/>
        <w:rPr>
          <w:rFonts w:ascii="Arial" w:hAnsi="Arial"/>
          <w:b/>
        </w:rPr>
      </w:pPr>
      <w:r>
        <w:t>Arbetsbeskrivning</w:t>
      </w:r>
    </w:p>
    <w:p w14:paraId="3B95D2E9" w14:textId="6A8E1370" w:rsidR="00200B45" w:rsidRPr="00200B45" w:rsidRDefault="00200B45" w:rsidP="027248E1">
      <w:pPr>
        <w:tabs>
          <w:tab w:val="left" w:pos="1221"/>
          <w:tab w:val="left" w:pos="2517"/>
          <w:tab w:val="left" w:pos="3813"/>
          <w:tab w:val="left" w:pos="5109"/>
          <w:tab w:val="left" w:pos="6405"/>
          <w:tab w:val="left" w:pos="7701"/>
          <w:tab w:val="left" w:pos="8997"/>
          <w:tab w:val="left" w:pos="10293"/>
        </w:tabs>
        <w:spacing w:line="240" w:lineRule="auto"/>
        <w:ind w:left="0"/>
        <w:rPr>
          <w:rFonts w:ascii="Arial" w:hAnsi="Arial" w:cs="Arial"/>
          <w:color w:val="000000" w:themeColor="text2"/>
          <w:sz w:val="20"/>
          <w:szCs w:val="20"/>
        </w:rPr>
      </w:pPr>
      <w:r>
        <w:t xml:space="preserve">Det är väsentligt att bibehålla medicinering vid vissa sjukdomar även om patienten genomgår operativa ingrepp. Liberalare syn på fasta medger tablettintag med vätska preoperativt. Under förutsättning att mag-tarmkanalen fungerar adekvat kan alltså sedvanlig medicinering bibehållas operationsdagens morgon. </w:t>
      </w:r>
      <w:r>
        <w:br/>
        <w:t>Denna lista grundar sig på Rek läkemedel i Skaraborg men givetvis skall preparat som inte är upptagna i listan och till sin funktion likartade även tas.</w:t>
      </w:r>
      <w:r>
        <w:br/>
      </w:r>
    </w:p>
    <w:p w14:paraId="7DC9166C" w14:textId="77777777" w:rsidR="00200B45" w:rsidRPr="00200B45" w:rsidRDefault="00200B45" w:rsidP="027248E1">
      <w:pPr>
        <w:tabs>
          <w:tab w:val="left" w:pos="1221"/>
          <w:tab w:val="left" w:pos="2517"/>
          <w:tab w:val="left" w:pos="3813"/>
          <w:tab w:val="left" w:pos="5109"/>
          <w:tab w:val="left" w:pos="6405"/>
          <w:tab w:val="left" w:pos="7701"/>
          <w:tab w:val="left" w:pos="8997"/>
          <w:tab w:val="left" w:pos="10293"/>
        </w:tabs>
        <w:ind w:left="0"/>
        <w:rPr>
          <w:rFonts w:ascii="Arial" w:hAnsi="Arial" w:cs="Arial"/>
          <w:b/>
          <w:bCs/>
          <w:color w:val="000000" w:themeColor="text2"/>
          <w:sz w:val="20"/>
          <w:szCs w:val="20"/>
        </w:rPr>
      </w:pPr>
      <w:r w:rsidRPr="027248E1">
        <w:rPr>
          <w:b/>
          <w:bCs/>
        </w:rPr>
        <w:t xml:space="preserve">Grupp A. Matsmältningsorgan och ämnesomsättning </w:t>
      </w:r>
      <w:r>
        <w:t xml:space="preserve"> </w:t>
      </w:r>
    </w:p>
    <w:p w14:paraId="79CD7660" w14:textId="478213F1" w:rsidR="00200B45" w:rsidRPr="00200B45" w:rsidRDefault="00200B45" w:rsidP="027248E1">
      <w:pPr>
        <w:tabs>
          <w:tab w:val="left" w:pos="1221"/>
          <w:tab w:val="left" w:pos="2517"/>
          <w:tab w:val="left" w:pos="3813"/>
          <w:tab w:val="left" w:pos="5109"/>
          <w:tab w:val="left" w:pos="6405"/>
          <w:tab w:val="left" w:pos="7701"/>
          <w:tab w:val="left" w:pos="8997"/>
          <w:tab w:val="left" w:pos="10293"/>
        </w:tabs>
        <w:spacing w:line="240" w:lineRule="auto"/>
        <w:ind w:left="0"/>
        <w:rPr>
          <w:rFonts w:ascii="Arial" w:hAnsi="Arial" w:cs="Arial"/>
          <w:color w:val="000000" w:themeColor="text2"/>
          <w:sz w:val="20"/>
          <w:szCs w:val="20"/>
        </w:rPr>
      </w:pPr>
      <w:r w:rsidRPr="027248E1">
        <w:rPr>
          <w:b/>
          <w:bCs/>
        </w:rPr>
        <w:t xml:space="preserve">Medel vid hyperaciditet och ulcus </w:t>
      </w:r>
      <w:r>
        <w:t>med mera kan tas.</w:t>
      </w:r>
      <w:r>
        <w:br/>
      </w:r>
      <w:r w:rsidRPr="027248E1">
        <w:rPr>
          <w:b/>
          <w:bCs/>
        </w:rPr>
        <w:t>Antikolinergika</w:t>
      </w:r>
      <w:r>
        <w:t xml:space="preserve"> och </w:t>
      </w:r>
      <w:r w:rsidRPr="027248E1">
        <w:rPr>
          <w:b/>
          <w:bCs/>
        </w:rPr>
        <w:t>spasmolytika</w:t>
      </w:r>
      <w:r>
        <w:t xml:space="preserve"> samt </w:t>
      </w:r>
      <w:r w:rsidRPr="027248E1">
        <w:rPr>
          <w:b/>
          <w:bCs/>
        </w:rPr>
        <w:t xml:space="preserve">laxantia </w:t>
      </w:r>
      <w:r>
        <w:t>bör ej tas.</w:t>
      </w:r>
      <w:r>
        <w:br/>
      </w:r>
      <w:r w:rsidRPr="027248E1">
        <w:rPr>
          <w:b/>
          <w:bCs/>
        </w:rPr>
        <w:t>Antidiarroika</w:t>
      </w:r>
      <w:r>
        <w:t xml:space="preserve"> och </w:t>
      </w:r>
      <w:r w:rsidRPr="027248E1">
        <w:rPr>
          <w:b/>
          <w:bCs/>
        </w:rPr>
        <w:t>medel vid intestinala infektioner och inflammationer</w:t>
      </w:r>
      <w:r>
        <w:t xml:space="preserve"> bör tas.</w:t>
      </w:r>
      <w:r>
        <w:br/>
      </w:r>
      <w:r w:rsidRPr="027248E1">
        <w:rPr>
          <w:b/>
          <w:bCs/>
        </w:rPr>
        <w:t>Diabetesmedel</w:t>
      </w:r>
      <w:r>
        <w:t xml:space="preserve"> tas enligt särskild ordination, var god </w:t>
      </w:r>
      <w:hyperlink r:id="rId17">
        <w:r>
          <w:t xml:space="preserve">se särskilt </w:t>
        </w:r>
      </w:hyperlink>
      <w:r>
        <w:t xml:space="preserve">styrdokument. </w:t>
      </w:r>
      <w:r>
        <w:br/>
      </w:r>
      <w:r w:rsidRPr="027248E1">
        <w:rPr>
          <w:b/>
          <w:bCs/>
        </w:rPr>
        <w:t xml:space="preserve">Vitaminer och mineralämnen </w:t>
      </w:r>
      <w:r>
        <w:t>tas ej operationsdagen.</w:t>
      </w:r>
    </w:p>
    <w:p w14:paraId="5A4345B9" w14:textId="77777777" w:rsidR="00200B45" w:rsidRPr="00200B45" w:rsidRDefault="00200B45" w:rsidP="00200B45">
      <w:pPr>
        <w:tabs>
          <w:tab w:val="left" w:pos="1221"/>
          <w:tab w:val="left" w:pos="2517"/>
          <w:tab w:val="left" w:pos="3813"/>
          <w:tab w:val="left" w:pos="5109"/>
          <w:tab w:val="left" w:pos="6405"/>
          <w:tab w:val="left" w:pos="7701"/>
          <w:tab w:val="left" w:pos="8997"/>
          <w:tab w:val="left" w:pos="10293"/>
        </w:tabs>
        <w:autoSpaceDE w:val="0"/>
        <w:autoSpaceDN w:val="0"/>
        <w:adjustRightInd w:val="0"/>
        <w:spacing w:after="0" w:line="240" w:lineRule="auto"/>
        <w:ind w:left="0" w:right="0"/>
        <w:rPr>
          <w:rFonts w:ascii="Arial" w:hAnsi="Arial" w:cs="Arial"/>
          <w:color w:val="000000"/>
          <w:sz w:val="20"/>
          <w:szCs w:val="20"/>
        </w:rPr>
      </w:pPr>
    </w:p>
    <w:p w14:paraId="02AAEEAC" w14:textId="77777777" w:rsidR="00200B45" w:rsidRPr="00200B45" w:rsidRDefault="00200B45" w:rsidP="027248E1">
      <w:pPr>
        <w:tabs>
          <w:tab w:val="left" w:pos="1221"/>
          <w:tab w:val="left" w:pos="2517"/>
          <w:tab w:val="left" w:pos="3813"/>
          <w:tab w:val="left" w:pos="5109"/>
          <w:tab w:val="left" w:pos="6405"/>
          <w:tab w:val="left" w:pos="7701"/>
          <w:tab w:val="left" w:pos="8997"/>
          <w:tab w:val="left" w:pos="10293"/>
        </w:tabs>
        <w:ind w:left="0"/>
        <w:rPr>
          <w:rFonts w:ascii="Arial" w:hAnsi="Arial" w:cs="Arial"/>
          <w:b/>
          <w:bCs/>
          <w:color w:val="000000" w:themeColor="text2"/>
          <w:sz w:val="20"/>
          <w:szCs w:val="20"/>
        </w:rPr>
      </w:pPr>
      <w:r w:rsidRPr="027248E1">
        <w:rPr>
          <w:b/>
          <w:bCs/>
        </w:rPr>
        <w:t>Grupp B. Blod och blodbildande organ</w:t>
      </w:r>
    </w:p>
    <w:p w14:paraId="7B8AC7D9" w14:textId="6EA9D792" w:rsidR="00200B45" w:rsidRPr="00200B45" w:rsidRDefault="00200B45" w:rsidP="027248E1">
      <w:pPr>
        <w:tabs>
          <w:tab w:val="left" w:pos="1221"/>
          <w:tab w:val="left" w:pos="2517"/>
          <w:tab w:val="left" w:pos="3813"/>
          <w:tab w:val="left" w:pos="5109"/>
          <w:tab w:val="left" w:pos="6405"/>
          <w:tab w:val="left" w:pos="7701"/>
          <w:tab w:val="left" w:pos="8997"/>
          <w:tab w:val="left" w:pos="10293"/>
        </w:tabs>
        <w:spacing w:line="240" w:lineRule="auto"/>
        <w:ind w:left="0"/>
        <w:rPr>
          <w:rFonts w:ascii="Arial" w:hAnsi="Arial" w:cs="Arial"/>
          <w:color w:val="000000" w:themeColor="text2"/>
          <w:sz w:val="20"/>
          <w:szCs w:val="20"/>
        </w:rPr>
      </w:pPr>
      <w:r>
        <w:t xml:space="preserve">Beträffande </w:t>
      </w:r>
      <w:r w:rsidRPr="66F18636">
        <w:rPr>
          <w:b/>
          <w:bCs/>
        </w:rPr>
        <w:t>antikoagulantia</w:t>
      </w:r>
      <w:r>
        <w:t xml:space="preserve">, var god se styrdokument: </w:t>
      </w:r>
      <w:hyperlink r:id="rId18">
        <w:r w:rsidRPr="66F18636">
          <w:rPr>
            <w:rStyle w:val="Hyperlnk"/>
          </w:rPr>
          <w:t>Epidural smärtlindring i slutenvård</w:t>
        </w:r>
      </w:hyperlink>
      <w:r>
        <w:t xml:space="preserve"> </w:t>
      </w:r>
      <w:r>
        <w:br/>
        <w:t xml:space="preserve">Se även styrdokument från medicinkliniken: </w:t>
      </w:r>
      <w:hyperlink r:id="rId19">
        <w:r w:rsidRPr="66F18636">
          <w:rPr>
            <w:rStyle w:val="Hyperlnk"/>
          </w:rPr>
          <w:t>Antikoagulantia och trombocythämmare – kliniska råd.</w:t>
        </w:r>
        <w:r>
          <w:br/>
        </w:r>
      </w:hyperlink>
      <w:r w:rsidRPr="66F18636">
        <w:rPr>
          <w:b/>
          <w:bCs/>
        </w:rPr>
        <w:t>Haemostatika.</w:t>
      </w:r>
      <w:r>
        <w:t xml:space="preserve"> Cyklokapron och Konakion ges.</w:t>
      </w:r>
      <w:r>
        <w:br/>
      </w:r>
      <w:r w:rsidRPr="66F18636">
        <w:rPr>
          <w:b/>
          <w:bCs/>
        </w:rPr>
        <w:t xml:space="preserve">Medel vid anemier </w:t>
      </w:r>
      <w:r>
        <w:t xml:space="preserve">och </w:t>
      </w:r>
      <w:r w:rsidRPr="66F18636">
        <w:rPr>
          <w:b/>
          <w:bCs/>
        </w:rPr>
        <w:t>serumlipidsänkande medel</w:t>
      </w:r>
      <w:r>
        <w:t xml:space="preserve"> ges ej.</w:t>
      </w:r>
    </w:p>
    <w:p w14:paraId="269364EB" w14:textId="77777777" w:rsidR="00200B45" w:rsidRPr="00200B45" w:rsidRDefault="00200B45" w:rsidP="00200B45">
      <w:pPr>
        <w:tabs>
          <w:tab w:val="left" w:pos="1221"/>
          <w:tab w:val="left" w:pos="2517"/>
          <w:tab w:val="left" w:pos="3813"/>
          <w:tab w:val="left" w:pos="5109"/>
          <w:tab w:val="left" w:pos="6405"/>
          <w:tab w:val="left" w:pos="7701"/>
          <w:tab w:val="left" w:pos="8997"/>
          <w:tab w:val="left" w:pos="10293"/>
        </w:tabs>
        <w:autoSpaceDE w:val="0"/>
        <w:autoSpaceDN w:val="0"/>
        <w:adjustRightInd w:val="0"/>
        <w:spacing w:after="0" w:line="240" w:lineRule="auto"/>
        <w:ind w:left="0" w:right="0"/>
        <w:rPr>
          <w:rFonts w:ascii="Arial" w:hAnsi="Arial" w:cs="Arial"/>
          <w:b/>
          <w:color w:val="000000"/>
          <w:sz w:val="20"/>
          <w:szCs w:val="20"/>
        </w:rPr>
      </w:pPr>
    </w:p>
    <w:p w14:paraId="7F93643C" w14:textId="0AA0C9AC" w:rsidR="00200B45" w:rsidRPr="00200B45" w:rsidRDefault="00200B45" w:rsidP="027248E1">
      <w:pPr>
        <w:tabs>
          <w:tab w:val="left" w:pos="1221"/>
          <w:tab w:val="left" w:pos="2517"/>
          <w:tab w:val="left" w:pos="3813"/>
          <w:tab w:val="left" w:pos="5109"/>
          <w:tab w:val="left" w:pos="6405"/>
          <w:tab w:val="left" w:pos="7701"/>
          <w:tab w:val="left" w:pos="8997"/>
          <w:tab w:val="left" w:pos="10293"/>
        </w:tabs>
        <w:ind w:left="0"/>
        <w:rPr>
          <w:rFonts w:ascii="Arial" w:hAnsi="Arial" w:cs="Arial"/>
          <w:b/>
          <w:bCs/>
          <w:color w:val="000000" w:themeColor="text2"/>
          <w:sz w:val="20"/>
          <w:szCs w:val="20"/>
        </w:rPr>
      </w:pPr>
      <w:r>
        <w:br/>
      </w:r>
      <w:r>
        <w:br/>
      </w:r>
      <w:r>
        <w:br/>
      </w:r>
      <w:r>
        <w:lastRenderedPageBreak/>
        <w:br/>
      </w:r>
      <w:r w:rsidRPr="027248E1">
        <w:rPr>
          <w:b/>
          <w:bCs/>
        </w:rPr>
        <w:t>Grupp C. Hjärta och kretslopp</w:t>
      </w:r>
    </w:p>
    <w:p w14:paraId="447FBB31" w14:textId="7E87D3C9" w:rsidR="00200B45" w:rsidRPr="00200B45" w:rsidRDefault="00200B45" w:rsidP="027248E1">
      <w:pPr>
        <w:tabs>
          <w:tab w:val="left" w:pos="1221"/>
          <w:tab w:val="left" w:pos="2517"/>
          <w:tab w:val="left" w:pos="3813"/>
          <w:tab w:val="left" w:pos="5109"/>
          <w:tab w:val="left" w:pos="6405"/>
          <w:tab w:val="left" w:pos="7701"/>
          <w:tab w:val="left" w:pos="8997"/>
          <w:tab w:val="left" w:pos="10293"/>
        </w:tabs>
        <w:spacing w:line="240" w:lineRule="auto"/>
        <w:ind w:left="0"/>
        <w:rPr>
          <w:rFonts w:ascii="Arial" w:hAnsi="Arial" w:cs="Arial"/>
          <w:color w:val="000000" w:themeColor="text2"/>
          <w:sz w:val="20"/>
          <w:szCs w:val="20"/>
        </w:rPr>
      </w:pPr>
      <w:r w:rsidRPr="027248E1">
        <w:rPr>
          <w:b/>
          <w:bCs/>
        </w:rPr>
        <w:t>Hjärtglykosider:</w:t>
      </w:r>
      <w:r>
        <w:t xml:space="preserve"> (Lanacrist och Digitrin) bör ges i vanlig dos.</w:t>
      </w:r>
      <w:r>
        <w:br/>
      </w:r>
      <w:r w:rsidRPr="027248E1">
        <w:rPr>
          <w:b/>
          <w:bCs/>
        </w:rPr>
        <w:t>Kärlvidgande medel:</w:t>
      </w:r>
      <w:r>
        <w:t xml:space="preserve"> (Imdur, Ismo, Nitromex och Suscard) ges i vanlig dos.</w:t>
      </w:r>
      <w:r>
        <w:br/>
      </w:r>
      <w:r w:rsidRPr="027248E1">
        <w:rPr>
          <w:b/>
          <w:bCs/>
        </w:rPr>
        <w:t>ACE-hämmare:</w:t>
      </w:r>
      <w:r>
        <w:t xml:space="preserve"> (Capoten, Enalapril, Ramipril och Renitec) ges som regel ej.</w:t>
      </w:r>
      <w:r>
        <w:br/>
      </w:r>
      <w:r w:rsidRPr="027248E1">
        <w:rPr>
          <w:b/>
          <w:bCs/>
        </w:rPr>
        <w:t>Angiotensin II antagonister:</w:t>
      </w:r>
      <w:r>
        <w:t xml:space="preserve"> (Atacand, Losartan) ges som regel ej.</w:t>
      </w:r>
      <w:r>
        <w:br/>
      </w:r>
      <w:r w:rsidRPr="027248E1">
        <w:rPr>
          <w:b/>
          <w:bCs/>
        </w:rPr>
        <w:t>Kalciumantagonister:</w:t>
      </w:r>
      <w:r>
        <w:t xml:space="preserve"> (Cardizem, Felodipin, Isoptin, Norvasc och Plendil) ges i vanlig dos. </w:t>
      </w:r>
      <w:r>
        <w:br/>
      </w:r>
      <w:r w:rsidRPr="027248E1">
        <w:rPr>
          <w:b/>
          <w:bCs/>
        </w:rPr>
        <w:t>Diuretika:</w:t>
      </w:r>
      <w:r>
        <w:t xml:space="preserve"> (Amilorid, Furosemid, Impugan, Lasix Retard, Salures samt Spironolakton) ges som regel ej.</w:t>
      </w:r>
      <w:r>
        <w:br/>
      </w:r>
      <w:r w:rsidRPr="027248E1">
        <w:rPr>
          <w:b/>
          <w:bCs/>
        </w:rPr>
        <w:t>Beta-receptorblockerande medel:</w:t>
      </w:r>
      <w:r>
        <w:t xml:space="preserve"> (Atenolol, Bisoprolol, Inderal, Seloken, Sotacor, Tenormin) ges i vanlig dos.</w:t>
      </w:r>
      <w:r>
        <w:br/>
      </w:r>
      <w:r w:rsidRPr="027248E1">
        <w:rPr>
          <w:b/>
          <w:bCs/>
        </w:rPr>
        <w:t>Statiner:</w:t>
      </w:r>
      <w:r>
        <w:t xml:space="preserve"> (Simvastatin, Zocord) ges i vanlig dos.</w:t>
      </w:r>
    </w:p>
    <w:p w14:paraId="0AEC0753" w14:textId="77777777" w:rsidR="00200B45" w:rsidRPr="00200B45" w:rsidRDefault="00200B45" w:rsidP="00200B45">
      <w:pPr>
        <w:tabs>
          <w:tab w:val="left" w:pos="1221"/>
          <w:tab w:val="left" w:pos="2517"/>
          <w:tab w:val="left" w:pos="3813"/>
          <w:tab w:val="left" w:pos="5109"/>
          <w:tab w:val="left" w:pos="6405"/>
          <w:tab w:val="left" w:pos="7701"/>
          <w:tab w:val="left" w:pos="8997"/>
          <w:tab w:val="left" w:pos="10293"/>
        </w:tabs>
        <w:autoSpaceDE w:val="0"/>
        <w:autoSpaceDN w:val="0"/>
        <w:adjustRightInd w:val="0"/>
        <w:spacing w:after="0" w:line="240" w:lineRule="auto"/>
        <w:ind w:left="0" w:right="0"/>
        <w:rPr>
          <w:rFonts w:ascii="Arial" w:hAnsi="Arial" w:cs="Arial"/>
          <w:color w:val="000000"/>
          <w:sz w:val="20"/>
          <w:szCs w:val="20"/>
        </w:rPr>
      </w:pPr>
    </w:p>
    <w:p w14:paraId="1BE1A38B" w14:textId="77777777" w:rsidR="00200B45" w:rsidRPr="00200B45" w:rsidRDefault="00200B45" w:rsidP="027248E1">
      <w:pPr>
        <w:tabs>
          <w:tab w:val="left" w:pos="1221"/>
          <w:tab w:val="left" w:pos="2517"/>
          <w:tab w:val="left" w:pos="3813"/>
          <w:tab w:val="left" w:pos="5109"/>
          <w:tab w:val="left" w:pos="6405"/>
          <w:tab w:val="left" w:pos="7701"/>
          <w:tab w:val="left" w:pos="8997"/>
          <w:tab w:val="left" w:pos="10293"/>
        </w:tabs>
        <w:ind w:left="0"/>
        <w:rPr>
          <w:rFonts w:ascii="Arial" w:hAnsi="Arial" w:cs="Arial"/>
          <w:b/>
          <w:bCs/>
          <w:color w:val="000000" w:themeColor="text2"/>
          <w:sz w:val="20"/>
          <w:szCs w:val="20"/>
        </w:rPr>
      </w:pPr>
      <w:r w:rsidRPr="027248E1">
        <w:rPr>
          <w:b/>
          <w:bCs/>
        </w:rPr>
        <w:t>Grupp D. Hud</w:t>
      </w:r>
    </w:p>
    <w:p w14:paraId="065D4E78" w14:textId="77777777" w:rsidR="00200B45" w:rsidRPr="00200B45" w:rsidRDefault="00200B45" w:rsidP="027248E1">
      <w:pPr>
        <w:tabs>
          <w:tab w:val="left" w:pos="1221"/>
          <w:tab w:val="left" w:pos="2517"/>
          <w:tab w:val="left" w:pos="3813"/>
          <w:tab w:val="left" w:pos="5109"/>
          <w:tab w:val="left" w:pos="6405"/>
          <w:tab w:val="left" w:pos="7701"/>
          <w:tab w:val="left" w:pos="8997"/>
          <w:tab w:val="left" w:pos="10293"/>
        </w:tabs>
        <w:spacing w:line="240" w:lineRule="auto"/>
        <w:ind w:left="0"/>
        <w:rPr>
          <w:rFonts w:ascii="Arial" w:hAnsi="Arial" w:cs="Arial"/>
          <w:color w:val="000000" w:themeColor="text2"/>
          <w:sz w:val="20"/>
          <w:szCs w:val="20"/>
        </w:rPr>
      </w:pPr>
      <w:r>
        <w:t>Lokalbehandling bör fortsätta, såvitt det ej strider mot preoperativa rengöringsrutiner.</w:t>
      </w:r>
    </w:p>
    <w:p w14:paraId="20D82DE8" w14:textId="68EB2DCF" w:rsidR="00200B45" w:rsidRPr="00200B45" w:rsidRDefault="00200B45" w:rsidP="027248E1">
      <w:pPr>
        <w:tabs>
          <w:tab w:val="left" w:pos="1221"/>
          <w:tab w:val="left" w:pos="2517"/>
          <w:tab w:val="left" w:pos="3813"/>
          <w:tab w:val="left" w:pos="5109"/>
          <w:tab w:val="left" w:pos="6405"/>
          <w:tab w:val="left" w:pos="7701"/>
          <w:tab w:val="left" w:pos="8997"/>
          <w:tab w:val="left" w:pos="10293"/>
        </w:tabs>
        <w:spacing w:line="240" w:lineRule="auto"/>
        <w:ind w:left="0"/>
        <w:rPr>
          <w:rFonts w:ascii="Arial" w:hAnsi="Arial" w:cs="Arial"/>
          <w:b/>
          <w:bCs/>
          <w:color w:val="000000" w:themeColor="text2"/>
          <w:sz w:val="20"/>
          <w:szCs w:val="20"/>
        </w:rPr>
      </w:pPr>
      <w:r>
        <w:br/>
      </w:r>
      <w:r w:rsidRPr="027248E1">
        <w:rPr>
          <w:b/>
          <w:bCs/>
        </w:rPr>
        <w:t>Grupp G. Urin, könsorgan samt könshormoner</w:t>
      </w:r>
    </w:p>
    <w:p w14:paraId="7CC736FD" w14:textId="77777777" w:rsidR="00200B45" w:rsidRPr="00200B45" w:rsidRDefault="00200B45" w:rsidP="027248E1">
      <w:pPr>
        <w:tabs>
          <w:tab w:val="left" w:pos="1221"/>
          <w:tab w:val="left" w:pos="2517"/>
          <w:tab w:val="left" w:pos="3813"/>
          <w:tab w:val="left" w:pos="5109"/>
          <w:tab w:val="left" w:pos="6405"/>
          <w:tab w:val="left" w:pos="7701"/>
          <w:tab w:val="left" w:pos="8997"/>
          <w:tab w:val="left" w:pos="10293"/>
        </w:tabs>
        <w:spacing w:line="240" w:lineRule="auto"/>
        <w:ind w:left="0"/>
        <w:rPr>
          <w:rFonts w:ascii="Arial" w:hAnsi="Arial" w:cs="Arial"/>
          <w:color w:val="000000" w:themeColor="text2"/>
          <w:sz w:val="20"/>
          <w:szCs w:val="20"/>
        </w:rPr>
      </w:pPr>
      <w:r>
        <w:t xml:space="preserve">Substitutionsterapi kan fortsätta peroperativt. </w:t>
      </w:r>
    </w:p>
    <w:p w14:paraId="21E228D6" w14:textId="3FD669A8" w:rsidR="00200B45" w:rsidRPr="00200B45" w:rsidRDefault="00200B45" w:rsidP="027248E1">
      <w:pPr>
        <w:tabs>
          <w:tab w:val="left" w:pos="1221"/>
          <w:tab w:val="left" w:pos="2517"/>
          <w:tab w:val="left" w:pos="3813"/>
          <w:tab w:val="left" w:pos="5109"/>
          <w:tab w:val="left" w:pos="6405"/>
          <w:tab w:val="left" w:pos="7701"/>
          <w:tab w:val="left" w:pos="8997"/>
          <w:tab w:val="left" w:pos="10293"/>
        </w:tabs>
        <w:spacing w:line="240" w:lineRule="auto"/>
        <w:ind w:left="0"/>
        <w:rPr>
          <w:rFonts w:ascii="Arial" w:hAnsi="Arial" w:cs="Arial"/>
          <w:b/>
          <w:bCs/>
          <w:color w:val="000000" w:themeColor="text2"/>
          <w:sz w:val="20"/>
          <w:szCs w:val="20"/>
        </w:rPr>
      </w:pPr>
      <w:r>
        <w:br/>
      </w:r>
      <w:r w:rsidRPr="027248E1">
        <w:rPr>
          <w:b/>
          <w:bCs/>
        </w:rPr>
        <w:t>Grupp H. Hormoner exklusive könshormoner</w:t>
      </w:r>
    </w:p>
    <w:p w14:paraId="21CE6429" w14:textId="49AA0C46" w:rsidR="00200B45" w:rsidRPr="00200B45" w:rsidRDefault="00200B45" w:rsidP="027248E1">
      <w:pPr>
        <w:tabs>
          <w:tab w:val="left" w:pos="1221"/>
          <w:tab w:val="left" w:pos="2517"/>
          <w:tab w:val="left" w:pos="3813"/>
          <w:tab w:val="left" w:pos="5109"/>
          <w:tab w:val="left" w:pos="6405"/>
          <w:tab w:val="left" w:pos="7701"/>
          <w:tab w:val="left" w:pos="8997"/>
          <w:tab w:val="left" w:pos="10293"/>
        </w:tabs>
        <w:spacing w:line="240" w:lineRule="auto"/>
        <w:ind w:left="0"/>
        <w:rPr>
          <w:rFonts w:ascii="Arial" w:hAnsi="Arial" w:cs="Arial"/>
          <w:color w:val="000000" w:themeColor="text2"/>
          <w:sz w:val="20"/>
          <w:szCs w:val="20"/>
        </w:rPr>
      </w:pPr>
      <w:r w:rsidRPr="027248E1">
        <w:rPr>
          <w:b/>
          <w:bCs/>
        </w:rPr>
        <w:t>Hypofyshormoner:</w:t>
      </w:r>
      <w:r>
        <w:t xml:space="preserve"> Minirin bör ges, patienten får själv styra sin Minirindosering med målsättning normovolemi. Dessa patienter bör ha kateter perioperativt för optimal vätskebehandling. Det är av största vikt att dessa patienter ej hålls fastande utan intravenös ersättningsvätska, i tveksamma fall rekommenderas medicinkonsult. Syntocinon, ges med extra observans på vätskeretention. </w:t>
      </w:r>
      <w:r>
        <w:br/>
      </w:r>
      <w:r w:rsidRPr="027248E1">
        <w:rPr>
          <w:b/>
          <w:bCs/>
        </w:rPr>
        <w:t>Kortikosteroider</w:t>
      </w:r>
      <w:r>
        <w:t xml:space="preserve"> för systemiskt bruk, var god, </w:t>
      </w:r>
      <w:hyperlink r:id="rId20">
        <w:r>
          <w:t xml:space="preserve">se särskilt </w:t>
        </w:r>
      </w:hyperlink>
      <w:r>
        <w:t>styrdokument.</w:t>
      </w:r>
      <w:r>
        <w:br/>
      </w:r>
      <w:r w:rsidRPr="027248E1">
        <w:rPr>
          <w:b/>
          <w:bCs/>
        </w:rPr>
        <w:t>Thyreoideahormoner och antithyreoida substanser:</w:t>
      </w:r>
      <w:r>
        <w:t xml:space="preserve"> Levaxin, Thacapzol och Tiotil ges.</w:t>
      </w:r>
    </w:p>
    <w:p w14:paraId="05E53D28" w14:textId="77777777" w:rsidR="00200B45" w:rsidRPr="00200B45" w:rsidRDefault="00200B45" w:rsidP="027248E1">
      <w:pPr>
        <w:tabs>
          <w:tab w:val="left" w:pos="1221"/>
          <w:tab w:val="left" w:pos="2517"/>
          <w:tab w:val="left" w:pos="3813"/>
          <w:tab w:val="left" w:pos="5109"/>
          <w:tab w:val="left" w:pos="6405"/>
          <w:tab w:val="left" w:pos="7701"/>
          <w:tab w:val="left" w:pos="8997"/>
          <w:tab w:val="left" w:pos="10293"/>
        </w:tabs>
        <w:spacing w:line="240" w:lineRule="auto"/>
        <w:ind w:left="0"/>
      </w:pPr>
    </w:p>
    <w:p w14:paraId="1C042DFA" w14:textId="77777777" w:rsidR="00200B45" w:rsidRPr="00200B45" w:rsidRDefault="00200B45" w:rsidP="027248E1">
      <w:pPr>
        <w:tabs>
          <w:tab w:val="left" w:pos="1221"/>
          <w:tab w:val="left" w:pos="2517"/>
          <w:tab w:val="left" w:pos="3813"/>
          <w:tab w:val="left" w:pos="5109"/>
          <w:tab w:val="left" w:pos="6405"/>
          <w:tab w:val="left" w:pos="7701"/>
          <w:tab w:val="left" w:pos="8997"/>
          <w:tab w:val="left" w:pos="10293"/>
        </w:tabs>
        <w:spacing w:line="240" w:lineRule="auto"/>
        <w:ind w:left="0"/>
        <w:rPr>
          <w:rFonts w:ascii="Arial" w:hAnsi="Arial" w:cs="Arial"/>
          <w:b/>
          <w:bCs/>
          <w:color w:val="000000" w:themeColor="text2"/>
          <w:sz w:val="20"/>
          <w:szCs w:val="20"/>
        </w:rPr>
      </w:pPr>
      <w:r w:rsidRPr="027248E1">
        <w:rPr>
          <w:b/>
          <w:bCs/>
        </w:rPr>
        <w:t>Grupp J. Infektionssjukdomar</w:t>
      </w:r>
    </w:p>
    <w:p w14:paraId="156433EA" w14:textId="77777777" w:rsidR="00200B45" w:rsidRPr="00200B45" w:rsidRDefault="00200B45" w:rsidP="027248E1">
      <w:pPr>
        <w:tabs>
          <w:tab w:val="left" w:pos="1221"/>
          <w:tab w:val="left" w:pos="2517"/>
          <w:tab w:val="left" w:pos="3813"/>
          <w:tab w:val="left" w:pos="5109"/>
          <w:tab w:val="left" w:pos="6405"/>
          <w:tab w:val="left" w:pos="7701"/>
          <w:tab w:val="left" w:pos="8997"/>
          <w:tab w:val="left" w:pos="10293"/>
        </w:tabs>
        <w:spacing w:line="240" w:lineRule="auto"/>
        <w:ind w:left="0"/>
        <w:rPr>
          <w:rFonts w:ascii="Arial" w:hAnsi="Arial" w:cs="Arial"/>
          <w:color w:val="000000" w:themeColor="text2"/>
          <w:sz w:val="20"/>
          <w:szCs w:val="20"/>
        </w:rPr>
      </w:pPr>
      <w:r>
        <w:t xml:space="preserve">Antibakteriella medel ges på särskild indikation perioperativt. </w:t>
      </w:r>
    </w:p>
    <w:p w14:paraId="66C4B01F" w14:textId="77777777" w:rsidR="00200B45" w:rsidRPr="00200B45" w:rsidRDefault="00200B45" w:rsidP="027248E1">
      <w:pPr>
        <w:tabs>
          <w:tab w:val="left" w:pos="1221"/>
          <w:tab w:val="left" w:pos="2517"/>
          <w:tab w:val="left" w:pos="3813"/>
          <w:tab w:val="left" w:pos="5109"/>
          <w:tab w:val="left" w:pos="6405"/>
          <w:tab w:val="left" w:pos="7701"/>
          <w:tab w:val="left" w:pos="8997"/>
          <w:tab w:val="left" w:pos="10293"/>
        </w:tabs>
        <w:spacing w:line="240" w:lineRule="auto"/>
        <w:ind w:left="0"/>
      </w:pPr>
    </w:p>
    <w:p w14:paraId="22A570FA" w14:textId="77777777" w:rsidR="00200B45" w:rsidRPr="00200B45" w:rsidRDefault="00200B45" w:rsidP="027248E1">
      <w:pPr>
        <w:tabs>
          <w:tab w:val="left" w:pos="1221"/>
          <w:tab w:val="left" w:pos="2517"/>
          <w:tab w:val="left" w:pos="3813"/>
          <w:tab w:val="left" w:pos="5109"/>
          <w:tab w:val="left" w:pos="6405"/>
          <w:tab w:val="left" w:pos="7701"/>
          <w:tab w:val="left" w:pos="8997"/>
          <w:tab w:val="left" w:pos="10293"/>
        </w:tabs>
        <w:spacing w:line="240" w:lineRule="auto"/>
        <w:ind w:left="0"/>
        <w:rPr>
          <w:rFonts w:ascii="Arial" w:hAnsi="Arial" w:cs="Arial"/>
          <w:b/>
          <w:bCs/>
          <w:color w:val="000000" w:themeColor="text2"/>
          <w:sz w:val="20"/>
          <w:szCs w:val="20"/>
        </w:rPr>
      </w:pPr>
      <w:r w:rsidRPr="027248E1">
        <w:rPr>
          <w:b/>
          <w:bCs/>
        </w:rPr>
        <w:t>Grupp M. Rörelseapparaten</w:t>
      </w:r>
    </w:p>
    <w:p w14:paraId="5F168C2D" w14:textId="470C4DB7" w:rsidR="00200B45" w:rsidRPr="00200B45" w:rsidRDefault="00200B45" w:rsidP="027248E1">
      <w:pPr>
        <w:tabs>
          <w:tab w:val="left" w:pos="1221"/>
          <w:tab w:val="left" w:pos="2517"/>
          <w:tab w:val="left" w:pos="3813"/>
          <w:tab w:val="left" w:pos="5109"/>
          <w:tab w:val="left" w:pos="6405"/>
          <w:tab w:val="left" w:pos="7701"/>
          <w:tab w:val="left" w:pos="8997"/>
          <w:tab w:val="left" w:pos="10293"/>
        </w:tabs>
        <w:spacing w:line="240" w:lineRule="auto"/>
        <w:ind w:left="0"/>
        <w:rPr>
          <w:rFonts w:ascii="Arial" w:hAnsi="Arial" w:cs="Arial"/>
          <w:color w:val="000000" w:themeColor="text2"/>
          <w:sz w:val="20"/>
          <w:szCs w:val="20"/>
        </w:rPr>
      </w:pPr>
      <w:r w:rsidRPr="027248E1">
        <w:rPr>
          <w:b/>
          <w:bCs/>
        </w:rPr>
        <w:t>NSAID-preparat:</w:t>
      </w:r>
      <w:r>
        <w:t xml:space="preserve"> Med tanke på ökad blödningsbenägenhet av dessa preparat skall de specifikt utsättas före planerad kirurgi om så är möjligt. Var god se separat styrdokument. Ges endast på ordination.</w:t>
      </w:r>
      <w:r>
        <w:br/>
      </w:r>
      <w:r w:rsidRPr="027248E1">
        <w:rPr>
          <w:b/>
          <w:bCs/>
        </w:rPr>
        <w:t>Giktmedel:</w:t>
      </w:r>
      <w:r>
        <w:t xml:space="preserve"> kan ges.</w:t>
      </w:r>
    </w:p>
    <w:p w14:paraId="7F0C8125" w14:textId="77777777" w:rsidR="00200B45" w:rsidRPr="00200B45" w:rsidRDefault="00200B45" w:rsidP="00200B45">
      <w:pPr>
        <w:tabs>
          <w:tab w:val="left" w:pos="1221"/>
          <w:tab w:val="left" w:pos="2517"/>
          <w:tab w:val="left" w:pos="3813"/>
          <w:tab w:val="left" w:pos="5109"/>
          <w:tab w:val="left" w:pos="6405"/>
          <w:tab w:val="left" w:pos="7701"/>
          <w:tab w:val="left" w:pos="8997"/>
          <w:tab w:val="left" w:pos="10293"/>
        </w:tabs>
        <w:autoSpaceDE w:val="0"/>
        <w:autoSpaceDN w:val="0"/>
        <w:adjustRightInd w:val="0"/>
        <w:spacing w:after="0" w:line="240" w:lineRule="auto"/>
        <w:ind w:left="0" w:right="0"/>
        <w:rPr>
          <w:rFonts w:ascii="Arial" w:hAnsi="Arial" w:cs="Arial"/>
          <w:color w:val="000000"/>
          <w:sz w:val="20"/>
          <w:szCs w:val="20"/>
        </w:rPr>
      </w:pPr>
    </w:p>
    <w:p w14:paraId="1DC370BD" w14:textId="77777777" w:rsidR="00200B45" w:rsidRPr="00200B45" w:rsidRDefault="00200B45" w:rsidP="00200B45">
      <w:pPr>
        <w:tabs>
          <w:tab w:val="left" w:pos="1221"/>
          <w:tab w:val="left" w:pos="2517"/>
          <w:tab w:val="left" w:pos="3813"/>
          <w:tab w:val="left" w:pos="5109"/>
          <w:tab w:val="left" w:pos="6405"/>
          <w:tab w:val="left" w:pos="7701"/>
          <w:tab w:val="left" w:pos="8997"/>
          <w:tab w:val="left" w:pos="10293"/>
        </w:tabs>
        <w:autoSpaceDE w:val="0"/>
        <w:autoSpaceDN w:val="0"/>
        <w:adjustRightInd w:val="0"/>
        <w:spacing w:after="0" w:line="240" w:lineRule="auto"/>
        <w:ind w:left="0" w:right="0"/>
        <w:rPr>
          <w:rFonts w:ascii="Arial" w:hAnsi="Arial" w:cs="Arial"/>
          <w:b/>
          <w:color w:val="000000"/>
          <w:sz w:val="20"/>
          <w:szCs w:val="20"/>
        </w:rPr>
      </w:pPr>
    </w:p>
    <w:p w14:paraId="6DC8C5B8" w14:textId="77777777" w:rsidR="00200B45" w:rsidRPr="00200B45" w:rsidRDefault="00200B45" w:rsidP="027248E1">
      <w:pPr>
        <w:tabs>
          <w:tab w:val="left" w:pos="1221"/>
          <w:tab w:val="left" w:pos="2517"/>
          <w:tab w:val="left" w:pos="3813"/>
          <w:tab w:val="left" w:pos="5109"/>
          <w:tab w:val="left" w:pos="6405"/>
          <w:tab w:val="left" w:pos="7701"/>
          <w:tab w:val="left" w:pos="8997"/>
          <w:tab w:val="left" w:pos="10293"/>
        </w:tabs>
        <w:spacing w:line="240" w:lineRule="auto"/>
        <w:ind w:left="0"/>
        <w:rPr>
          <w:rFonts w:ascii="Arial" w:hAnsi="Arial" w:cs="Arial"/>
          <w:b/>
          <w:bCs/>
          <w:color w:val="000000" w:themeColor="text2"/>
          <w:sz w:val="20"/>
          <w:szCs w:val="20"/>
        </w:rPr>
      </w:pPr>
      <w:r w:rsidRPr="027248E1">
        <w:rPr>
          <w:b/>
          <w:bCs/>
        </w:rPr>
        <w:t>Grupp N. Nervsystemet</w:t>
      </w:r>
    </w:p>
    <w:p w14:paraId="05A4F12D" w14:textId="7195E73E" w:rsidR="00200B45" w:rsidRPr="00200B45" w:rsidRDefault="00200B45" w:rsidP="027248E1">
      <w:pPr>
        <w:tabs>
          <w:tab w:val="left" w:pos="1221"/>
          <w:tab w:val="left" w:pos="2517"/>
          <w:tab w:val="left" w:pos="3813"/>
          <w:tab w:val="left" w:pos="5109"/>
          <w:tab w:val="left" w:pos="6405"/>
          <w:tab w:val="left" w:pos="7701"/>
          <w:tab w:val="left" w:pos="8997"/>
          <w:tab w:val="left" w:pos="10293"/>
        </w:tabs>
        <w:spacing w:line="240" w:lineRule="auto"/>
        <w:ind w:left="0"/>
        <w:rPr>
          <w:rFonts w:ascii="Arial" w:hAnsi="Arial" w:cs="Arial"/>
          <w:color w:val="000000" w:themeColor="text2"/>
          <w:sz w:val="20"/>
          <w:szCs w:val="20"/>
        </w:rPr>
      </w:pPr>
      <w:r w:rsidRPr="027248E1">
        <w:rPr>
          <w:b/>
          <w:bCs/>
        </w:rPr>
        <w:t>Analgetika:</w:t>
      </w:r>
      <w:r>
        <w:t xml:space="preserve"> Ges enligt särskild ordination, tänk på att patienter med långvarig opiattillförsel (till exempel depåpreparat av Morfin och oxykodon) kan riskera </w:t>
      </w:r>
      <w:r>
        <w:lastRenderedPageBreak/>
        <w:t>abstinensproblematik om underhållsdos ej ges.</w:t>
      </w:r>
      <w:r>
        <w:br/>
      </w:r>
      <w:r w:rsidRPr="027248E1">
        <w:rPr>
          <w:b/>
          <w:bCs/>
        </w:rPr>
        <w:t xml:space="preserve">Medel vid migrän: </w:t>
      </w:r>
      <w:r>
        <w:t>bör ges om så krävs.</w:t>
      </w:r>
      <w:r w:rsidR="312DE39E">
        <w:t xml:space="preserve"> </w:t>
      </w:r>
      <w:r>
        <w:br/>
      </w:r>
      <w:r w:rsidRPr="027248E1">
        <w:rPr>
          <w:b/>
          <w:bCs/>
        </w:rPr>
        <w:t>Antiepileptika:</w:t>
      </w:r>
      <w:r>
        <w:t xml:space="preserve"> samtliga bör ges.</w:t>
      </w:r>
      <w:r>
        <w:br/>
      </w:r>
      <w:r w:rsidRPr="027248E1">
        <w:rPr>
          <w:b/>
          <w:bCs/>
        </w:rPr>
        <w:t xml:space="preserve">Medel vid parkinsonism: </w:t>
      </w:r>
      <w:r>
        <w:t xml:space="preserve">Akineton, Disipal, Eldepryl, Madopark, Pravidel, Sinemet bör ges enligt gängse dosering och över dygnets alla timmar. </w:t>
      </w:r>
      <w:r>
        <w:br/>
      </w:r>
      <w:r w:rsidRPr="027248E1">
        <w:rPr>
          <w:b/>
          <w:bCs/>
        </w:rPr>
        <w:t xml:space="preserve">Neuroleptika, ataractika, sömnmedel och antidepressiva medel: </w:t>
      </w:r>
      <w:r>
        <w:t>Kontinuitet i psykofarmakamedicinering är ofta att föredra för patienten, i vilken omfattning dessa skall tas avgörs från fall till fall.</w:t>
      </w:r>
      <w:r>
        <w:br/>
        <w:t xml:space="preserve">Beträffande </w:t>
      </w:r>
      <w:r w:rsidRPr="027248E1">
        <w:rPr>
          <w:b/>
          <w:bCs/>
        </w:rPr>
        <w:t>Litiummedicinering</w:t>
      </w:r>
      <w:r>
        <w:t xml:space="preserve">, </w:t>
      </w:r>
      <w:hyperlink r:id="rId21">
        <w:r>
          <w:t>se särskilt styrdokument</w:t>
        </w:r>
      </w:hyperlink>
      <w:r>
        <w:t>.</w:t>
      </w:r>
      <w:r>
        <w:br/>
      </w:r>
      <w:r w:rsidRPr="027248E1">
        <w:rPr>
          <w:b/>
          <w:bCs/>
        </w:rPr>
        <w:t>Övriga medel:</w:t>
      </w:r>
      <w:r>
        <w:t xml:space="preserve"> Lergigan och Theralen kan ges.</w:t>
      </w:r>
    </w:p>
    <w:p w14:paraId="205FA545" w14:textId="77777777" w:rsidR="00200B45" w:rsidRPr="00200B45" w:rsidRDefault="00200B45" w:rsidP="027248E1">
      <w:pPr>
        <w:tabs>
          <w:tab w:val="left" w:pos="1221"/>
          <w:tab w:val="left" w:pos="2517"/>
          <w:tab w:val="left" w:pos="3813"/>
          <w:tab w:val="left" w:pos="5109"/>
          <w:tab w:val="left" w:pos="6405"/>
          <w:tab w:val="left" w:pos="7701"/>
          <w:tab w:val="left" w:pos="8997"/>
          <w:tab w:val="left" w:pos="10293"/>
        </w:tabs>
        <w:spacing w:line="240" w:lineRule="auto"/>
        <w:ind w:left="0"/>
      </w:pPr>
    </w:p>
    <w:p w14:paraId="105411B9" w14:textId="77777777" w:rsidR="00200B45" w:rsidRPr="00200B45" w:rsidRDefault="00200B45" w:rsidP="027248E1">
      <w:pPr>
        <w:tabs>
          <w:tab w:val="left" w:pos="1221"/>
          <w:tab w:val="left" w:pos="2517"/>
          <w:tab w:val="left" w:pos="3813"/>
          <w:tab w:val="left" w:pos="5109"/>
          <w:tab w:val="left" w:pos="6405"/>
          <w:tab w:val="left" w:pos="7701"/>
          <w:tab w:val="left" w:pos="8997"/>
          <w:tab w:val="left" w:pos="10293"/>
        </w:tabs>
        <w:spacing w:line="240" w:lineRule="auto"/>
        <w:ind w:left="0"/>
        <w:rPr>
          <w:rFonts w:ascii="Arial" w:hAnsi="Arial" w:cs="Arial"/>
          <w:b/>
          <w:bCs/>
          <w:color w:val="000000" w:themeColor="text2"/>
          <w:sz w:val="20"/>
          <w:szCs w:val="20"/>
        </w:rPr>
      </w:pPr>
      <w:r w:rsidRPr="027248E1">
        <w:rPr>
          <w:b/>
          <w:bCs/>
        </w:rPr>
        <w:t>Grupp P. Parasitsjukdomar</w:t>
      </w:r>
    </w:p>
    <w:p w14:paraId="0D9A1BA6" w14:textId="77777777" w:rsidR="00200B45" w:rsidRPr="00200B45" w:rsidRDefault="00200B45" w:rsidP="027248E1">
      <w:pPr>
        <w:tabs>
          <w:tab w:val="left" w:pos="1221"/>
          <w:tab w:val="left" w:pos="2517"/>
          <w:tab w:val="left" w:pos="3813"/>
          <w:tab w:val="left" w:pos="5109"/>
          <w:tab w:val="left" w:pos="6405"/>
          <w:tab w:val="left" w:pos="7701"/>
          <w:tab w:val="left" w:pos="8997"/>
          <w:tab w:val="left" w:pos="10293"/>
        </w:tabs>
        <w:spacing w:line="240" w:lineRule="auto"/>
        <w:ind w:left="0"/>
        <w:rPr>
          <w:rFonts w:ascii="Arial" w:hAnsi="Arial" w:cs="Arial"/>
          <w:color w:val="000000" w:themeColor="text2"/>
          <w:sz w:val="20"/>
          <w:szCs w:val="20"/>
        </w:rPr>
      </w:pPr>
      <w:r>
        <w:t>Ges enligt speciell ordination.</w:t>
      </w:r>
    </w:p>
    <w:p w14:paraId="6C237955" w14:textId="77777777" w:rsidR="00200B45" w:rsidRPr="00200B45" w:rsidRDefault="00200B45" w:rsidP="027248E1">
      <w:pPr>
        <w:tabs>
          <w:tab w:val="left" w:pos="1221"/>
          <w:tab w:val="left" w:pos="2517"/>
          <w:tab w:val="left" w:pos="3813"/>
          <w:tab w:val="left" w:pos="5109"/>
          <w:tab w:val="left" w:pos="6405"/>
          <w:tab w:val="left" w:pos="7701"/>
          <w:tab w:val="left" w:pos="8997"/>
          <w:tab w:val="left" w:pos="10293"/>
        </w:tabs>
        <w:spacing w:line="240" w:lineRule="auto"/>
        <w:ind w:left="0"/>
      </w:pPr>
    </w:p>
    <w:p w14:paraId="218D4512" w14:textId="77777777" w:rsidR="00200B45" w:rsidRPr="00200B45" w:rsidRDefault="00200B45" w:rsidP="027248E1">
      <w:pPr>
        <w:tabs>
          <w:tab w:val="left" w:pos="1221"/>
          <w:tab w:val="left" w:pos="2517"/>
          <w:tab w:val="left" w:pos="3813"/>
          <w:tab w:val="left" w:pos="5109"/>
          <w:tab w:val="left" w:pos="6405"/>
          <w:tab w:val="left" w:pos="7701"/>
          <w:tab w:val="left" w:pos="8997"/>
          <w:tab w:val="left" w:pos="10293"/>
        </w:tabs>
        <w:spacing w:line="240" w:lineRule="auto"/>
        <w:ind w:left="0"/>
        <w:rPr>
          <w:rFonts w:ascii="Arial" w:hAnsi="Arial" w:cs="Arial"/>
          <w:b/>
          <w:bCs/>
          <w:color w:val="000000" w:themeColor="text2"/>
          <w:sz w:val="20"/>
          <w:szCs w:val="20"/>
        </w:rPr>
      </w:pPr>
      <w:r w:rsidRPr="027248E1">
        <w:rPr>
          <w:b/>
          <w:bCs/>
        </w:rPr>
        <w:t>Grupp R. Andningsorganen</w:t>
      </w:r>
    </w:p>
    <w:p w14:paraId="7B7B95A7" w14:textId="54227EF9" w:rsidR="00200B45" w:rsidRPr="00200B45" w:rsidRDefault="00200B45" w:rsidP="027248E1">
      <w:pPr>
        <w:tabs>
          <w:tab w:val="left" w:pos="1221"/>
          <w:tab w:val="left" w:pos="2517"/>
          <w:tab w:val="left" w:pos="3813"/>
          <w:tab w:val="left" w:pos="5109"/>
          <w:tab w:val="left" w:pos="6405"/>
          <w:tab w:val="left" w:pos="7701"/>
          <w:tab w:val="left" w:pos="8997"/>
          <w:tab w:val="left" w:pos="10293"/>
        </w:tabs>
        <w:spacing w:line="240" w:lineRule="auto"/>
        <w:ind w:left="0"/>
        <w:rPr>
          <w:rFonts w:ascii="Arial" w:hAnsi="Arial" w:cs="Arial"/>
          <w:color w:val="000000" w:themeColor="text2"/>
          <w:sz w:val="20"/>
          <w:szCs w:val="20"/>
        </w:rPr>
      </w:pPr>
      <w:r>
        <w:t xml:space="preserve">Medel vid nässjukdomar: </w:t>
      </w:r>
      <w:r w:rsidRPr="027248E1">
        <w:rPr>
          <w:b/>
          <w:bCs/>
        </w:rPr>
        <w:t>Avsvällande medel</w:t>
      </w:r>
      <w:r>
        <w:t xml:space="preserve"> Lomudal, Nasal och Nezeril kan ges. </w:t>
      </w:r>
      <w:r>
        <w:br/>
      </w:r>
      <w:r w:rsidRPr="027248E1">
        <w:rPr>
          <w:b/>
          <w:bCs/>
        </w:rPr>
        <w:t>Glukokortikoider:</w:t>
      </w:r>
      <w:r>
        <w:t xml:space="preserve"> Flutid Nasal, Rhinocort Aqua och Rhinocort turbuhaler kan ges.</w:t>
      </w:r>
      <w:r>
        <w:br/>
      </w:r>
      <w:r w:rsidRPr="027248E1">
        <w:rPr>
          <w:b/>
          <w:bCs/>
          <w:lang w:val="en-US"/>
        </w:rPr>
        <w:t>Antiastmatika</w:t>
      </w:r>
      <w:r w:rsidRPr="027248E1">
        <w:rPr>
          <w:lang w:val="en-US"/>
        </w:rPr>
        <w:t xml:space="preserve">: Atrovent, Becotid, Bricanyl, Lomudal, Pulmicort, Theo-Dur, Serevent och Ventoline </w:t>
      </w:r>
      <w:r w:rsidRPr="027248E1">
        <w:rPr>
          <w:b/>
          <w:bCs/>
          <w:lang w:val="en-US"/>
        </w:rPr>
        <w:t>ska ges.</w:t>
      </w:r>
      <w:r w:rsidRPr="027248E1">
        <w:rPr>
          <w:lang w:val="en-US"/>
        </w:rPr>
        <w:t xml:space="preserve"> </w:t>
      </w:r>
      <w:r>
        <w:t>Alla sprayer får tas i normal omfattning och skall av psykologiska och praktiska skäl medtas till operationsavdelningen.</w:t>
      </w:r>
      <w:r>
        <w:br/>
        <w:t xml:space="preserve">Beträffande </w:t>
      </w:r>
      <w:r w:rsidRPr="027248E1">
        <w:rPr>
          <w:b/>
          <w:bCs/>
        </w:rPr>
        <w:t>steroidmedicinering</w:t>
      </w:r>
      <w:r>
        <w:t xml:space="preserve"> generellt, se separat styrdokument. </w:t>
      </w:r>
      <w:r>
        <w:br/>
      </w:r>
      <w:r w:rsidRPr="027248E1">
        <w:rPr>
          <w:b/>
          <w:bCs/>
        </w:rPr>
        <w:t>Antihistaminer:</w:t>
      </w:r>
      <w:r>
        <w:t xml:space="preserve"> Clarityn, Tavegyl kan ges.</w:t>
      </w:r>
    </w:p>
    <w:p w14:paraId="78F40771" w14:textId="77777777" w:rsidR="00200B45" w:rsidRPr="00200B45" w:rsidRDefault="00200B45" w:rsidP="027248E1">
      <w:pPr>
        <w:tabs>
          <w:tab w:val="left" w:pos="1221"/>
          <w:tab w:val="left" w:pos="2517"/>
          <w:tab w:val="left" w:pos="3813"/>
          <w:tab w:val="left" w:pos="5109"/>
          <w:tab w:val="left" w:pos="6405"/>
          <w:tab w:val="left" w:pos="7701"/>
          <w:tab w:val="left" w:pos="8997"/>
          <w:tab w:val="left" w:pos="10293"/>
        </w:tabs>
        <w:spacing w:line="240" w:lineRule="auto"/>
        <w:ind w:left="0"/>
      </w:pPr>
    </w:p>
    <w:p w14:paraId="44CE7B61" w14:textId="77777777" w:rsidR="00200B45" w:rsidRPr="00200B45" w:rsidRDefault="00200B45" w:rsidP="027248E1">
      <w:pPr>
        <w:tabs>
          <w:tab w:val="left" w:pos="1221"/>
          <w:tab w:val="left" w:pos="2517"/>
          <w:tab w:val="left" w:pos="3813"/>
          <w:tab w:val="left" w:pos="5109"/>
          <w:tab w:val="left" w:pos="6405"/>
          <w:tab w:val="left" w:pos="7701"/>
          <w:tab w:val="left" w:pos="8997"/>
          <w:tab w:val="left" w:pos="10293"/>
        </w:tabs>
        <w:spacing w:line="240" w:lineRule="auto"/>
        <w:ind w:left="0"/>
        <w:rPr>
          <w:rFonts w:ascii="Arial" w:hAnsi="Arial" w:cs="Arial"/>
          <w:b/>
          <w:bCs/>
          <w:color w:val="000000" w:themeColor="text2"/>
          <w:sz w:val="20"/>
          <w:szCs w:val="20"/>
        </w:rPr>
      </w:pPr>
      <w:r w:rsidRPr="027248E1">
        <w:rPr>
          <w:b/>
          <w:bCs/>
        </w:rPr>
        <w:t>Grupp S. Ögon och öron</w:t>
      </w:r>
    </w:p>
    <w:p w14:paraId="3DD97B03" w14:textId="77777777" w:rsidR="00200B45" w:rsidRPr="00200B45" w:rsidRDefault="00200B45" w:rsidP="027248E1">
      <w:pPr>
        <w:tabs>
          <w:tab w:val="left" w:pos="1221"/>
          <w:tab w:val="left" w:pos="2517"/>
          <w:tab w:val="left" w:pos="3813"/>
          <w:tab w:val="left" w:pos="5109"/>
          <w:tab w:val="left" w:pos="6405"/>
          <w:tab w:val="left" w:pos="7701"/>
          <w:tab w:val="left" w:pos="8997"/>
          <w:tab w:val="left" w:pos="10293"/>
        </w:tabs>
        <w:spacing w:line="240" w:lineRule="auto"/>
        <w:ind w:left="0"/>
        <w:rPr>
          <w:rFonts w:ascii="Arial" w:hAnsi="Arial" w:cs="Arial"/>
          <w:color w:val="000000" w:themeColor="text2"/>
          <w:sz w:val="20"/>
          <w:szCs w:val="20"/>
        </w:rPr>
      </w:pPr>
      <w:r>
        <w:t xml:space="preserve">Medel vid ögonsjukdomar: </w:t>
      </w:r>
      <w:r w:rsidRPr="027248E1">
        <w:rPr>
          <w:b/>
          <w:bCs/>
        </w:rPr>
        <w:t>Lokalbehandling</w:t>
      </w:r>
      <w:r>
        <w:t xml:space="preserve"> med ögondroppar skall ges.</w:t>
      </w:r>
    </w:p>
    <w:p w14:paraId="5B50EDB1" w14:textId="77777777" w:rsidR="00200B45" w:rsidRPr="00200B45" w:rsidRDefault="00200B45" w:rsidP="00200B45">
      <w:pPr>
        <w:keepNext/>
        <w:spacing w:line="240" w:lineRule="auto"/>
        <w:ind w:left="0" w:right="0"/>
        <w:outlineLvl w:val="0"/>
        <w:rPr>
          <w:rFonts w:ascii="Arial" w:hAnsi="Arial"/>
          <w:b/>
        </w:rPr>
      </w:pPr>
    </w:p>
    <w:bookmarkEnd w:id="0"/>
    <w:p w14:paraId="76B9F95B" w14:textId="24513497" w:rsidR="00536A5A" w:rsidRPr="00536A5A" w:rsidRDefault="00536A5A" w:rsidP="00536A5A">
      <w:pPr>
        <w:spacing w:after="0" w:line="240" w:lineRule="auto"/>
        <w:ind w:left="0" w:right="0"/>
      </w:pPr>
    </w:p>
    <w:sectPr w:rsidR="00536A5A" w:rsidRPr="00536A5A" w:rsidSect="00200B45">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2058782">
    <w:abstractNumId w:val="17"/>
  </w:num>
  <w:num w:numId="2" w16cid:durableId="1551303942">
    <w:abstractNumId w:val="14"/>
  </w:num>
  <w:num w:numId="3" w16cid:durableId="76250530">
    <w:abstractNumId w:val="0"/>
  </w:num>
  <w:num w:numId="4" w16cid:durableId="357779006">
    <w:abstractNumId w:val="6"/>
  </w:num>
  <w:num w:numId="5" w16cid:durableId="334187918">
    <w:abstractNumId w:val="15"/>
  </w:num>
  <w:num w:numId="6" w16cid:durableId="924263582">
    <w:abstractNumId w:val="2"/>
  </w:num>
  <w:num w:numId="7" w16cid:durableId="1045249735">
    <w:abstractNumId w:val="11"/>
  </w:num>
  <w:num w:numId="8" w16cid:durableId="1834638503">
    <w:abstractNumId w:val="8"/>
  </w:num>
  <w:num w:numId="9" w16cid:durableId="167063044">
    <w:abstractNumId w:val="1"/>
  </w:num>
  <w:num w:numId="10" w16cid:durableId="500464001">
    <w:abstractNumId w:val="1"/>
  </w:num>
  <w:num w:numId="11" w16cid:durableId="1236433535">
    <w:abstractNumId w:val="3"/>
  </w:num>
  <w:num w:numId="12" w16cid:durableId="170216656">
    <w:abstractNumId w:val="4"/>
  </w:num>
  <w:num w:numId="13" w16cid:durableId="2042631427">
    <w:abstractNumId w:val="13"/>
  </w:num>
  <w:num w:numId="14" w16cid:durableId="1594317041">
    <w:abstractNumId w:val="9"/>
  </w:num>
  <w:num w:numId="15" w16cid:durableId="1282540143">
    <w:abstractNumId w:val="7"/>
  </w:num>
  <w:num w:numId="16" w16cid:durableId="272707180">
    <w:abstractNumId w:val="12"/>
  </w:num>
  <w:num w:numId="17" w16cid:durableId="1620914761">
    <w:abstractNumId w:val="5"/>
  </w:num>
  <w:num w:numId="18" w16cid:durableId="407457549">
    <w:abstractNumId w:val="10"/>
  </w:num>
  <w:num w:numId="19" w16cid:durableId="30297555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00B45"/>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5B90"/>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2602"/>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52902"/>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249AC15"/>
    <w:rsid w:val="027248E1"/>
    <w:rsid w:val="05665475"/>
    <w:rsid w:val="107C4608"/>
    <w:rsid w:val="145E5218"/>
    <w:rsid w:val="1ECE2072"/>
    <w:rsid w:val="247C6368"/>
    <w:rsid w:val="261833C9"/>
    <w:rsid w:val="27040936"/>
    <w:rsid w:val="289FD997"/>
    <w:rsid w:val="2E9B2E6C"/>
    <w:rsid w:val="312DE39E"/>
    <w:rsid w:val="44D34A9E"/>
    <w:rsid w:val="45FB2E50"/>
    <w:rsid w:val="49E2CA06"/>
    <w:rsid w:val="5B609D72"/>
    <w:rsid w:val="5C334A82"/>
    <w:rsid w:val="5CE34576"/>
    <w:rsid w:val="5D31038A"/>
    <w:rsid w:val="5E7F15D7"/>
    <w:rsid w:val="643E5C67"/>
    <w:rsid w:val="647B2B65"/>
    <w:rsid w:val="66F18636"/>
    <w:rsid w:val="6B2CF8ED"/>
    <w:rsid w:val="6DD403D6"/>
    <w:rsid w:val="6DF2BBD9"/>
    <w:rsid w:val="719CB5B3"/>
    <w:rsid w:val="75F83E18"/>
    <w:rsid w:val="79C6B171"/>
    <w:rsid w:val="7D763AF1"/>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kas9695-1808319850-124/surrogate" TargetMode="External" Id="rId18" /><Relationship Type="http://schemas.openxmlformats.org/officeDocument/2006/relationships/hyperlink" Target="Notes:///C1256A17004C8A6E/463B703B2E0A500AC12567DE0022BDB0/D2D07D79BD694FEFC1256D0700418BA4"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Notes:///C1256A17004C8A6E/463B703B2E0A500AC12567DE0022BDB0/AE357D66DD742532C1256D0100556835" TargetMode="External" Id="rId17" /><Relationship Type="http://schemas.openxmlformats.org/officeDocument/2006/relationships/footer" Target="footer3.xml" Id="rId16" /><Relationship Type="http://schemas.openxmlformats.org/officeDocument/2006/relationships/hyperlink" Target="Notes:///C1256A17004C8A6E/463B703B2E0A500AC12567DE0022BDB0/49420104A04729BFC1256D07003F433E"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kas9730-1455443510-161/surrogate"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0</TotalTime>
  <Pages>3</Pages>
  <Words>577</Words>
  <Characters>4609</Characters>
  <Application>Microsoft Office Word</Application>
  <DocSecurity>0</DocSecurity>
  <Lines>38</Lines>
  <Paragraphs>10</Paragraphs>
  <ScaleCrop>false</ScaleCrop>
  <Manager/>
  <Company/>
  <LinksUpToDate>false</LinksUpToDate>
  <CharactersWithSpaces>5176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Medicinering i samband med operation</dc:title>
  <dc:subject/>
  <dc:creator>patrik.jens.johansson@vgregion.se</dc:creator>
  <keywords/>
  <lastModifiedBy>Anna Lind</lastModifiedBy>
  <revision>5</revision>
  <lastPrinted>2016-03-31T10:56:00.0000000Z</lastPrinted>
  <dcterms:created xsi:type="dcterms:W3CDTF">2022-03-01T13:11:00.0000000Z</dcterms:created>
  <dcterms:modified xsi:type="dcterms:W3CDTF">2025-03-24T09:17:00.0000000Z</dcterms:modified>
</coreProperties>
</file>