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03D9D" w14:textId="77777777" w:rsidR="00160D9A" w:rsidRDefault="00160D9A" w:rsidP="009D3CBE">
      <w:pPr>
        <w:pStyle w:val="Rubrik1"/>
      </w:pPr>
      <w:bookmarkStart w:id="0" w:name="_Toc100327184"/>
      <w:bookmarkStart w:id="1" w:name="_Hlk199320361"/>
      <w:bookmarkStart w:id="2" w:name="_Toc199321043"/>
      <w:bookmarkEnd w:id="1"/>
      <w:r w:rsidRPr="00160D9A">
        <w:t>Beslutsstöd för venösa infarter till vuxna, SÄS</w:t>
      </w:r>
      <w:bookmarkEnd w:id="2"/>
    </w:p>
    <w:p w14:paraId="11BC1DCA" w14:textId="4DA68A30" w:rsidR="009A32ED" w:rsidRDefault="009A32ED" w:rsidP="009A32ED">
      <w:pPr>
        <w:pStyle w:val="Rubrik2"/>
        <w:ind w:right="-143"/>
      </w:pPr>
      <w:bookmarkStart w:id="3" w:name="_Toc199321044"/>
      <w:bookmarkStart w:id="4" w:name="_Toc199321515"/>
      <w:r>
        <w:t>Förändringar sedan föregående version</w:t>
      </w:r>
      <w:bookmarkEnd w:id="0"/>
      <w:bookmarkEnd w:id="3"/>
      <w:bookmarkEnd w:id="4"/>
    </w:p>
    <w:p w14:paraId="78CF957D" w14:textId="6F844C9F" w:rsidR="009A32ED" w:rsidRDefault="00160D9A" w:rsidP="009A32ED">
      <w:pPr>
        <w:ind w:right="-143"/>
      </w:pPr>
      <w:r>
        <w:t>Ny rutin</w:t>
      </w:r>
    </w:p>
    <w:p w14:paraId="69BCFD87" w14:textId="77777777" w:rsidR="009A32ED" w:rsidRDefault="009A32ED" w:rsidP="009A32ED">
      <w:pPr>
        <w:pStyle w:val="Rubrik2"/>
        <w:ind w:right="-143"/>
      </w:pPr>
      <w:bookmarkStart w:id="5" w:name="_Toc100327185"/>
      <w:bookmarkStart w:id="6" w:name="_Toc72840807"/>
      <w:bookmarkStart w:id="7" w:name="_Toc199321045"/>
      <w:bookmarkStart w:id="8" w:name="_Toc199321516"/>
      <w:r>
        <w:t>Sammanfattning</w:t>
      </w:r>
      <w:bookmarkEnd w:id="5"/>
      <w:bookmarkEnd w:id="7"/>
      <w:bookmarkEnd w:id="8"/>
    </w:p>
    <w:p w14:paraId="305361E2" w14:textId="0A431C85" w:rsidR="009A32ED" w:rsidRDefault="0025379D" w:rsidP="009A32ED">
      <w:pPr>
        <w:ind w:right="-143"/>
      </w:pPr>
      <w:r w:rsidRPr="0025379D">
        <w:t>Denna rutin ger vägledning för rätt val av venös infart till vuxna patienter på Södra Älvsborgs Sjukhus. Rätt infart i rätt tid sparar patientens övriga kärl för provtagning. Rutinen är ett beslutsstöd, vilket innebär att en medicinsk bedömning kan medföra avsteg.</w:t>
      </w:r>
    </w:p>
    <w:p w14:paraId="1B6A0097" w14:textId="77777777" w:rsidR="002A4993" w:rsidRDefault="002A4993" w:rsidP="002A4993">
      <w:pPr>
        <w:pStyle w:val="Rubrik2"/>
        <w:ind w:right="-143"/>
      </w:pPr>
      <w:bookmarkStart w:id="9" w:name="_Toc100327186"/>
      <w:bookmarkStart w:id="10" w:name="_Toc199321047"/>
      <w:bookmarkStart w:id="11" w:name="_Toc199321517"/>
      <w:r>
        <w:t>Bakgrund och syfte</w:t>
      </w:r>
      <w:bookmarkEnd w:id="9"/>
      <w:bookmarkEnd w:id="10"/>
      <w:bookmarkEnd w:id="11"/>
      <w:r>
        <w:t xml:space="preserve"> </w:t>
      </w:r>
    </w:p>
    <w:p w14:paraId="4CA552E8" w14:textId="77777777" w:rsidR="002A4993" w:rsidRPr="008C309A" w:rsidRDefault="002A4993" w:rsidP="002A4993">
      <w:pPr>
        <w:ind w:right="-143"/>
      </w:pPr>
      <w:r w:rsidRPr="00C35942">
        <w:t>Att säkerställa venös access för att kunna ge intravenös behandling är ett av de vanligaste ingreppen för patienter inom slutenvården. Ingreppet kräver tidig bedömning, planering och</w:t>
      </w:r>
      <w:r>
        <w:t xml:space="preserve"> </w:t>
      </w:r>
      <w:r w:rsidRPr="008C309A">
        <w:t>genomförande [1]. Det uppskattas att 90 procent av de patienter som vårdas inom akutsjukvård har behov av en kärlaccess [2].</w:t>
      </w:r>
    </w:p>
    <w:p w14:paraId="7D6A7501" w14:textId="77777777" w:rsidR="002A4993" w:rsidRPr="008C309A" w:rsidRDefault="002A4993" w:rsidP="002A4993">
      <w:pPr>
        <w:ind w:right="-143"/>
      </w:pPr>
      <w:r w:rsidRPr="008C309A">
        <w:t xml:space="preserve">En pålitlig venös access är många gånger en förutsättning för att kunna ge den vård patienten behöver, och en perifer </w:t>
      </w:r>
      <w:proofErr w:type="spellStart"/>
      <w:r w:rsidRPr="008C309A">
        <w:t>venkateter</w:t>
      </w:r>
      <w:proofErr w:type="spellEnd"/>
      <w:r w:rsidRPr="008C309A">
        <w:t xml:space="preserve"> (PVK) är det traditionella förstahandsalternativet [3]. Trots att detta ingrepp är så pass vanligt, saknas ett systematiskt arbetssätt för att bedöma patienters individuella behov.</w:t>
      </w:r>
    </w:p>
    <w:p w14:paraId="7817A8B0" w14:textId="77777777" w:rsidR="002A4993" w:rsidRPr="008C309A" w:rsidRDefault="002A4993" w:rsidP="002A4993">
      <w:pPr>
        <w:ind w:right="-143"/>
      </w:pPr>
      <w:r w:rsidRPr="008C309A">
        <w:t>Detta beslutstöd syftar till att ge läkare och sjuksköterskor vägledning för rätt val av venös infart till patienter på Södra Älvsborgs Sjukhus och för patienter som vårdas i hemmet. För flödesschema, se bilaga 1, Beslutsstöd Venösa infarter för vuxna.</w:t>
      </w:r>
    </w:p>
    <w:p w14:paraId="406CF2C6" w14:textId="77777777" w:rsidR="002A4993" w:rsidRDefault="002A4993" w:rsidP="009A32ED">
      <w:pPr>
        <w:ind w:right="-143"/>
      </w:pPr>
    </w:p>
    <w:p w14:paraId="6660DA9D" w14:textId="2A8EC736" w:rsidR="00B405A1" w:rsidRDefault="00B405A1" w:rsidP="004C23DA">
      <w:pPr>
        <w:pStyle w:val="UnderrubrikVGR"/>
      </w:pPr>
      <w:bookmarkStart w:id="12" w:name="_Toc199321046"/>
      <w:r>
        <w:lastRenderedPageBreak/>
        <w:t>Innehållsförteckning</w:t>
      </w:r>
      <w:bookmarkEnd w:id="12"/>
    </w:p>
    <w:p w14:paraId="271FFE6B" w14:textId="576C3501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3;2" </w:instrText>
      </w:r>
      <w:r>
        <w:fldChar w:fldCharType="separate"/>
      </w:r>
      <w:hyperlink w:anchor="_Toc199321515" w:history="1">
        <w:r w:rsidRPr="004B221B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1702112" w14:textId="71E976C5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16" w:history="1">
        <w:r w:rsidRPr="004B221B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5B16CFC" w14:textId="2050481C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17" w:history="1">
        <w:r w:rsidRPr="004B221B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AEB0EC" w14:textId="4E8B8A12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18" w:history="1">
        <w:r w:rsidRPr="004B221B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2C6427A" w14:textId="66566142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19" w:history="1">
        <w:r w:rsidRPr="004B221B">
          <w:rPr>
            <w:rStyle w:val="Hyperlnk"/>
            <w:rFonts w:eastAsia="MS Gothic"/>
            <w:noProof/>
          </w:rPr>
          <w:t>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F0F5A5" w14:textId="569D5407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0" w:history="1">
        <w:r w:rsidRPr="004B221B">
          <w:rPr>
            <w:rStyle w:val="Hyperlnk"/>
            <w:rFonts w:eastAsia="MS Gothic"/>
            <w:noProof/>
          </w:rPr>
          <w:t>Stöd vid val av infart utifrån patientens behandling och vårdnivå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90CA50A" w14:textId="56DC407C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1" w:history="1">
        <w:r w:rsidRPr="004B221B">
          <w:rPr>
            <w:rStyle w:val="Hyperlnk"/>
            <w:rFonts w:eastAsia="MS Gothic"/>
            <w:noProof/>
          </w:rPr>
          <w:t>A-DIVA (Adult - Difficult Intravenous Access) bedömningsskala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5245244" w14:textId="2EA605EE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2" w:history="1">
        <w:r w:rsidRPr="004B221B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D74C82D" w14:textId="1B6407C5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3" w:history="1">
        <w:r w:rsidRPr="004B221B">
          <w:rPr>
            <w:rStyle w:val="Hyperlnk"/>
            <w:rFonts w:eastAsia="MS Gothic"/>
            <w:noProof/>
          </w:rPr>
          <w:t>Remissförfarande för CVK och Midline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4305F83" w14:textId="52DD1CAA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4" w:history="1">
        <w:r w:rsidRPr="004B221B">
          <w:rPr>
            <w:rStyle w:val="Hyperlnk"/>
            <w:rFonts w:eastAsia="MS Gothic"/>
            <w:noProof/>
          </w:rPr>
          <w:t>Picc-line och subkutan venport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ECCCD20" w14:textId="5CB0FF56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5" w:history="1">
        <w:r w:rsidRPr="004B221B">
          <w:rPr>
            <w:rStyle w:val="Hyperlnk"/>
            <w:rFonts w:eastAsia="MS Gothic"/>
            <w:noProof/>
          </w:rPr>
          <w:t>Avvikelser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1E628BB" w14:textId="799BD855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6" w:history="1">
        <w:r w:rsidRPr="004B221B">
          <w:rPr>
            <w:rStyle w:val="Hyperlnk"/>
            <w:rFonts w:eastAsia="MS Gothic"/>
            <w:noProof/>
          </w:rPr>
          <w:t>Innehållsansvariga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5B55B30" w14:textId="766C0276" w:rsidR="00A40B24" w:rsidRDefault="00A40B2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7" w:history="1">
        <w:r w:rsidRPr="004B221B">
          <w:rPr>
            <w:rStyle w:val="Hyperlnk"/>
            <w:rFonts w:eastAsia="MS Gothic"/>
            <w:noProof/>
          </w:rPr>
          <w:t>Remissinstanser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977FE53" w14:textId="36E18708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8" w:history="1">
        <w:r w:rsidRPr="004B221B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B64B7B4" w14:textId="5514B435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29" w:history="1">
        <w:r w:rsidRPr="004B221B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1E85068" w14:textId="687E2D8E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30" w:history="1">
        <w:r w:rsidRPr="004B221B">
          <w:rPr>
            <w:rStyle w:val="Hyperlnk"/>
            <w:rFonts w:eastAsia="MS Gothic"/>
            <w:noProof/>
          </w:rPr>
          <w:t>Bilaga 1, Beslutsstöd Venösa infarter för vuxna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68615B5A" w14:textId="4F17BDB9" w:rsidR="00A40B24" w:rsidRDefault="00A40B24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321531" w:history="1">
        <w:r w:rsidRPr="004B221B">
          <w:rPr>
            <w:rStyle w:val="Hyperlnk"/>
            <w:rFonts w:eastAsia="MS Gothic"/>
            <w:noProof/>
          </w:rPr>
          <w:t>Bilaga 2, A-DIVA-skalan som fickkort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_Toc199321531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9F2EE8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FC6584C" w14:textId="79FA8706" w:rsidR="00B405A1" w:rsidRDefault="00A40B24" w:rsidP="009A32ED">
      <w:pPr>
        <w:ind w:right="-143"/>
      </w:pPr>
      <w:r>
        <w:fldChar w:fldCharType="end"/>
      </w:r>
    </w:p>
    <w:p w14:paraId="70B2A54A" w14:textId="77777777" w:rsidR="009A32ED" w:rsidRDefault="009A32ED" w:rsidP="009A32ED">
      <w:pPr>
        <w:pStyle w:val="Rubrik2"/>
        <w:ind w:right="-143"/>
      </w:pPr>
      <w:bookmarkStart w:id="13" w:name="_Toc100327187"/>
      <w:bookmarkStart w:id="14" w:name="_Toc199321048"/>
      <w:bookmarkStart w:id="15" w:name="_Toc199321518"/>
      <w:bookmarkEnd w:id="6"/>
      <w:r>
        <w:t>Förutsättningar</w:t>
      </w:r>
      <w:bookmarkEnd w:id="13"/>
      <w:bookmarkEnd w:id="14"/>
      <w:bookmarkEnd w:id="15"/>
    </w:p>
    <w:p w14:paraId="29F4C754" w14:textId="230BD6FD" w:rsidR="00BF5DA2" w:rsidRPr="005218AA" w:rsidRDefault="006C4E64" w:rsidP="009A32ED">
      <w:pPr>
        <w:ind w:right="-143"/>
      </w:pPr>
      <w:r w:rsidRPr="006C4E64">
        <w:rPr>
          <w:rFonts w:ascii="Verdana" w:eastAsiaTheme="majorEastAsia" w:hAnsi="Verdana" w:cstheme="majorBidi"/>
          <w:bCs/>
          <w:color w:val="000000" w:themeColor="text1"/>
          <w:sz w:val="28"/>
        </w:rPr>
        <w:t>Förkortningar och benämningar</w:t>
      </w:r>
    </w:p>
    <w:tbl>
      <w:tblPr>
        <w:tblStyle w:val="Rutntstabell4dekorfrg11"/>
        <w:tblW w:w="9405" w:type="dxa"/>
        <w:tblInd w:w="421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2849"/>
        <w:gridCol w:w="4037"/>
        <w:gridCol w:w="2519"/>
      </w:tblGrid>
      <w:tr w:rsidR="00BF5DA2" w:rsidRPr="00E12576" w14:paraId="34CF3C5C" w14:textId="77777777" w:rsidTr="00BF5D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  <w:shd w:val="clear" w:color="auto" w:fill="005B89"/>
          </w:tcPr>
          <w:p w14:paraId="2E8FB570" w14:textId="77777777" w:rsidR="00BF5DA2" w:rsidRPr="00E12576" w:rsidRDefault="00BF5DA2" w:rsidP="00A168CD">
            <w:pPr>
              <w:pStyle w:val="Tabelltext"/>
              <w:rPr>
                <w:bCs/>
              </w:rPr>
            </w:pPr>
            <w:r>
              <w:t>Infart</w:t>
            </w:r>
          </w:p>
        </w:tc>
        <w:tc>
          <w:tcPr>
            <w:tcW w:w="4037" w:type="dxa"/>
            <w:shd w:val="clear" w:color="auto" w:fill="005B89"/>
          </w:tcPr>
          <w:p w14:paraId="5A304DF2" w14:textId="77777777" w:rsidR="00BF5DA2" w:rsidRPr="00E12576" w:rsidRDefault="00BF5DA2" w:rsidP="00A168CD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t>Förklaring</w:t>
            </w:r>
          </w:p>
        </w:tc>
        <w:tc>
          <w:tcPr>
            <w:tcW w:w="2519" w:type="dxa"/>
            <w:shd w:val="clear" w:color="auto" w:fill="005B89"/>
          </w:tcPr>
          <w:p w14:paraId="0A2B28F7" w14:textId="77777777" w:rsidR="00BF5DA2" w:rsidRPr="00E12576" w:rsidRDefault="00BF5DA2" w:rsidP="00A168CD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t xml:space="preserve">Användningstid </w:t>
            </w:r>
          </w:p>
        </w:tc>
      </w:tr>
      <w:tr w:rsidR="00BF5DA2" w:rsidRPr="00625576" w14:paraId="1D3543F3" w14:textId="77777777" w:rsidTr="00BF5D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  <w:shd w:val="clear" w:color="auto" w:fill="E5E5E5" w:themeFill="background2" w:themeFillTint="33"/>
          </w:tcPr>
          <w:p w14:paraId="0D4B6AD8" w14:textId="77777777" w:rsidR="00BF5DA2" w:rsidRPr="00B102EF" w:rsidRDefault="00BF5DA2" w:rsidP="00A168CD">
            <w:pPr>
              <w:pStyle w:val="Tabelltext"/>
              <w:rPr>
                <w:bCs/>
              </w:rPr>
            </w:pPr>
            <w:r>
              <w:t>PVK</w:t>
            </w:r>
          </w:p>
        </w:tc>
        <w:tc>
          <w:tcPr>
            <w:tcW w:w="4037" w:type="dxa"/>
            <w:shd w:val="clear" w:color="auto" w:fill="E5E5E5" w:themeFill="background2" w:themeFillTint="33"/>
          </w:tcPr>
          <w:p w14:paraId="214E96A5" w14:textId="77777777" w:rsidR="00BF5DA2" w:rsidRPr="00625576" w:rsidRDefault="00BF5DA2" w:rsidP="00A168CD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 w:val="0"/>
              </w:rPr>
            </w:pPr>
            <w:r>
              <w:t xml:space="preserve">Perifer </w:t>
            </w:r>
            <w:proofErr w:type="spellStart"/>
            <w:r>
              <w:t>venkateter</w:t>
            </w:r>
            <w:proofErr w:type="spellEnd"/>
          </w:p>
        </w:tc>
        <w:tc>
          <w:tcPr>
            <w:tcW w:w="2519" w:type="dxa"/>
            <w:shd w:val="clear" w:color="auto" w:fill="E5E5E5" w:themeFill="background2" w:themeFillTint="33"/>
          </w:tcPr>
          <w:p w14:paraId="5EF5F7EE" w14:textId="77777777" w:rsidR="00BF5DA2" w:rsidRPr="00625576" w:rsidRDefault="00BF5DA2" w:rsidP="00A168CD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 w:val="0"/>
              </w:rPr>
            </w:pPr>
            <w:r>
              <w:t>Upp till 72 timmar</w:t>
            </w:r>
          </w:p>
        </w:tc>
      </w:tr>
      <w:tr w:rsidR="00BF5DA2" w:rsidRPr="00625576" w14:paraId="48592070" w14:textId="77777777" w:rsidTr="00BF5D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</w:tcPr>
          <w:p w14:paraId="1F7C76A1" w14:textId="77777777" w:rsidR="00BF5DA2" w:rsidRPr="00B102EF" w:rsidRDefault="00BF5DA2" w:rsidP="00A168CD">
            <w:pPr>
              <w:pStyle w:val="Tabelltext"/>
              <w:rPr>
                <w:bCs/>
              </w:rPr>
            </w:pPr>
            <w:r>
              <w:t>PVK, ”Deep access”</w:t>
            </w:r>
          </w:p>
        </w:tc>
        <w:tc>
          <w:tcPr>
            <w:tcW w:w="4037" w:type="dxa"/>
          </w:tcPr>
          <w:p w14:paraId="04DFBE8E" w14:textId="77777777" w:rsidR="00BF5DA2" w:rsidRPr="00625576" w:rsidRDefault="00BF5DA2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t xml:space="preserve">Perifer </w:t>
            </w:r>
            <w:proofErr w:type="spellStart"/>
            <w:r>
              <w:t>venkateter</w:t>
            </w:r>
            <w:proofErr w:type="spellEnd"/>
            <w:r>
              <w:t xml:space="preserve">, något längre och av materialet polyuretan. </w:t>
            </w:r>
            <w:r>
              <w:br/>
              <w:t>Läggs med hjälp av ultraljud (PUGVA).</w:t>
            </w:r>
          </w:p>
        </w:tc>
        <w:tc>
          <w:tcPr>
            <w:tcW w:w="2519" w:type="dxa"/>
          </w:tcPr>
          <w:p w14:paraId="169E0CAE" w14:textId="77777777" w:rsidR="00BF5DA2" w:rsidRPr="00625576" w:rsidRDefault="00BF5DA2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t>Upp till 7 dagar</w:t>
            </w:r>
          </w:p>
        </w:tc>
      </w:tr>
      <w:tr w:rsidR="00BF5DA2" w:rsidRPr="00625576" w14:paraId="75353350" w14:textId="77777777" w:rsidTr="00BF5D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  <w:shd w:val="clear" w:color="auto" w:fill="E5E5E5" w:themeFill="background2" w:themeFillTint="33"/>
          </w:tcPr>
          <w:p w14:paraId="1E3E4F7E" w14:textId="77777777" w:rsidR="00BF5DA2" w:rsidRPr="00B102EF" w:rsidRDefault="00BF5DA2" w:rsidP="00A168CD">
            <w:pPr>
              <w:pStyle w:val="Tabelltext"/>
              <w:rPr>
                <w:bCs/>
              </w:rPr>
            </w:pPr>
            <w:proofErr w:type="spellStart"/>
            <w:r>
              <w:t>Midline</w:t>
            </w:r>
            <w:proofErr w:type="spellEnd"/>
          </w:p>
        </w:tc>
        <w:tc>
          <w:tcPr>
            <w:tcW w:w="4037" w:type="dxa"/>
            <w:shd w:val="clear" w:color="auto" w:fill="E5E5E5" w:themeFill="background2" w:themeFillTint="33"/>
          </w:tcPr>
          <w:p w14:paraId="577C5057" w14:textId="77777777" w:rsidR="00BF5DA2" w:rsidRPr="00625576" w:rsidRDefault="00BF5DA2" w:rsidP="00A168CD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 w:val="0"/>
              </w:rPr>
            </w:pPr>
            <w:r>
              <w:t xml:space="preserve">Perifer långtidskateter. Lång PVK </w:t>
            </w:r>
          </w:p>
        </w:tc>
        <w:tc>
          <w:tcPr>
            <w:tcW w:w="2519" w:type="dxa"/>
            <w:shd w:val="clear" w:color="auto" w:fill="E5E5E5" w:themeFill="background2" w:themeFillTint="33"/>
          </w:tcPr>
          <w:p w14:paraId="572302F4" w14:textId="77777777" w:rsidR="00BF5DA2" w:rsidRPr="00625576" w:rsidRDefault="00BF5DA2" w:rsidP="00A168CD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 w:val="0"/>
              </w:rPr>
            </w:pPr>
            <w:r>
              <w:t>Upp till 29 dagar</w:t>
            </w:r>
          </w:p>
        </w:tc>
      </w:tr>
      <w:tr w:rsidR="00BF5DA2" w:rsidRPr="00625576" w14:paraId="27AB272E" w14:textId="77777777" w:rsidTr="00BF5D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</w:tcPr>
          <w:p w14:paraId="14FE7AC0" w14:textId="77777777" w:rsidR="00BF5DA2" w:rsidRPr="00B102EF" w:rsidRDefault="00BF5DA2" w:rsidP="00A168CD">
            <w:pPr>
              <w:pStyle w:val="Tabelltext"/>
              <w:rPr>
                <w:bCs/>
              </w:rPr>
            </w:pPr>
            <w:r>
              <w:lastRenderedPageBreak/>
              <w:t>PICC-</w:t>
            </w:r>
            <w:proofErr w:type="spellStart"/>
            <w:r>
              <w:t>line</w:t>
            </w:r>
            <w:proofErr w:type="spellEnd"/>
          </w:p>
        </w:tc>
        <w:tc>
          <w:tcPr>
            <w:tcW w:w="4037" w:type="dxa"/>
          </w:tcPr>
          <w:p w14:paraId="01B7E6CE" w14:textId="77777777" w:rsidR="00BF5DA2" w:rsidRPr="00625576" w:rsidRDefault="00BF5DA2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t>Perifert insatt central kateter</w:t>
            </w:r>
          </w:p>
        </w:tc>
        <w:tc>
          <w:tcPr>
            <w:tcW w:w="2519" w:type="dxa"/>
          </w:tcPr>
          <w:p w14:paraId="071E1227" w14:textId="77777777" w:rsidR="00BF5DA2" w:rsidRPr="00625576" w:rsidRDefault="00BF5DA2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t>Upp till 2 år</w:t>
            </w:r>
          </w:p>
        </w:tc>
      </w:tr>
      <w:tr w:rsidR="00BF5DA2" w:rsidRPr="00625576" w14:paraId="18C2FB18" w14:textId="77777777" w:rsidTr="00BF5D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  <w:shd w:val="clear" w:color="auto" w:fill="E5E5E5" w:themeFill="background2" w:themeFillTint="33"/>
          </w:tcPr>
          <w:p w14:paraId="6C0AE558" w14:textId="77777777" w:rsidR="00BF5DA2" w:rsidRPr="00B102EF" w:rsidRDefault="00BF5DA2" w:rsidP="00A168CD">
            <w:pPr>
              <w:pStyle w:val="Tabelltext"/>
              <w:rPr>
                <w:bCs/>
              </w:rPr>
            </w:pPr>
            <w:r>
              <w:t>CVK</w:t>
            </w:r>
          </w:p>
        </w:tc>
        <w:tc>
          <w:tcPr>
            <w:tcW w:w="4037" w:type="dxa"/>
            <w:shd w:val="clear" w:color="auto" w:fill="E5E5E5" w:themeFill="background2" w:themeFillTint="33"/>
          </w:tcPr>
          <w:p w14:paraId="790D4329" w14:textId="77777777" w:rsidR="00BF5DA2" w:rsidRPr="00625576" w:rsidRDefault="00BF5DA2" w:rsidP="00A168CD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 w:val="0"/>
              </w:rPr>
            </w:pPr>
            <w:r>
              <w:t xml:space="preserve">Central </w:t>
            </w:r>
            <w:proofErr w:type="spellStart"/>
            <w:r>
              <w:t>venkateter</w:t>
            </w:r>
            <w:proofErr w:type="spellEnd"/>
          </w:p>
        </w:tc>
        <w:tc>
          <w:tcPr>
            <w:tcW w:w="2519" w:type="dxa"/>
            <w:shd w:val="clear" w:color="auto" w:fill="E5E5E5" w:themeFill="background2" w:themeFillTint="33"/>
          </w:tcPr>
          <w:p w14:paraId="0CD66A91" w14:textId="77777777" w:rsidR="00BF5DA2" w:rsidRPr="00625576" w:rsidRDefault="00BF5DA2" w:rsidP="00A168CD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 w:val="0"/>
              </w:rPr>
            </w:pPr>
            <w:r>
              <w:t>3–4 veckor*</w:t>
            </w:r>
          </w:p>
        </w:tc>
      </w:tr>
      <w:tr w:rsidR="00BF5DA2" w:rsidRPr="00625576" w14:paraId="4E34E369" w14:textId="77777777" w:rsidTr="00BF5D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9" w:type="dxa"/>
          </w:tcPr>
          <w:p w14:paraId="0B2786F6" w14:textId="77777777" w:rsidR="00BF5DA2" w:rsidRPr="00B102EF" w:rsidRDefault="00BF5DA2" w:rsidP="00A168CD">
            <w:pPr>
              <w:pStyle w:val="Tabelltext"/>
              <w:rPr>
                <w:bCs/>
              </w:rPr>
            </w:pPr>
            <w:r>
              <w:t xml:space="preserve">SVP (subkutan </w:t>
            </w:r>
            <w:proofErr w:type="spellStart"/>
            <w:r>
              <w:t>venport</w:t>
            </w:r>
            <w:proofErr w:type="spellEnd"/>
            <w:r>
              <w:t>)</w:t>
            </w:r>
          </w:p>
        </w:tc>
        <w:tc>
          <w:tcPr>
            <w:tcW w:w="4037" w:type="dxa"/>
          </w:tcPr>
          <w:p w14:paraId="06714A89" w14:textId="77777777" w:rsidR="00BF5DA2" w:rsidRPr="00625576" w:rsidRDefault="00BF5DA2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t>Subkutant inplanterad centralvenös access</w:t>
            </w:r>
          </w:p>
        </w:tc>
        <w:tc>
          <w:tcPr>
            <w:tcW w:w="2519" w:type="dxa"/>
          </w:tcPr>
          <w:p w14:paraId="434521F7" w14:textId="77777777" w:rsidR="00BF5DA2" w:rsidRPr="00625576" w:rsidRDefault="00BF5DA2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t>Flera år</w:t>
            </w:r>
          </w:p>
        </w:tc>
      </w:tr>
    </w:tbl>
    <w:p w14:paraId="38672D7F" w14:textId="77777777" w:rsidR="00E805E6" w:rsidRDefault="00E805E6" w:rsidP="00E805E6">
      <w:r>
        <w:t>*</w:t>
      </w:r>
      <w:proofErr w:type="spellStart"/>
      <w:r>
        <w:t>Tunnelerad</w:t>
      </w:r>
      <w:proofErr w:type="spellEnd"/>
      <w:r>
        <w:t xml:space="preserve"> CVK kan sitta längre</w:t>
      </w:r>
    </w:p>
    <w:p w14:paraId="730FC6A6" w14:textId="559C85AA" w:rsidR="009A32ED" w:rsidRDefault="00046135" w:rsidP="009A32ED">
      <w:pPr>
        <w:pStyle w:val="Rubrik3"/>
        <w:ind w:right="-143"/>
      </w:pPr>
      <w:bookmarkStart w:id="16" w:name="_Toc199321519"/>
      <w:r>
        <w:t>Läkemedel</w:t>
      </w:r>
      <w:bookmarkEnd w:id="16"/>
    </w:p>
    <w:p w14:paraId="283561BD" w14:textId="6C458106" w:rsidR="00046135" w:rsidRDefault="00046135" w:rsidP="00046135">
      <w:r>
        <w:t xml:space="preserve">Central infart behövs vid: </w:t>
      </w:r>
    </w:p>
    <w:p w14:paraId="5FED7BBF" w14:textId="77777777" w:rsidR="00A60D91" w:rsidRPr="00A60D91" w:rsidRDefault="00A60D91" w:rsidP="00A60D91">
      <w:pPr>
        <w:pStyle w:val="Punktlista"/>
        <w:numPr>
          <w:ilvl w:val="0"/>
          <w:numId w:val="20"/>
        </w:numPr>
      </w:pPr>
      <w:proofErr w:type="spellStart"/>
      <w:r w:rsidRPr="00A60D91">
        <w:t>osmolaritet</w:t>
      </w:r>
      <w:proofErr w:type="spellEnd"/>
      <w:r w:rsidRPr="00A60D91">
        <w:t xml:space="preserve"> &gt;800 </w:t>
      </w:r>
      <w:proofErr w:type="spellStart"/>
      <w:r w:rsidRPr="00A60D91">
        <w:t>mosm</w:t>
      </w:r>
      <w:proofErr w:type="spellEnd"/>
      <w:r w:rsidRPr="00A60D91">
        <w:t xml:space="preserve">/L, rekommenderas även vid </w:t>
      </w:r>
      <w:proofErr w:type="spellStart"/>
      <w:r w:rsidRPr="00A60D91">
        <w:t>osmolaritet</w:t>
      </w:r>
      <w:proofErr w:type="spellEnd"/>
      <w:r w:rsidRPr="00A60D91">
        <w:t xml:space="preserve"> &gt;600 </w:t>
      </w:r>
      <w:proofErr w:type="spellStart"/>
      <w:r w:rsidRPr="00A60D91">
        <w:t>mosm</w:t>
      </w:r>
      <w:proofErr w:type="spellEnd"/>
      <w:r w:rsidRPr="00A60D91">
        <w:t>/L.</w:t>
      </w:r>
    </w:p>
    <w:p w14:paraId="34B12B13" w14:textId="77777777" w:rsidR="00A60D91" w:rsidRPr="00A60D91" w:rsidRDefault="00A60D91" w:rsidP="00A60D91">
      <w:pPr>
        <w:pStyle w:val="Punktlista"/>
        <w:numPr>
          <w:ilvl w:val="0"/>
          <w:numId w:val="20"/>
        </w:numPr>
      </w:pPr>
      <w:r w:rsidRPr="00A60D91">
        <w:t xml:space="preserve">pH &lt;5 </w:t>
      </w:r>
      <w:proofErr w:type="gramStart"/>
      <w:r w:rsidRPr="00A60D91">
        <w:t>eller &gt;</w:t>
      </w:r>
      <w:proofErr w:type="gramEnd"/>
      <w:r w:rsidRPr="00A60D91">
        <w:t>9.</w:t>
      </w:r>
    </w:p>
    <w:p w14:paraId="0BCE45D5" w14:textId="77777777" w:rsidR="00A60D91" w:rsidRPr="00A60D91" w:rsidRDefault="00A60D91" w:rsidP="00A60D91">
      <w:pPr>
        <w:pStyle w:val="Punktlista"/>
        <w:numPr>
          <w:ilvl w:val="0"/>
          <w:numId w:val="20"/>
        </w:numPr>
      </w:pPr>
      <w:r w:rsidRPr="00A60D91">
        <w:t xml:space="preserve">kärlretande läkemedel, exempelvis koncentrerad kaliuminfusion, cytostatika, vissa antibiotika, </w:t>
      </w:r>
      <w:proofErr w:type="spellStart"/>
      <w:r w:rsidRPr="00A60D91">
        <w:t>inotropa</w:t>
      </w:r>
      <w:proofErr w:type="spellEnd"/>
      <w:r w:rsidRPr="00A60D91">
        <w:t xml:space="preserve"> läkemedel och parenteral nutrition.</w:t>
      </w:r>
    </w:p>
    <w:p w14:paraId="34BFB1A1" w14:textId="77777777" w:rsidR="008D3390" w:rsidRDefault="008D3390" w:rsidP="008D3390">
      <w:pPr>
        <w:pStyle w:val="Rubrik3"/>
      </w:pPr>
      <w:bookmarkStart w:id="17" w:name="_Toc195529365"/>
      <w:bookmarkStart w:id="18" w:name="_Toc199321520"/>
      <w:r>
        <w:t>Stöd vid val av infart utifrån patientens behandling och vårdnivå</w:t>
      </w:r>
      <w:bookmarkEnd w:id="17"/>
      <w:bookmarkEnd w:id="18"/>
    </w:p>
    <w:p w14:paraId="62DC6B0B" w14:textId="4C9876C8" w:rsidR="00E93E65" w:rsidRDefault="00E93E65" w:rsidP="00E93E65">
      <w:r>
        <w:t>Val av intravenös infart ska ske med hänsyn till patientens tillstånd och utifrån vilket läkemedel [6] som infarten ska användas för. Som stöd i att välja typ av infart används modellen nedan.</w:t>
      </w:r>
    </w:p>
    <w:tbl>
      <w:tblPr>
        <w:tblStyle w:val="Rutntstabell4dekorfrg51"/>
        <w:tblW w:w="9666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A0" w:firstRow="1" w:lastRow="0" w:firstColumn="1" w:lastColumn="0" w:noHBand="1" w:noVBand="1"/>
      </w:tblPr>
      <w:tblGrid>
        <w:gridCol w:w="2127"/>
        <w:gridCol w:w="2086"/>
        <w:gridCol w:w="1818"/>
        <w:gridCol w:w="1817"/>
        <w:gridCol w:w="1818"/>
      </w:tblGrid>
      <w:tr w:rsidR="00F1625F" w:rsidRPr="00447ABE" w14:paraId="4877FC4F" w14:textId="77777777" w:rsidTr="00BD77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shd w:val="clear" w:color="auto" w:fill="005B89"/>
          </w:tcPr>
          <w:p w14:paraId="2893079A" w14:textId="77777777" w:rsidR="00F1625F" w:rsidRPr="00447ABE" w:rsidRDefault="00F1625F" w:rsidP="00A168CD">
            <w:pPr>
              <w:pStyle w:val="Tabelltext"/>
              <w:rPr>
                <w:szCs w:val="20"/>
              </w:rPr>
            </w:pPr>
          </w:p>
        </w:tc>
        <w:tc>
          <w:tcPr>
            <w:tcW w:w="2086" w:type="dxa"/>
            <w:shd w:val="clear" w:color="auto" w:fill="005B89"/>
            <w:vAlign w:val="center"/>
          </w:tcPr>
          <w:p w14:paraId="2B97756B" w14:textId="77777777" w:rsidR="00F1625F" w:rsidRPr="00447ABE" w:rsidRDefault="00F1625F" w:rsidP="00A168CD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1 poäng</w:t>
            </w:r>
          </w:p>
        </w:tc>
        <w:tc>
          <w:tcPr>
            <w:tcW w:w="1818" w:type="dxa"/>
            <w:shd w:val="clear" w:color="auto" w:fill="005B89"/>
            <w:vAlign w:val="center"/>
          </w:tcPr>
          <w:p w14:paraId="6C804583" w14:textId="77777777" w:rsidR="00F1625F" w:rsidRPr="00447ABE" w:rsidRDefault="00F1625F" w:rsidP="00A168CD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2 poäng</w:t>
            </w:r>
          </w:p>
        </w:tc>
        <w:tc>
          <w:tcPr>
            <w:tcW w:w="1817" w:type="dxa"/>
            <w:shd w:val="clear" w:color="auto" w:fill="005B89"/>
            <w:vAlign w:val="center"/>
          </w:tcPr>
          <w:p w14:paraId="0FF7A2E9" w14:textId="77777777" w:rsidR="00F1625F" w:rsidRPr="00447ABE" w:rsidRDefault="00F1625F" w:rsidP="00A168CD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3 poäng</w:t>
            </w:r>
          </w:p>
        </w:tc>
        <w:tc>
          <w:tcPr>
            <w:tcW w:w="1818" w:type="dxa"/>
            <w:shd w:val="clear" w:color="auto" w:fill="005B89"/>
            <w:vAlign w:val="center"/>
          </w:tcPr>
          <w:p w14:paraId="2A3182E9" w14:textId="77777777" w:rsidR="00F1625F" w:rsidRPr="00447ABE" w:rsidRDefault="00F1625F" w:rsidP="00A168CD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4 poäng</w:t>
            </w:r>
          </w:p>
        </w:tc>
      </w:tr>
      <w:tr w:rsidR="00F1625F" w:rsidRPr="00447ABE" w14:paraId="5361DDF3" w14:textId="77777777" w:rsidTr="00BD770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</w:tcPr>
          <w:p w14:paraId="3E175078" w14:textId="77777777" w:rsidR="00F1625F" w:rsidRPr="00447ABE" w:rsidRDefault="00F1625F" w:rsidP="00A168CD">
            <w:pPr>
              <w:pStyle w:val="Tabelltext"/>
              <w:rPr>
                <w:szCs w:val="20"/>
              </w:rPr>
            </w:pPr>
            <w:r>
              <w:t>Vaskulär status</w:t>
            </w:r>
          </w:p>
        </w:tc>
        <w:tc>
          <w:tcPr>
            <w:tcW w:w="2086" w:type="dxa"/>
          </w:tcPr>
          <w:p w14:paraId="1F76E968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Optimalt. Inga hud/ kärlproblem.</w:t>
            </w:r>
          </w:p>
        </w:tc>
        <w:tc>
          <w:tcPr>
            <w:tcW w:w="1818" w:type="dxa"/>
          </w:tcPr>
          <w:p w14:paraId="2FE4FE25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Relativt gott. Vissa problem med hud/kärl.</w:t>
            </w:r>
          </w:p>
        </w:tc>
        <w:tc>
          <w:tcPr>
            <w:tcW w:w="1817" w:type="dxa"/>
          </w:tcPr>
          <w:p w14:paraId="7EF6903A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Dåligt. &lt;3 små kärl synliga.</w:t>
            </w:r>
          </w:p>
        </w:tc>
        <w:tc>
          <w:tcPr>
            <w:tcW w:w="1818" w:type="dxa"/>
          </w:tcPr>
          <w:p w14:paraId="54080984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Mycket dåligt. Inga synliga kärl.</w:t>
            </w:r>
          </w:p>
        </w:tc>
      </w:tr>
      <w:tr w:rsidR="00F1625F" w:rsidRPr="00447ABE" w14:paraId="4F1A400C" w14:textId="77777777" w:rsidTr="00BD770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</w:tcPr>
          <w:p w14:paraId="6C8C9AAD" w14:textId="77777777" w:rsidR="00F1625F" w:rsidRPr="00447ABE" w:rsidRDefault="00F1625F" w:rsidP="00A168CD">
            <w:pPr>
              <w:pStyle w:val="Tabelltext"/>
              <w:rPr>
                <w:szCs w:val="20"/>
              </w:rPr>
            </w:pPr>
            <w:r>
              <w:t>Förväntad behandlingstid</w:t>
            </w:r>
          </w:p>
        </w:tc>
        <w:tc>
          <w:tcPr>
            <w:tcW w:w="2086" w:type="dxa"/>
          </w:tcPr>
          <w:p w14:paraId="6916D229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1–6 dagar</w:t>
            </w:r>
          </w:p>
        </w:tc>
        <w:tc>
          <w:tcPr>
            <w:tcW w:w="1818" w:type="dxa"/>
          </w:tcPr>
          <w:p w14:paraId="2B895DB7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6–14 dagar</w:t>
            </w:r>
          </w:p>
        </w:tc>
        <w:tc>
          <w:tcPr>
            <w:tcW w:w="1817" w:type="dxa"/>
          </w:tcPr>
          <w:p w14:paraId="4FDD01C2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&gt;14 dagar</w:t>
            </w:r>
          </w:p>
        </w:tc>
        <w:tc>
          <w:tcPr>
            <w:tcW w:w="1818" w:type="dxa"/>
          </w:tcPr>
          <w:p w14:paraId="6C9945DE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&gt;3 månader</w:t>
            </w:r>
          </w:p>
        </w:tc>
      </w:tr>
      <w:tr w:rsidR="00F1625F" w:rsidRPr="00447ABE" w14:paraId="34D21D97" w14:textId="77777777" w:rsidTr="00BD770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</w:tcPr>
          <w:p w14:paraId="3D17E380" w14:textId="77777777" w:rsidR="00F1625F" w:rsidRPr="00447ABE" w:rsidRDefault="00F1625F" w:rsidP="00A168CD">
            <w:pPr>
              <w:pStyle w:val="Tabelltext"/>
              <w:rPr>
                <w:szCs w:val="20"/>
              </w:rPr>
            </w:pPr>
            <w:r>
              <w:t xml:space="preserve">Läkemedels-/ </w:t>
            </w:r>
            <w:proofErr w:type="spellStart"/>
            <w:r>
              <w:t>infusionspofil</w:t>
            </w:r>
            <w:proofErr w:type="spellEnd"/>
          </w:p>
        </w:tc>
        <w:tc>
          <w:tcPr>
            <w:tcW w:w="2086" w:type="dxa"/>
          </w:tcPr>
          <w:p w14:paraId="587F88DB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proofErr w:type="spellStart"/>
            <w:r>
              <w:t>Isotona</w:t>
            </w:r>
            <w:proofErr w:type="spellEnd"/>
            <w:r>
              <w:t>, pH-neutrala</w:t>
            </w:r>
          </w:p>
        </w:tc>
        <w:tc>
          <w:tcPr>
            <w:tcW w:w="1818" w:type="dxa"/>
          </w:tcPr>
          <w:p w14:paraId="2FB20DDB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 xml:space="preserve">pH &lt;5 eller </w:t>
            </w:r>
            <w:r>
              <w:br/>
              <w:t>pH &gt;9</w:t>
            </w:r>
          </w:p>
        </w:tc>
        <w:tc>
          <w:tcPr>
            <w:tcW w:w="1817" w:type="dxa"/>
          </w:tcPr>
          <w:p w14:paraId="5CCA4B4C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Orsakar blåsbildning eller nekros vid extravasering</w:t>
            </w:r>
          </w:p>
        </w:tc>
        <w:tc>
          <w:tcPr>
            <w:tcW w:w="1818" w:type="dxa"/>
          </w:tcPr>
          <w:p w14:paraId="57B77A0D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Parenteral nutrition</w:t>
            </w:r>
          </w:p>
        </w:tc>
      </w:tr>
      <w:tr w:rsidR="00F1625F" w:rsidRPr="00447ABE" w14:paraId="5C35AC30" w14:textId="77777777" w:rsidTr="00BD770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</w:tcPr>
          <w:p w14:paraId="7BC5EDAA" w14:textId="77777777" w:rsidR="00F1625F" w:rsidRPr="00447ABE" w:rsidRDefault="00F1625F" w:rsidP="00A168CD">
            <w:pPr>
              <w:pStyle w:val="Tabelltext"/>
              <w:rPr>
                <w:szCs w:val="20"/>
              </w:rPr>
            </w:pPr>
            <w:r>
              <w:t>Vårdnivå</w:t>
            </w:r>
          </w:p>
        </w:tc>
        <w:tc>
          <w:tcPr>
            <w:tcW w:w="2086" w:type="dxa"/>
          </w:tcPr>
          <w:p w14:paraId="733B7B5B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Undersökning</w:t>
            </w:r>
          </w:p>
        </w:tc>
        <w:tc>
          <w:tcPr>
            <w:tcW w:w="1818" w:type="dxa"/>
          </w:tcPr>
          <w:p w14:paraId="4BF841C7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Slutenvård</w:t>
            </w:r>
          </w:p>
        </w:tc>
        <w:tc>
          <w:tcPr>
            <w:tcW w:w="1817" w:type="dxa"/>
          </w:tcPr>
          <w:p w14:paraId="0E00428B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Öppenvård/</w:t>
            </w:r>
            <w:r>
              <w:br/>
              <w:t>SÄS hemma</w:t>
            </w:r>
          </w:p>
        </w:tc>
        <w:tc>
          <w:tcPr>
            <w:tcW w:w="1818" w:type="dxa"/>
          </w:tcPr>
          <w:p w14:paraId="3B057A68" w14:textId="77777777" w:rsidR="00F1625F" w:rsidRPr="00447ABE" w:rsidRDefault="00F1625F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Intensivvård*</w:t>
            </w:r>
          </w:p>
        </w:tc>
      </w:tr>
    </w:tbl>
    <w:p w14:paraId="0F5AEC87" w14:textId="42B71E0F" w:rsidR="00046135" w:rsidRDefault="00554748" w:rsidP="00046135">
      <w:r>
        <w:t>*I princip alltid CVK vid intensivvård</w:t>
      </w:r>
    </w:p>
    <w:p w14:paraId="0F51A9BF" w14:textId="77777777" w:rsidR="00832ED8" w:rsidRDefault="00832ED8" w:rsidP="00046135"/>
    <w:tbl>
      <w:tblPr>
        <w:tblStyle w:val="Rutntstabell4dekorfrg52"/>
        <w:tblW w:w="601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A0" w:firstRow="1" w:lastRow="0" w:firstColumn="1" w:lastColumn="0" w:noHBand="1" w:noVBand="1"/>
      </w:tblPr>
      <w:tblGrid>
        <w:gridCol w:w="2127"/>
        <w:gridCol w:w="3888"/>
      </w:tblGrid>
      <w:tr w:rsidR="00DD6F31" w:rsidRPr="00447ABE" w14:paraId="1DA8C037" w14:textId="77777777" w:rsidTr="00DD6F3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5" w:type="dxa"/>
            <w:gridSpan w:val="2"/>
            <w:shd w:val="clear" w:color="auto" w:fill="005B89"/>
          </w:tcPr>
          <w:p w14:paraId="556BA513" w14:textId="77777777" w:rsidR="00DD6F31" w:rsidRPr="00447ABE" w:rsidRDefault="00DD6F31" w:rsidP="00A168CD">
            <w:pPr>
              <w:pStyle w:val="Tabelltext"/>
              <w:rPr>
                <w:szCs w:val="20"/>
              </w:rPr>
            </w:pPr>
            <w:r>
              <w:lastRenderedPageBreak/>
              <w:t xml:space="preserve">Poäng </w:t>
            </w:r>
          </w:p>
        </w:tc>
      </w:tr>
      <w:tr w:rsidR="00DD6F31" w:rsidRPr="00447ABE" w14:paraId="6D45EB6F" w14:textId="77777777" w:rsidTr="00DD6F3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vAlign w:val="center"/>
          </w:tcPr>
          <w:p w14:paraId="6DE2D08D" w14:textId="77777777" w:rsidR="00DD6F31" w:rsidRPr="00447ABE" w:rsidRDefault="00DD6F31" w:rsidP="00A168CD">
            <w:pPr>
              <w:pStyle w:val="Tabelltext"/>
              <w:rPr>
                <w:szCs w:val="20"/>
              </w:rPr>
            </w:pPr>
            <w:r>
              <w:t>&lt;7</w:t>
            </w:r>
          </w:p>
        </w:tc>
        <w:tc>
          <w:tcPr>
            <w:tcW w:w="3888" w:type="dxa"/>
            <w:vAlign w:val="center"/>
          </w:tcPr>
          <w:p w14:paraId="31679182" w14:textId="77777777" w:rsidR="00DD6F31" w:rsidRPr="00447ABE" w:rsidRDefault="00DD6F31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 xml:space="preserve">PVK, </w:t>
            </w:r>
            <w:proofErr w:type="spellStart"/>
            <w:r>
              <w:t>Midline</w:t>
            </w:r>
            <w:proofErr w:type="spellEnd"/>
          </w:p>
        </w:tc>
      </w:tr>
      <w:tr w:rsidR="00DD6F31" w:rsidRPr="00447ABE" w14:paraId="4624F0B2" w14:textId="77777777" w:rsidTr="00DD6F3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vAlign w:val="center"/>
          </w:tcPr>
          <w:p w14:paraId="2E65FEE8" w14:textId="77777777" w:rsidR="00DD6F31" w:rsidRPr="00447ABE" w:rsidRDefault="00DD6F31" w:rsidP="00A168CD">
            <w:pPr>
              <w:pStyle w:val="Tabelltext"/>
              <w:rPr>
                <w:szCs w:val="20"/>
              </w:rPr>
            </w:pPr>
            <w:r>
              <w:t>7–12</w:t>
            </w:r>
          </w:p>
        </w:tc>
        <w:tc>
          <w:tcPr>
            <w:tcW w:w="3888" w:type="dxa"/>
            <w:vAlign w:val="center"/>
          </w:tcPr>
          <w:p w14:paraId="19F0CE3E" w14:textId="77777777" w:rsidR="00DD6F31" w:rsidRPr="00447ABE" w:rsidRDefault="00DD6F31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t>PICC-</w:t>
            </w:r>
            <w:proofErr w:type="spellStart"/>
            <w:r>
              <w:t>line</w:t>
            </w:r>
            <w:proofErr w:type="spellEnd"/>
            <w:r>
              <w:t xml:space="preserve">, CVK, eventuellt </w:t>
            </w:r>
            <w:proofErr w:type="spellStart"/>
            <w:r>
              <w:t>Midline</w:t>
            </w:r>
            <w:proofErr w:type="spellEnd"/>
          </w:p>
        </w:tc>
      </w:tr>
      <w:tr w:rsidR="00DD6F31" w:rsidRPr="00447ABE" w14:paraId="25B15D43" w14:textId="77777777" w:rsidTr="00DD6F3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vAlign w:val="center"/>
          </w:tcPr>
          <w:p w14:paraId="1232C425" w14:textId="77777777" w:rsidR="00DD6F31" w:rsidRPr="00447ABE" w:rsidRDefault="00DD6F31" w:rsidP="00A168CD">
            <w:pPr>
              <w:pStyle w:val="Tabelltext"/>
              <w:rPr>
                <w:szCs w:val="20"/>
              </w:rPr>
            </w:pPr>
            <w:r>
              <w:t>&gt;12</w:t>
            </w:r>
          </w:p>
        </w:tc>
        <w:tc>
          <w:tcPr>
            <w:tcW w:w="3888" w:type="dxa"/>
            <w:vAlign w:val="center"/>
          </w:tcPr>
          <w:p w14:paraId="409B6D00" w14:textId="77777777" w:rsidR="00DD6F31" w:rsidRPr="00447ABE" w:rsidRDefault="00DD6F31" w:rsidP="00A168CD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proofErr w:type="spellStart"/>
            <w:r>
              <w:t>Venport</w:t>
            </w:r>
            <w:proofErr w:type="spellEnd"/>
            <w:r>
              <w:t xml:space="preserve">, </w:t>
            </w:r>
            <w:proofErr w:type="spellStart"/>
            <w:r>
              <w:t>tunnelerad</w:t>
            </w:r>
            <w:proofErr w:type="spellEnd"/>
            <w:r>
              <w:t xml:space="preserve"> infart, PICC-</w:t>
            </w:r>
            <w:proofErr w:type="spellStart"/>
            <w:r>
              <w:t>line</w:t>
            </w:r>
            <w:proofErr w:type="spellEnd"/>
          </w:p>
        </w:tc>
      </w:tr>
    </w:tbl>
    <w:p w14:paraId="01ACA131" w14:textId="77777777" w:rsidR="00DD6F31" w:rsidRPr="00046135" w:rsidRDefault="00DD6F31" w:rsidP="00046135"/>
    <w:p w14:paraId="2F37A434" w14:textId="77777777" w:rsidR="00CE34EE" w:rsidRDefault="00CE34EE" w:rsidP="00CE34EE">
      <w:pPr>
        <w:pStyle w:val="Rubrik3"/>
      </w:pPr>
      <w:bookmarkStart w:id="19" w:name="_Toc195529366"/>
      <w:bookmarkStart w:id="20" w:name="_Toc199321521"/>
      <w:r>
        <w:t xml:space="preserve">A-DIVA (Adult - </w:t>
      </w:r>
      <w:proofErr w:type="spellStart"/>
      <w:r>
        <w:t>Difficult</w:t>
      </w:r>
      <w:proofErr w:type="spellEnd"/>
      <w:r>
        <w:t xml:space="preserve"> </w:t>
      </w:r>
      <w:proofErr w:type="spellStart"/>
      <w:r>
        <w:t>Intravenous</w:t>
      </w:r>
      <w:proofErr w:type="spellEnd"/>
      <w:r>
        <w:t xml:space="preserve"> Access) bedömningsskala</w:t>
      </w:r>
      <w:bookmarkEnd w:id="19"/>
      <w:bookmarkEnd w:id="20"/>
    </w:p>
    <w:p w14:paraId="7F04DCE7" w14:textId="77777777" w:rsidR="00360D0C" w:rsidRDefault="009A32ED" w:rsidP="00360D0C">
      <w:r>
        <w:br/>
      </w:r>
      <w:r w:rsidR="00360D0C">
        <w:t xml:space="preserve">Perifer </w:t>
      </w:r>
      <w:proofErr w:type="spellStart"/>
      <w:r w:rsidR="00360D0C">
        <w:t>venkateter</w:t>
      </w:r>
      <w:proofErr w:type="spellEnd"/>
      <w:r w:rsidR="00360D0C">
        <w:t xml:space="preserve"> (PVK) är en av de vanligaste </w:t>
      </w:r>
      <w:proofErr w:type="spellStart"/>
      <w:r w:rsidR="00360D0C">
        <w:t>invasiva</w:t>
      </w:r>
      <w:proofErr w:type="spellEnd"/>
      <w:r w:rsidR="00360D0C">
        <w:t xml:space="preserve"> åtgärder som sker på sjukhus för att åstadkomma venös access. Det är också förknippat med en hög grad av misslyckade försök, framför allt hos svårstuckna patienter. Svårstuckna patienter kallas i forskning för DIVA-patienter. Det står för </w:t>
      </w:r>
      <w:proofErr w:type="spellStart"/>
      <w:r w:rsidR="00360D0C">
        <w:t>difficult</w:t>
      </w:r>
      <w:proofErr w:type="spellEnd"/>
      <w:r w:rsidR="00360D0C">
        <w:t xml:space="preserve"> </w:t>
      </w:r>
      <w:proofErr w:type="spellStart"/>
      <w:r w:rsidR="00360D0C">
        <w:t>intravenous</w:t>
      </w:r>
      <w:proofErr w:type="spellEnd"/>
      <w:r w:rsidR="00360D0C">
        <w:t xml:space="preserve"> access. </w:t>
      </w:r>
    </w:p>
    <w:p w14:paraId="789B80D3" w14:textId="77777777" w:rsidR="00360D0C" w:rsidRDefault="00360D0C" w:rsidP="00360D0C">
      <w:r>
        <w:t>A-DIVA skalan är framtagen för att lättare kunna identifiera dessa patienter och på så vis kunna minska antalet onödiga stickförsök för denna patientgrupp [4].</w:t>
      </w:r>
    </w:p>
    <w:p w14:paraId="0D2722CE" w14:textId="77777777" w:rsidR="00202E7C" w:rsidRPr="00A935F6" w:rsidRDefault="00EA370E" w:rsidP="00EA370E">
      <w:r>
        <w:t xml:space="preserve">A-DIVA värderas efter sex olika parametrar, där varje punkt ger 1 poäng som sedan adderas ihop. Ju fler poäng desto högre sannolikhet att patienten är svårstucken, framför allt vid första försöksstick. </w:t>
      </w:r>
    </w:p>
    <w:tbl>
      <w:tblPr>
        <w:tblStyle w:val="Rutntstabell4dekorfrg51"/>
        <w:tblpPr w:leftFromText="141" w:rightFromText="141" w:vertAnchor="text" w:horzAnchor="page" w:tblpX="6091" w:tblpY="108"/>
        <w:tblW w:w="3402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7"/>
      </w:tblGrid>
      <w:tr w:rsidR="00202E7C" w:rsidRPr="00447ABE" w14:paraId="079D688A" w14:textId="77777777" w:rsidTr="00A168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39" w:type="dxa"/>
            <w:shd w:val="clear" w:color="auto" w:fill="005B89"/>
          </w:tcPr>
          <w:p w14:paraId="316EED96" w14:textId="77777777" w:rsidR="00202E7C" w:rsidRPr="00447ABE" w:rsidRDefault="00202E7C" w:rsidP="00A168CD">
            <w:pPr>
              <w:pStyle w:val="Tabelltext"/>
              <w:rPr>
                <w:b w:val="0"/>
              </w:rPr>
            </w:pPr>
            <w:r>
              <w:rPr>
                <w:b w:val="0"/>
              </w:rPr>
              <w:t>Parametrarna</w:t>
            </w:r>
          </w:p>
        </w:tc>
      </w:tr>
      <w:tr w:rsidR="00202E7C" w:rsidRPr="00447ABE" w14:paraId="075B10C2" w14:textId="77777777" w:rsidTr="00A168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39" w:type="dxa"/>
            <w:shd w:val="clear" w:color="auto" w:fill="auto"/>
          </w:tcPr>
          <w:p w14:paraId="3CC02FD4" w14:textId="77777777" w:rsidR="00202E7C" w:rsidRPr="00447ABE" w:rsidRDefault="00202E7C" w:rsidP="00A168CD">
            <w:pPr>
              <w:pStyle w:val="Tabelltext"/>
              <w:rPr>
                <w:b w:val="0"/>
              </w:rPr>
            </w:pPr>
            <w:r>
              <w:rPr>
                <w:b w:val="0"/>
              </w:rPr>
              <w:t>En poäng för varje:</w:t>
            </w:r>
          </w:p>
          <w:p w14:paraId="33F7AC9C" w14:textId="77777777" w:rsidR="00202E7C" w:rsidRPr="00447ABE" w:rsidRDefault="00202E7C" w:rsidP="00202E7C">
            <w:pPr>
              <w:pStyle w:val="Tabelltext"/>
              <w:numPr>
                <w:ilvl w:val="0"/>
                <w:numId w:val="21"/>
              </w:numPr>
              <w:ind w:left="316" w:hanging="284"/>
              <w:rPr>
                <w:b w:val="0"/>
              </w:rPr>
            </w:pPr>
            <w:r>
              <w:rPr>
                <w:b w:val="0"/>
              </w:rPr>
              <w:t>Inga synliga vener*</w:t>
            </w:r>
          </w:p>
          <w:p w14:paraId="3FA5B949" w14:textId="77777777" w:rsidR="00202E7C" w:rsidRPr="00447ABE" w:rsidRDefault="00202E7C" w:rsidP="00202E7C">
            <w:pPr>
              <w:pStyle w:val="Tabelltext"/>
              <w:numPr>
                <w:ilvl w:val="0"/>
                <w:numId w:val="21"/>
              </w:numPr>
              <w:ind w:left="316" w:hanging="284"/>
              <w:rPr>
                <w:b w:val="0"/>
              </w:rPr>
            </w:pPr>
            <w:r>
              <w:rPr>
                <w:b w:val="0"/>
              </w:rPr>
              <w:t>Inga palpabla vener*</w:t>
            </w:r>
          </w:p>
          <w:p w14:paraId="53C1EC7A" w14:textId="77777777" w:rsidR="00202E7C" w:rsidRPr="00447ABE" w:rsidRDefault="00202E7C" w:rsidP="00202E7C">
            <w:pPr>
              <w:pStyle w:val="Tabelltext"/>
              <w:numPr>
                <w:ilvl w:val="0"/>
                <w:numId w:val="21"/>
              </w:numPr>
              <w:ind w:left="316" w:hanging="284"/>
              <w:rPr>
                <w:b w:val="0"/>
              </w:rPr>
            </w:pPr>
            <w:r>
              <w:rPr>
                <w:b w:val="0"/>
              </w:rPr>
              <w:t>Känd svårstucken patient</w:t>
            </w:r>
          </w:p>
          <w:p w14:paraId="5199DEAF" w14:textId="77777777" w:rsidR="00202E7C" w:rsidRPr="00447ABE" w:rsidRDefault="00202E7C" w:rsidP="00202E7C">
            <w:pPr>
              <w:pStyle w:val="Tabelltext"/>
              <w:numPr>
                <w:ilvl w:val="0"/>
                <w:numId w:val="21"/>
              </w:numPr>
              <w:ind w:left="316" w:hanging="284"/>
              <w:rPr>
                <w:b w:val="0"/>
              </w:rPr>
            </w:pPr>
            <w:r>
              <w:rPr>
                <w:b w:val="0"/>
              </w:rPr>
              <w:t>Tunna, sklerotiska blodkärl</w:t>
            </w:r>
          </w:p>
          <w:p w14:paraId="1700BBAA" w14:textId="77777777" w:rsidR="00202E7C" w:rsidRPr="00447ABE" w:rsidRDefault="00202E7C" w:rsidP="00202E7C">
            <w:pPr>
              <w:pStyle w:val="Tabelltext"/>
              <w:numPr>
                <w:ilvl w:val="0"/>
                <w:numId w:val="21"/>
              </w:numPr>
              <w:ind w:left="316" w:hanging="284"/>
              <w:rPr>
                <w:b w:val="0"/>
              </w:rPr>
            </w:pPr>
            <w:r>
              <w:rPr>
                <w:b w:val="0"/>
              </w:rPr>
              <w:t xml:space="preserve">Många </w:t>
            </w:r>
            <w:proofErr w:type="spellStart"/>
            <w:r>
              <w:rPr>
                <w:b w:val="0"/>
              </w:rPr>
              <w:t>hematom</w:t>
            </w:r>
            <w:proofErr w:type="spellEnd"/>
          </w:p>
          <w:p w14:paraId="122C254E" w14:textId="77777777" w:rsidR="00202E7C" w:rsidRPr="00447ABE" w:rsidRDefault="00202E7C" w:rsidP="00202E7C">
            <w:pPr>
              <w:pStyle w:val="Tabelltext"/>
              <w:numPr>
                <w:ilvl w:val="0"/>
                <w:numId w:val="21"/>
              </w:numPr>
              <w:ind w:left="316" w:hanging="284"/>
              <w:rPr>
                <w:b w:val="0"/>
              </w:rPr>
            </w:pPr>
            <w:r>
              <w:rPr>
                <w:b w:val="0"/>
              </w:rPr>
              <w:t>Akutpatient/Uttorkad/Trauma</w:t>
            </w:r>
          </w:p>
          <w:p w14:paraId="429FCBD2" w14:textId="77777777" w:rsidR="00202E7C" w:rsidRPr="00447ABE" w:rsidRDefault="00202E7C" w:rsidP="00A168CD">
            <w:pPr>
              <w:pStyle w:val="Tabelltext"/>
              <w:spacing w:before="240"/>
              <w:rPr>
                <w:b w:val="0"/>
              </w:rPr>
            </w:pPr>
            <w:r>
              <w:rPr>
                <w:b w:val="0"/>
              </w:rPr>
              <w:t>*Trots stas och/eller värme.</w:t>
            </w:r>
          </w:p>
        </w:tc>
      </w:tr>
    </w:tbl>
    <w:p w14:paraId="1B62B716" w14:textId="14FEC70E" w:rsidR="00EA370E" w:rsidRPr="00A935F6" w:rsidRDefault="00EA370E" w:rsidP="009817E7">
      <w:pPr>
        <w:ind w:left="0"/>
      </w:pPr>
    </w:p>
    <w:p w14:paraId="35167AC5" w14:textId="77777777" w:rsidR="00EA370E" w:rsidRPr="00A935F6" w:rsidRDefault="00EA370E" w:rsidP="00EA370E">
      <w:pPr>
        <w:rPr>
          <w:b/>
          <w:bCs/>
        </w:rPr>
      </w:pPr>
      <w:r w:rsidRPr="47220E80">
        <w:rPr>
          <w:b/>
          <w:bCs/>
        </w:rPr>
        <w:t>0–1 poäng</w:t>
      </w:r>
      <w:r>
        <w:t xml:space="preserve"> bedöms som </w:t>
      </w:r>
      <w:r w:rsidRPr="47220E80">
        <w:rPr>
          <w:b/>
          <w:bCs/>
        </w:rPr>
        <w:t>Lätt</w:t>
      </w:r>
      <w:r>
        <w:br/>
        <w:t xml:space="preserve">Avdelningspersonal gör 2 försök </w:t>
      </w:r>
      <w:r>
        <w:br/>
        <w:t>(1–2 stickförsök).</w:t>
      </w:r>
    </w:p>
    <w:p w14:paraId="6D0BA955" w14:textId="77777777" w:rsidR="00B83E00" w:rsidRPr="00A935F6" w:rsidRDefault="00B83E00" w:rsidP="00B83E00">
      <w:r w:rsidRPr="47220E80">
        <w:rPr>
          <w:b/>
          <w:bCs/>
        </w:rPr>
        <w:t>2–3 poäng</w:t>
      </w:r>
      <w:r>
        <w:t xml:space="preserve"> bedöms som </w:t>
      </w:r>
      <w:r w:rsidRPr="47220E80">
        <w:rPr>
          <w:b/>
          <w:bCs/>
        </w:rPr>
        <w:t>Medelsvår</w:t>
      </w:r>
      <w:r>
        <w:br/>
        <w:t xml:space="preserve">Försök görs av erfaren avdelningspersonal med god stickvana </w:t>
      </w:r>
      <w:r>
        <w:br/>
        <w:t>(1–2 stickförsök).</w:t>
      </w:r>
    </w:p>
    <w:p w14:paraId="736C1FFB" w14:textId="77777777" w:rsidR="00B83E00" w:rsidRDefault="00B83E00" w:rsidP="00B83E00">
      <w:r w:rsidRPr="47220E80">
        <w:rPr>
          <w:b/>
          <w:bCs/>
        </w:rPr>
        <w:t>4–6 poäng</w:t>
      </w:r>
      <w:r>
        <w:t xml:space="preserve"> bedöms som </w:t>
      </w:r>
      <w:r w:rsidRPr="47220E80">
        <w:rPr>
          <w:b/>
          <w:bCs/>
        </w:rPr>
        <w:t>Svårstucken**</w:t>
      </w:r>
      <w:r>
        <w:br/>
        <w:t xml:space="preserve">Ultraljudsledd PVK-sättning av infarter där venen inte är palpabel </w:t>
      </w:r>
      <w:r>
        <w:lastRenderedPageBreak/>
        <w:t>eller synlig. Utförs av personal med kompetens i ultraljudsledd PVK-sättning (PUGVA).</w:t>
      </w:r>
    </w:p>
    <w:p w14:paraId="1613D500" w14:textId="77777777" w:rsidR="00B83E00" w:rsidRDefault="00B83E00" w:rsidP="00B83E00">
      <w:pPr>
        <w:spacing w:before="240"/>
      </w:pPr>
      <w:r>
        <w:t xml:space="preserve">** Erfaren medarbetare med mycket god stickvana kan även försöka vid höga A-DIVA poäng. </w:t>
      </w:r>
    </w:p>
    <w:p w14:paraId="11DF1B5F" w14:textId="77777777" w:rsidR="00B83E00" w:rsidRDefault="00B83E00" w:rsidP="00B83E00">
      <w:pPr>
        <w:spacing w:before="240"/>
      </w:pPr>
      <w:r>
        <w:t>Max 4 stickförsök sammanlagt; därefter rekommenderas ultraljudsledd PVK/PUGVA och/eller kontakt för stickhjälp enligt rutin.</w:t>
      </w:r>
    </w:p>
    <w:p w14:paraId="3729D218" w14:textId="77777777" w:rsidR="00B83E00" w:rsidRPr="00531C3B" w:rsidRDefault="00B83E00" w:rsidP="00B83E00">
      <w:pPr>
        <w:spacing w:before="240"/>
      </w:pPr>
      <w:r>
        <w:t xml:space="preserve">A-DIVA skalan finns att beställa som fickkort, </w:t>
      </w:r>
      <w:hyperlink w:anchor="Bilaga2" w:history="1">
        <w:r w:rsidRPr="00734555">
          <w:rPr>
            <w:rStyle w:val="Hyperlnk"/>
          </w:rPr>
          <w:t>se bilaga 2</w:t>
        </w:r>
      </w:hyperlink>
      <w:r>
        <w:t>.</w:t>
      </w:r>
    </w:p>
    <w:p w14:paraId="5A6DC09A" w14:textId="77777777" w:rsidR="00B83E00" w:rsidRDefault="00B83E00" w:rsidP="00B83E00">
      <w:r>
        <w:t xml:space="preserve">Vid behov av stickhjälp kan VO </w:t>
      </w:r>
      <w:proofErr w:type="spellStart"/>
      <w:r>
        <w:t>AnOpIVA</w:t>
      </w:r>
      <w:proofErr w:type="spellEnd"/>
      <w:r>
        <w:t xml:space="preserve"> kontaktas, se sjukhusövergripande riktlinje </w:t>
      </w:r>
      <w:hyperlink r:id="rId12">
        <w:r w:rsidRPr="47220E80">
          <w:rPr>
            <w:rStyle w:val="Hyperlnk"/>
          </w:rPr>
          <w:t>Stickhjälp - svårstuckna patienter</w:t>
        </w:r>
      </w:hyperlink>
      <w:r>
        <w:t>.</w:t>
      </w:r>
    </w:p>
    <w:p w14:paraId="3F44C7D7" w14:textId="00AA290D" w:rsidR="009A32ED" w:rsidRPr="005218AA" w:rsidRDefault="009A32ED" w:rsidP="009A32ED">
      <w:pPr>
        <w:ind w:right="-143"/>
      </w:pP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21" w:name="_Toc100327192"/>
      <w:bookmarkStart w:id="22" w:name="_Toc199321049"/>
      <w:bookmarkStart w:id="23" w:name="_Toc199321522"/>
      <w:r w:rsidRPr="00065A6B">
        <w:rPr>
          <w:color w:val="auto"/>
        </w:rPr>
        <w:t>Utförande</w:t>
      </w:r>
      <w:bookmarkEnd w:id="21"/>
      <w:bookmarkEnd w:id="22"/>
      <w:bookmarkEnd w:id="23"/>
    </w:p>
    <w:p w14:paraId="1EEFCA7C" w14:textId="77777777" w:rsidR="0040201D" w:rsidRDefault="0040201D" w:rsidP="0040201D">
      <w:pPr>
        <w:pStyle w:val="Rubrik3"/>
        <w:spacing w:before="120"/>
      </w:pPr>
      <w:bookmarkStart w:id="24" w:name="_Toc195529368"/>
      <w:bookmarkStart w:id="25" w:name="_Toc199321523"/>
      <w:r>
        <w:t xml:space="preserve">Remissförfarande för CVK och </w:t>
      </w:r>
      <w:proofErr w:type="spellStart"/>
      <w:r>
        <w:t>Midline</w:t>
      </w:r>
      <w:bookmarkEnd w:id="24"/>
      <w:bookmarkEnd w:id="25"/>
      <w:proofErr w:type="spellEnd"/>
    </w:p>
    <w:p w14:paraId="7037C079" w14:textId="77777777" w:rsidR="0040201D" w:rsidRDefault="0040201D" w:rsidP="0040201D">
      <w:r>
        <w:t xml:space="preserve">Remiss till VO </w:t>
      </w:r>
      <w:proofErr w:type="spellStart"/>
      <w:r>
        <w:t>AnOpIVA</w:t>
      </w:r>
      <w:proofErr w:type="spellEnd"/>
      <w:r>
        <w:t>/operation 1 som innehåller:</w:t>
      </w:r>
    </w:p>
    <w:p w14:paraId="25DFE276" w14:textId="77777777" w:rsidR="0040201D" w:rsidRDefault="0040201D" w:rsidP="0020728D">
      <w:pPr>
        <w:pStyle w:val="Punktlista"/>
        <w:numPr>
          <w:ilvl w:val="0"/>
          <w:numId w:val="20"/>
        </w:numPr>
      </w:pPr>
      <w:r>
        <w:t xml:space="preserve">kort anamnes med indikation för inläggning, typ av behandling, </w:t>
      </w:r>
      <w:proofErr w:type="gramStart"/>
      <w:r>
        <w:t>t.ex.</w:t>
      </w:r>
      <w:proofErr w:type="gramEnd"/>
      <w:r>
        <w:t xml:space="preserve"> TPN (perifer/central), vilken sorts antibiotika (pH-värde styr), eventuellt behov av flera iv-läkemedel. </w:t>
      </w:r>
    </w:p>
    <w:p w14:paraId="18FF9020" w14:textId="77777777" w:rsidR="0040201D" w:rsidRDefault="0040201D" w:rsidP="0020728D">
      <w:pPr>
        <w:pStyle w:val="Punktlista"/>
        <w:numPr>
          <w:ilvl w:val="0"/>
          <w:numId w:val="20"/>
        </w:numPr>
      </w:pPr>
      <w:r>
        <w:t>uppskattad behandlingslängd.</w:t>
      </w:r>
    </w:p>
    <w:p w14:paraId="1F48EB80" w14:textId="77777777" w:rsidR="0040201D" w:rsidRDefault="0040201D" w:rsidP="0020728D">
      <w:pPr>
        <w:pStyle w:val="Punktlista"/>
        <w:numPr>
          <w:ilvl w:val="0"/>
          <w:numId w:val="20"/>
        </w:numPr>
      </w:pPr>
      <w:r>
        <w:t xml:space="preserve">ansvarig läkare ska framgå (om sjuksköterska skriver remiss). </w:t>
      </w:r>
    </w:p>
    <w:p w14:paraId="4B7F591A" w14:textId="77777777" w:rsidR="0040201D" w:rsidRDefault="0040201D" w:rsidP="0020728D">
      <w:pPr>
        <w:pStyle w:val="Punktlista"/>
        <w:numPr>
          <w:ilvl w:val="0"/>
          <w:numId w:val="20"/>
        </w:numPr>
      </w:pPr>
      <w:r>
        <w:t xml:space="preserve">uppgift om koagulationsrubbning eller pågående, alternativt nyligen avbruten medicinering med </w:t>
      </w:r>
      <w:proofErr w:type="spellStart"/>
      <w:r>
        <w:t>antikoagulantia</w:t>
      </w:r>
      <w:proofErr w:type="spellEnd"/>
      <w:r>
        <w:t>.</w:t>
      </w:r>
    </w:p>
    <w:p w14:paraId="6F8A1ED9" w14:textId="77777777" w:rsidR="0040201D" w:rsidRDefault="0040201D" w:rsidP="0040201D">
      <w:r>
        <w:t xml:space="preserve">Om CVK önskas behövs ofta kännedom om APTT och PK. Om trombocyter misstänks vara låga eller har varit låga tas även TPK. </w:t>
      </w:r>
    </w:p>
    <w:p w14:paraId="20CE53F5" w14:textId="77777777" w:rsidR="0040201D" w:rsidRDefault="0040201D" w:rsidP="0040201D">
      <w:r>
        <w:t xml:space="preserve">Remissen faxas till operation 1, </w:t>
      </w:r>
      <w:r w:rsidRPr="47220E80">
        <w:rPr>
          <w:b/>
          <w:bCs/>
        </w:rPr>
        <w:t>faxnummer 033-616 30 69</w:t>
      </w:r>
      <w:r>
        <w:t xml:space="preserve">. Om akut bedömning önskas ska narkosjouren kontaktas, </w:t>
      </w:r>
      <w:proofErr w:type="spellStart"/>
      <w:r w:rsidRPr="47220E80">
        <w:rPr>
          <w:b/>
          <w:bCs/>
        </w:rPr>
        <w:t>ankn</w:t>
      </w:r>
      <w:proofErr w:type="spellEnd"/>
      <w:r w:rsidRPr="47220E80">
        <w:rPr>
          <w:b/>
          <w:bCs/>
        </w:rPr>
        <w:t xml:space="preserve"> 3113</w:t>
      </w:r>
      <w:r>
        <w:t>,</w:t>
      </w:r>
      <w:r w:rsidRPr="47220E80">
        <w:rPr>
          <w:b/>
          <w:bCs/>
        </w:rPr>
        <w:t xml:space="preserve"> </w:t>
      </w:r>
      <w:r>
        <w:t xml:space="preserve">se riktlinje </w:t>
      </w:r>
      <w:hyperlink r:id="rId13">
        <w:r w:rsidRPr="47220E80">
          <w:rPr>
            <w:rStyle w:val="Hyperlnk"/>
          </w:rPr>
          <w:t>Remiss till VO anestesi, operation och intensivvård, SÄS</w:t>
        </w:r>
      </w:hyperlink>
      <w:r>
        <w:t>.</w:t>
      </w:r>
    </w:p>
    <w:p w14:paraId="2677B1DA" w14:textId="77777777" w:rsidR="0040201D" w:rsidRDefault="0040201D" w:rsidP="0040201D">
      <w:pPr>
        <w:pStyle w:val="Rubrik3"/>
      </w:pPr>
      <w:bookmarkStart w:id="26" w:name="_Toc195529369"/>
      <w:bookmarkStart w:id="27" w:name="_Toc199321524"/>
      <w:proofErr w:type="spellStart"/>
      <w:r>
        <w:t>Picc-line</w:t>
      </w:r>
      <w:proofErr w:type="spellEnd"/>
      <w:r>
        <w:t xml:space="preserve"> och subkutan </w:t>
      </w:r>
      <w:proofErr w:type="spellStart"/>
      <w:r>
        <w:t>venport</w:t>
      </w:r>
      <w:bookmarkEnd w:id="26"/>
      <w:bookmarkEnd w:id="27"/>
      <w:proofErr w:type="spellEnd"/>
    </w:p>
    <w:p w14:paraId="58EEB57C" w14:textId="77777777" w:rsidR="0040201D" w:rsidRPr="00734555" w:rsidRDefault="0040201D" w:rsidP="0040201D">
      <w:r>
        <w:t xml:space="preserve">Se riktlinje </w:t>
      </w:r>
      <w:hyperlink r:id="rId14" w:history="1">
        <w:r w:rsidRPr="00734555">
          <w:rPr>
            <w:rStyle w:val="Hyperlnk"/>
          </w:rPr>
          <w:t>Central venös infart (CVI) - inläggning och skötsel vid SÄS</w:t>
        </w:r>
      </w:hyperlink>
      <w:r>
        <w:t>.</w:t>
      </w:r>
    </w:p>
    <w:p w14:paraId="58B54637" w14:textId="77777777" w:rsidR="0040201D" w:rsidRDefault="0040201D" w:rsidP="0040201D">
      <w:pPr>
        <w:pStyle w:val="Rubrik3"/>
      </w:pPr>
      <w:bookmarkStart w:id="28" w:name="_Toc195529370"/>
      <w:bookmarkStart w:id="29" w:name="_Toc199321525"/>
      <w:r>
        <w:lastRenderedPageBreak/>
        <w:t>Avvikelser</w:t>
      </w:r>
      <w:bookmarkEnd w:id="28"/>
      <w:bookmarkEnd w:id="29"/>
    </w:p>
    <w:p w14:paraId="3D538299" w14:textId="77777777" w:rsidR="0040201D" w:rsidRDefault="0040201D" w:rsidP="0040201D">
      <w:r>
        <w:t xml:space="preserve">Negativa händelser rapporteras som avvikelse i </w:t>
      </w:r>
      <w:proofErr w:type="spellStart"/>
      <w:r>
        <w:t>MedControl</w:t>
      </w:r>
      <w:proofErr w:type="spellEnd"/>
      <w:r>
        <w:t xml:space="preserve"> PRO.</w:t>
      </w:r>
    </w:p>
    <w:p w14:paraId="46F80C1F" w14:textId="2C04ECC5" w:rsidR="009A32ED" w:rsidRPr="000D04ED" w:rsidRDefault="009714F6" w:rsidP="00C05DDE">
      <w:pPr>
        <w:pStyle w:val="Rubrik3"/>
      </w:pPr>
      <w:bookmarkStart w:id="30" w:name="_Toc199321526"/>
      <w:r>
        <w:t>Innehållsansvarig</w:t>
      </w:r>
      <w:r w:rsidR="00C05DDE">
        <w:t>a</w:t>
      </w:r>
      <w:bookmarkEnd w:id="30"/>
    </w:p>
    <w:p w14:paraId="2753C6AB" w14:textId="77777777" w:rsidR="0020728D" w:rsidRPr="0020728D" w:rsidRDefault="0020728D" w:rsidP="005D2304">
      <w:pPr>
        <w:pStyle w:val="Punktlista"/>
        <w:numPr>
          <w:ilvl w:val="0"/>
          <w:numId w:val="20"/>
        </w:numPr>
      </w:pPr>
      <w:r w:rsidRPr="0020728D">
        <w:t>Harley Tengberg, sjuksköterska, neonatalavdelningen SÄS</w:t>
      </w:r>
    </w:p>
    <w:p w14:paraId="53F95D78" w14:textId="77777777" w:rsidR="0020728D" w:rsidRPr="0020728D" w:rsidRDefault="0020728D" w:rsidP="005D2304">
      <w:pPr>
        <w:pStyle w:val="Punktlista"/>
        <w:numPr>
          <w:ilvl w:val="0"/>
          <w:numId w:val="20"/>
        </w:numPr>
      </w:pPr>
      <w:r w:rsidRPr="0020728D">
        <w:t>Susanne Roos, hygiensjuksköterska, vårdhygien SÄS</w:t>
      </w:r>
    </w:p>
    <w:p w14:paraId="2083AC26" w14:textId="77777777" w:rsidR="0020728D" w:rsidRPr="0020728D" w:rsidRDefault="0020728D" w:rsidP="005D2304">
      <w:pPr>
        <w:pStyle w:val="Punktlista"/>
        <w:numPr>
          <w:ilvl w:val="0"/>
          <w:numId w:val="20"/>
        </w:numPr>
      </w:pPr>
      <w:r w:rsidRPr="0020728D">
        <w:t>Linda Hallberg, hygiensjuksköterska, vårdhygien SÄS</w:t>
      </w:r>
    </w:p>
    <w:p w14:paraId="766FE254" w14:textId="77777777" w:rsidR="0020728D" w:rsidRPr="0020728D" w:rsidRDefault="0020728D" w:rsidP="005D2304">
      <w:pPr>
        <w:pStyle w:val="Punktlista"/>
        <w:numPr>
          <w:ilvl w:val="0"/>
          <w:numId w:val="20"/>
        </w:numPr>
      </w:pPr>
      <w:r w:rsidRPr="0020728D">
        <w:t xml:space="preserve">Susanne </w:t>
      </w:r>
      <w:proofErr w:type="spellStart"/>
      <w:r w:rsidRPr="0020728D">
        <w:t>Jungnelius</w:t>
      </w:r>
      <w:proofErr w:type="spellEnd"/>
      <w:r w:rsidRPr="0020728D">
        <w:t xml:space="preserve">, specialistsjuksköterska, VO </w:t>
      </w:r>
      <w:proofErr w:type="spellStart"/>
      <w:r w:rsidRPr="0020728D">
        <w:t>AnOpIVA</w:t>
      </w:r>
      <w:proofErr w:type="spellEnd"/>
      <w:r w:rsidRPr="0020728D">
        <w:t>, SÄS</w:t>
      </w:r>
    </w:p>
    <w:p w14:paraId="3D4A9705" w14:textId="77777777" w:rsidR="0020728D" w:rsidRPr="0020728D" w:rsidRDefault="0020728D" w:rsidP="005D2304">
      <w:pPr>
        <w:pStyle w:val="Punktlista"/>
        <w:numPr>
          <w:ilvl w:val="0"/>
          <w:numId w:val="20"/>
        </w:numPr>
      </w:pPr>
      <w:r w:rsidRPr="0020728D">
        <w:t xml:space="preserve">Marie </w:t>
      </w:r>
      <w:proofErr w:type="spellStart"/>
      <w:r w:rsidRPr="0020728D">
        <w:t>Movert</w:t>
      </w:r>
      <w:proofErr w:type="spellEnd"/>
      <w:r w:rsidRPr="0020728D">
        <w:t xml:space="preserve">, specialistsjuksköterska, VO </w:t>
      </w:r>
      <w:proofErr w:type="spellStart"/>
      <w:r w:rsidRPr="0020728D">
        <w:t>AnOpIVA</w:t>
      </w:r>
      <w:proofErr w:type="spellEnd"/>
      <w:r w:rsidRPr="0020728D">
        <w:t>, SÄS</w:t>
      </w:r>
    </w:p>
    <w:p w14:paraId="719060DF" w14:textId="77777777" w:rsidR="0020728D" w:rsidRPr="0020728D" w:rsidRDefault="0020728D" w:rsidP="005D2304">
      <w:pPr>
        <w:pStyle w:val="Punktlista"/>
        <w:numPr>
          <w:ilvl w:val="0"/>
          <w:numId w:val="20"/>
        </w:numPr>
      </w:pPr>
      <w:r w:rsidRPr="0020728D">
        <w:t>Karin Scharl, chefsjuksköterska, SÄS</w:t>
      </w:r>
    </w:p>
    <w:p w14:paraId="46198459" w14:textId="77777777" w:rsidR="008434A0" w:rsidRDefault="008434A0" w:rsidP="008434A0">
      <w:pPr>
        <w:pStyle w:val="Rubrik3"/>
      </w:pPr>
      <w:bookmarkStart w:id="31" w:name="_Toc199321527"/>
      <w:r>
        <w:t>Remissinstanser</w:t>
      </w:r>
      <w:bookmarkEnd w:id="31"/>
    </w:p>
    <w:p w14:paraId="1F08E393" w14:textId="77777777" w:rsidR="008434A0" w:rsidRDefault="008434A0" w:rsidP="00111CB2">
      <w:pPr>
        <w:ind w:right="-143"/>
      </w:pPr>
      <w:r>
        <w:t>Verksamhetschefer SÄS</w:t>
      </w:r>
    </w:p>
    <w:p w14:paraId="1361ECC2" w14:textId="77777777" w:rsidR="003C012A" w:rsidRDefault="003C012A" w:rsidP="003C012A">
      <w:pPr>
        <w:pStyle w:val="Rubrik2"/>
      </w:pPr>
      <w:bookmarkStart w:id="32" w:name="_Toc195529372"/>
      <w:bookmarkStart w:id="33" w:name="_Toc199321050"/>
      <w:bookmarkStart w:id="34" w:name="_Toc199321528"/>
      <w:r>
        <w:t>Länkförteckning</w:t>
      </w:r>
      <w:bookmarkEnd w:id="32"/>
      <w:bookmarkEnd w:id="33"/>
      <w:bookmarkEnd w:id="34"/>
    </w:p>
    <w:p w14:paraId="2EC48BD8" w14:textId="77777777" w:rsidR="003C012A" w:rsidRDefault="003C012A" w:rsidP="003C012A">
      <w:pPr>
        <w:pStyle w:val="Punktlista"/>
        <w:spacing w:line="288" w:lineRule="auto"/>
        <w:ind w:left="1349" w:hanging="357"/>
      </w:pPr>
      <w:r>
        <w:t>Stickhjälp - svårstuckna patienter. Sjukhusövergripande riktlinje, SÄS</w:t>
      </w:r>
      <w:r>
        <w:br/>
      </w:r>
      <w:hyperlink r:id="rId15">
        <w:r w:rsidRPr="47220E80">
          <w:rPr>
            <w:rStyle w:val="Hyperlnk"/>
          </w:rPr>
          <w:t>https://insidan.vgregion.se/forvaltningar/sodra-alvsborgs-sjukhus/styrdokument</w:t>
        </w:r>
      </w:hyperlink>
    </w:p>
    <w:p w14:paraId="4535AE3E" w14:textId="77777777" w:rsidR="003C012A" w:rsidRPr="00734555" w:rsidRDefault="003C012A" w:rsidP="003C012A">
      <w:pPr>
        <w:pStyle w:val="Punktlista"/>
        <w:spacing w:line="288" w:lineRule="auto"/>
        <w:ind w:left="1349" w:hanging="357"/>
        <w:rPr>
          <w:rStyle w:val="Hyperlnk"/>
          <w:color w:val="auto"/>
          <w:u w:val="none"/>
        </w:rPr>
      </w:pPr>
      <w:r w:rsidRPr="00734555">
        <w:t>Remiss till VO anestesi, operation och intensivvård, SÄS</w:t>
      </w:r>
      <w:r>
        <w:rPr>
          <w:rStyle w:val="Hyperlnk"/>
        </w:rPr>
        <w:t xml:space="preserve">. </w:t>
      </w:r>
      <w:r>
        <w:t>Sjukhusövergripande riktlinje, SÄS</w:t>
      </w:r>
      <w:r>
        <w:br/>
      </w:r>
      <w:hyperlink r:id="rId16">
        <w:r w:rsidRPr="47220E80">
          <w:rPr>
            <w:rStyle w:val="Hyperlnk"/>
          </w:rPr>
          <w:t>https://insidan.vgregion.se/forvaltningar/sodra-alvsborgs-sjukhus/styrdokument</w:t>
        </w:r>
      </w:hyperlink>
    </w:p>
    <w:p w14:paraId="376A5305" w14:textId="77777777" w:rsidR="003C012A" w:rsidRDefault="003C012A" w:rsidP="003C012A">
      <w:pPr>
        <w:pStyle w:val="Punktlista"/>
        <w:spacing w:line="288" w:lineRule="auto"/>
        <w:ind w:left="1349" w:hanging="357"/>
      </w:pPr>
      <w:r w:rsidRPr="00734555">
        <w:t>Central venös infart (CVI) - inläggning och skötsel vid SÄS</w:t>
      </w:r>
      <w:r>
        <w:t>. Sjukhusövergripande riktlinje, SÄS</w:t>
      </w:r>
      <w:r>
        <w:br/>
      </w:r>
      <w:hyperlink r:id="rId17">
        <w:r w:rsidRPr="47220E80">
          <w:rPr>
            <w:rStyle w:val="Hyperlnk"/>
          </w:rPr>
          <w:t>https://insidan.vgregion.se/forvaltningar/sodra-alvsborgs-sjukhus/styrdokument</w:t>
        </w:r>
      </w:hyperlink>
    </w:p>
    <w:p w14:paraId="04FFC023" w14:textId="77777777" w:rsidR="003C012A" w:rsidRDefault="003C012A" w:rsidP="003C012A">
      <w:pPr>
        <w:pStyle w:val="Punktlista"/>
        <w:spacing w:line="288" w:lineRule="auto"/>
        <w:ind w:left="1349" w:hanging="357"/>
      </w:pPr>
      <w:r>
        <w:t xml:space="preserve">Beställningsformulär för trycksaker producerade av kommunikationsenheten, SÄS. </w:t>
      </w:r>
      <w:r>
        <w:br/>
      </w:r>
      <w:hyperlink r:id="rId18">
        <w:r w:rsidRPr="47220E80">
          <w:rPr>
            <w:rStyle w:val="Hyperlnk"/>
          </w:rPr>
          <w:t>https://insidan.vgregion.se/forvaltningar/sodra-alvsborgs-sjukhus/stod-och-tjanster/amnen-a-o/kommunikation/trycksaker/bestall-trycksaker</w:t>
        </w:r>
      </w:hyperlink>
    </w:p>
    <w:p w14:paraId="627A9F9B" w14:textId="77777777" w:rsidR="003C012A" w:rsidRDefault="003C012A" w:rsidP="003C012A">
      <w:pPr>
        <w:pStyle w:val="Rubrik2"/>
      </w:pPr>
      <w:bookmarkStart w:id="35" w:name="_Toc195529373"/>
      <w:bookmarkStart w:id="36" w:name="_Toc199321051"/>
      <w:bookmarkStart w:id="37" w:name="_Toc199321529"/>
      <w:r>
        <w:lastRenderedPageBreak/>
        <w:t>Referensförteckning</w:t>
      </w:r>
      <w:bookmarkEnd w:id="35"/>
      <w:bookmarkEnd w:id="36"/>
      <w:bookmarkEnd w:id="37"/>
    </w:p>
    <w:p w14:paraId="1549F38C" w14:textId="77777777" w:rsidR="003C012A" w:rsidRDefault="003C012A" w:rsidP="003C012A">
      <w:pPr>
        <w:pStyle w:val="Punktlistanumrerad"/>
        <w:keepNext/>
        <w:keepLines/>
      </w:pPr>
      <w:proofErr w:type="spellStart"/>
      <w:r>
        <w:t>Moureau</w:t>
      </w:r>
      <w:proofErr w:type="spellEnd"/>
      <w:r>
        <w:t xml:space="preserve">, N. L., Trick, N., </w:t>
      </w:r>
      <w:proofErr w:type="spellStart"/>
      <w:r>
        <w:t>Nifong</w:t>
      </w:r>
      <w:proofErr w:type="spellEnd"/>
      <w:r>
        <w:t xml:space="preserve">, T., Perry, C., Kelley, C., </w:t>
      </w:r>
      <w:proofErr w:type="spellStart"/>
      <w:r>
        <w:t>Carrico</w:t>
      </w:r>
      <w:proofErr w:type="spellEnd"/>
      <w:r>
        <w:t xml:space="preserve">, R., . . . </w:t>
      </w:r>
      <w:proofErr w:type="spellStart"/>
      <w:r>
        <w:t>Phelan</w:t>
      </w:r>
      <w:proofErr w:type="spellEnd"/>
      <w:r>
        <w:t xml:space="preserve">, D. A. (2012). </w:t>
      </w:r>
      <w:proofErr w:type="spellStart"/>
      <w:r>
        <w:t>Vessel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 and </w:t>
      </w:r>
      <w:proofErr w:type="spellStart"/>
      <w:r>
        <w:t>preservation</w:t>
      </w:r>
      <w:proofErr w:type="spellEnd"/>
      <w:r>
        <w:t xml:space="preserve"> (Part 1): a new </w:t>
      </w:r>
      <w:proofErr w:type="spellStart"/>
      <w:r>
        <w:t>evidence-based</w:t>
      </w:r>
      <w:proofErr w:type="spellEnd"/>
      <w:r>
        <w:t xml:space="preserve"> approach to </w:t>
      </w:r>
      <w:proofErr w:type="spellStart"/>
      <w:r>
        <w:t>vascular</w:t>
      </w:r>
      <w:proofErr w:type="spellEnd"/>
      <w:r>
        <w:t xml:space="preserve"> access </w:t>
      </w:r>
      <w:proofErr w:type="spellStart"/>
      <w:r>
        <w:t>selection</w:t>
      </w:r>
      <w:proofErr w:type="spellEnd"/>
      <w:r>
        <w:t xml:space="preserve"> and management. J </w:t>
      </w:r>
      <w:proofErr w:type="spellStart"/>
      <w:r>
        <w:t>Vasc</w:t>
      </w:r>
      <w:proofErr w:type="spellEnd"/>
      <w:r>
        <w:t xml:space="preserve"> Access, 13(3), </w:t>
      </w:r>
      <w:proofErr w:type="gramStart"/>
      <w:r>
        <w:t>351-356</w:t>
      </w:r>
      <w:proofErr w:type="gramEnd"/>
      <w:r>
        <w:t>. doi:</w:t>
      </w:r>
      <w:proofErr w:type="gramStart"/>
      <w:r>
        <w:t>10.5301</w:t>
      </w:r>
      <w:proofErr w:type="gramEnd"/>
      <w:r>
        <w:t>/jva.5000042</w:t>
      </w:r>
    </w:p>
    <w:p w14:paraId="51110D76" w14:textId="77777777" w:rsidR="003C012A" w:rsidRDefault="003C012A" w:rsidP="003C012A">
      <w:pPr>
        <w:pStyle w:val="Punktlistanumrerad"/>
      </w:pPr>
      <w:proofErr w:type="spellStart"/>
      <w:r>
        <w:t>Santolucito</w:t>
      </w:r>
      <w:proofErr w:type="spellEnd"/>
      <w:r>
        <w:t xml:space="preserve">, J. B. (2001). A </w:t>
      </w:r>
      <w:proofErr w:type="spellStart"/>
      <w:r>
        <w:t>retrospective</w:t>
      </w:r>
      <w:proofErr w:type="spellEnd"/>
      <w:r>
        <w:t xml:space="preserve"> </w:t>
      </w:r>
      <w:proofErr w:type="spellStart"/>
      <w:r>
        <w:t>evaluation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t>timeliness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physician</w:t>
      </w:r>
      <w:proofErr w:type="spellEnd"/>
      <w:r>
        <w:t xml:space="preserve"> </w:t>
      </w:r>
      <w:proofErr w:type="spellStart"/>
      <w:r>
        <w:t>initiated</w:t>
      </w:r>
      <w:proofErr w:type="spellEnd"/>
      <w:r>
        <w:t xml:space="preserve"> PICC </w:t>
      </w:r>
      <w:proofErr w:type="spellStart"/>
      <w:r>
        <w:t>referrals</w:t>
      </w:r>
      <w:proofErr w:type="spellEnd"/>
      <w:r>
        <w:t xml:space="preserve">: a </w:t>
      </w:r>
      <w:proofErr w:type="spellStart"/>
      <w:r>
        <w:t>continuous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assurance</w:t>
      </w:r>
      <w:proofErr w:type="spellEnd"/>
      <w:r>
        <w:t>/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improvement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Journal </w:t>
      </w:r>
      <w:proofErr w:type="spellStart"/>
      <w:r>
        <w:t>of</w:t>
      </w:r>
      <w:proofErr w:type="spellEnd"/>
      <w:r>
        <w:t xml:space="preserve"> </w:t>
      </w:r>
      <w:proofErr w:type="spellStart"/>
      <w:r>
        <w:t>Vascular</w:t>
      </w:r>
      <w:proofErr w:type="spellEnd"/>
      <w:r>
        <w:t xml:space="preserve"> Access </w:t>
      </w:r>
      <w:proofErr w:type="spellStart"/>
      <w:r>
        <w:t>Devices</w:t>
      </w:r>
      <w:proofErr w:type="spellEnd"/>
      <w:r>
        <w:t xml:space="preserve">, 6(3), </w:t>
      </w:r>
      <w:proofErr w:type="gramStart"/>
      <w:r>
        <w:t>20-26</w:t>
      </w:r>
      <w:proofErr w:type="gramEnd"/>
      <w:r>
        <w:t xml:space="preserve"> 27p.</w:t>
      </w:r>
    </w:p>
    <w:p w14:paraId="163E4C46" w14:textId="77777777" w:rsidR="003C012A" w:rsidRDefault="003C012A" w:rsidP="003C012A">
      <w:pPr>
        <w:pStyle w:val="Punktlistanumrerad"/>
      </w:pPr>
      <w:r>
        <w:t xml:space="preserve">Jackson, T., </w:t>
      </w:r>
      <w:proofErr w:type="spellStart"/>
      <w:r>
        <w:t>Hallam</w:t>
      </w:r>
      <w:proofErr w:type="spellEnd"/>
      <w:r>
        <w:t xml:space="preserve">, C., Corner, T., &amp; Hill, S. (2013). Right </w:t>
      </w:r>
      <w:proofErr w:type="spellStart"/>
      <w:r>
        <w:t>line</w:t>
      </w:r>
      <w:proofErr w:type="spellEnd"/>
      <w:r>
        <w:t xml:space="preserve">, right patient, right </w:t>
      </w:r>
      <w:proofErr w:type="spellStart"/>
      <w:r>
        <w:t>time</w:t>
      </w:r>
      <w:proofErr w:type="spellEnd"/>
      <w:r>
        <w:t xml:space="preserve">: </w:t>
      </w:r>
      <w:proofErr w:type="spellStart"/>
      <w:r>
        <w:t>every</w:t>
      </w:r>
      <w:proofErr w:type="spellEnd"/>
      <w:r>
        <w:t xml:space="preserve"> choice </w:t>
      </w:r>
      <w:proofErr w:type="spellStart"/>
      <w:r>
        <w:t>matters</w:t>
      </w:r>
      <w:proofErr w:type="spellEnd"/>
      <w:r>
        <w:t xml:space="preserve">. </w:t>
      </w:r>
      <w:proofErr w:type="spellStart"/>
      <w:r>
        <w:t>Br</w:t>
      </w:r>
      <w:proofErr w:type="spellEnd"/>
      <w:r>
        <w:t xml:space="preserve"> J </w:t>
      </w:r>
      <w:proofErr w:type="spellStart"/>
      <w:r>
        <w:t>Nurs</w:t>
      </w:r>
      <w:proofErr w:type="spellEnd"/>
      <w:r>
        <w:t xml:space="preserve">, 22(8), S24, s26-28. </w:t>
      </w:r>
      <w:proofErr w:type="gramStart"/>
      <w:r>
        <w:t>doi:10.12968/bjon.2013.22.Sup5.S</w:t>
      </w:r>
      <w:proofErr w:type="gramEnd"/>
      <w:r>
        <w:t>24</w:t>
      </w:r>
    </w:p>
    <w:p w14:paraId="6F00DC30" w14:textId="77777777" w:rsidR="003C012A" w:rsidRDefault="003C012A" w:rsidP="003C012A">
      <w:pPr>
        <w:pStyle w:val="Punktlistanumrerad"/>
        <w:rPr>
          <w:rStyle w:val="Hyperlnk"/>
        </w:rPr>
      </w:pPr>
      <w:r>
        <w:t xml:space="preserve">van </w:t>
      </w:r>
      <w:proofErr w:type="spellStart"/>
      <w:r>
        <w:t>Loon</w:t>
      </w:r>
      <w:proofErr w:type="spellEnd"/>
      <w:r>
        <w:t xml:space="preserve">, F. H. J., van </w:t>
      </w:r>
      <w:proofErr w:type="spellStart"/>
      <w:r>
        <w:t>Hooff</w:t>
      </w:r>
      <w:proofErr w:type="spellEnd"/>
      <w:r>
        <w:t xml:space="preserve">, L. W. E., de Boer, H. D., </w:t>
      </w:r>
      <w:proofErr w:type="spellStart"/>
      <w:r>
        <w:t>Koopman</w:t>
      </w:r>
      <w:proofErr w:type="spellEnd"/>
      <w:r>
        <w:t xml:space="preserve">, S. S. H. A., </w:t>
      </w:r>
      <w:proofErr w:type="spellStart"/>
      <w:r>
        <w:t>Buise</w:t>
      </w:r>
      <w:proofErr w:type="spellEnd"/>
      <w:r>
        <w:t xml:space="preserve">, M. P., </w:t>
      </w:r>
      <w:proofErr w:type="spellStart"/>
      <w:r>
        <w:t>Korsten</w:t>
      </w:r>
      <w:proofErr w:type="spellEnd"/>
      <w:r>
        <w:t xml:space="preserve">, H. H. M., </w:t>
      </w:r>
      <w:proofErr w:type="spellStart"/>
      <w:r>
        <w:t>Dierick</w:t>
      </w:r>
      <w:proofErr w:type="spellEnd"/>
      <w:r>
        <w:t xml:space="preserve">-van </w:t>
      </w:r>
      <w:proofErr w:type="spellStart"/>
      <w:r>
        <w:t>Daele</w:t>
      </w:r>
      <w:proofErr w:type="spellEnd"/>
      <w:r>
        <w:t xml:space="preserve">, A. T. M., &amp; </w:t>
      </w:r>
      <w:proofErr w:type="spellStart"/>
      <w:r>
        <w:t>Bouwman</w:t>
      </w:r>
      <w:proofErr w:type="spellEnd"/>
      <w:r>
        <w:t xml:space="preserve">, A. R. A. (2019). The </w:t>
      </w:r>
      <w:proofErr w:type="spellStart"/>
      <w:r>
        <w:t>Modified</w:t>
      </w:r>
      <w:proofErr w:type="spellEnd"/>
      <w:r>
        <w:t xml:space="preserve"> A-DIVA </w:t>
      </w:r>
      <w:proofErr w:type="spellStart"/>
      <w:r>
        <w:t>Scale</w:t>
      </w:r>
      <w:proofErr w:type="spellEnd"/>
      <w:r>
        <w:t xml:space="preserve"> as a </w:t>
      </w:r>
      <w:proofErr w:type="spellStart"/>
      <w:r>
        <w:t>Predictive</w:t>
      </w:r>
      <w:proofErr w:type="spellEnd"/>
      <w:r>
        <w:t xml:space="preserve"> </w:t>
      </w:r>
      <w:proofErr w:type="spellStart"/>
      <w:r>
        <w:t>Tool</w:t>
      </w:r>
      <w:proofErr w:type="spellEnd"/>
      <w:r>
        <w:t xml:space="preserve"> for </w:t>
      </w:r>
      <w:proofErr w:type="spellStart"/>
      <w:r>
        <w:t>Prospective</w:t>
      </w:r>
      <w:proofErr w:type="spellEnd"/>
      <w:r>
        <w:t xml:space="preserve">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Adult Patients at Risk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Difficult</w:t>
      </w:r>
      <w:proofErr w:type="spellEnd"/>
      <w:r>
        <w:t xml:space="preserve"> </w:t>
      </w:r>
      <w:proofErr w:type="spellStart"/>
      <w:r>
        <w:t>Intravenous</w:t>
      </w:r>
      <w:proofErr w:type="spellEnd"/>
      <w:r>
        <w:t xml:space="preserve"> Access: A Multicenter </w:t>
      </w:r>
      <w:proofErr w:type="spellStart"/>
      <w:r>
        <w:t>Validation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. Journal </w:t>
      </w:r>
      <w:proofErr w:type="spellStart"/>
      <w:r>
        <w:t>of</w:t>
      </w:r>
      <w:proofErr w:type="spellEnd"/>
      <w:r>
        <w:t xml:space="preserve"> </w:t>
      </w:r>
      <w:proofErr w:type="spellStart"/>
      <w:r>
        <w:t>clinical</w:t>
      </w:r>
      <w:proofErr w:type="spellEnd"/>
      <w:r>
        <w:t xml:space="preserve"> medicine, 8(2), 144. </w:t>
      </w:r>
      <w:hyperlink r:id="rId19">
        <w:r w:rsidRPr="47220E80">
          <w:rPr>
            <w:rStyle w:val="Hyperlnk"/>
          </w:rPr>
          <w:t>https://doi.org/10.3390/jcm8020144</w:t>
        </w:r>
      </w:hyperlink>
    </w:p>
    <w:p w14:paraId="0F0C1793" w14:textId="77777777" w:rsidR="003C012A" w:rsidRPr="007703B0" w:rsidRDefault="003C012A" w:rsidP="003C012A">
      <w:pPr>
        <w:pStyle w:val="Punktlistanumrerad"/>
        <w:rPr>
          <w:rStyle w:val="Hyperlnk"/>
          <w:color w:val="auto"/>
          <w:u w:val="none"/>
        </w:rPr>
      </w:pPr>
      <w:r w:rsidRPr="47220E80">
        <w:rPr>
          <w:rFonts w:eastAsia="Georgia" w:cs="Georgia"/>
          <w:color w:val="000000" w:themeColor="text2"/>
        </w:rPr>
        <w:t>Vårdhandboken. Se, avsnitt Katetrar, sonder och drän.</w:t>
      </w:r>
      <w:r>
        <w:br/>
      </w:r>
      <w:hyperlink r:id="rId20">
        <w:r w:rsidRPr="47220E80">
          <w:rPr>
            <w:rStyle w:val="Hyperlnk"/>
          </w:rPr>
          <w:t>www.vardhandboken.se/katetrar-sonder-och-dran</w:t>
        </w:r>
      </w:hyperlink>
    </w:p>
    <w:p w14:paraId="5DF118E0" w14:textId="3E3A34FF" w:rsidR="00525CBB" w:rsidRDefault="003C012A" w:rsidP="003C012A">
      <w:pPr>
        <w:pStyle w:val="Punktlistanumrerad"/>
      </w:pPr>
      <w:r>
        <w:t xml:space="preserve">David, V., </w:t>
      </w:r>
      <w:proofErr w:type="spellStart"/>
      <w:r>
        <w:t>Christou</w:t>
      </w:r>
      <w:proofErr w:type="spellEnd"/>
      <w:r>
        <w:t xml:space="preserve">, N., Etienne, P., Almeida, M., </w:t>
      </w:r>
      <w:proofErr w:type="spellStart"/>
      <w:r>
        <w:t>Roux</w:t>
      </w:r>
      <w:proofErr w:type="spellEnd"/>
      <w:r>
        <w:t xml:space="preserve">, A., </w:t>
      </w:r>
      <w:proofErr w:type="spellStart"/>
      <w:r>
        <w:t>Taibi</w:t>
      </w:r>
      <w:proofErr w:type="spellEnd"/>
      <w:r>
        <w:t xml:space="preserve">, A. &amp; </w:t>
      </w:r>
      <w:proofErr w:type="spellStart"/>
      <w:r>
        <w:t>Mathonnet</w:t>
      </w:r>
      <w:proofErr w:type="spellEnd"/>
      <w:r>
        <w:t xml:space="preserve">, M. (2020). </w:t>
      </w:r>
      <w:proofErr w:type="spellStart"/>
      <w:r w:rsidRPr="007703B0">
        <w:t>Extravasation</w:t>
      </w:r>
      <w:proofErr w:type="spellEnd"/>
      <w:r w:rsidRPr="007703B0">
        <w:t xml:space="preserve"> </w:t>
      </w:r>
      <w:proofErr w:type="spellStart"/>
      <w:r w:rsidRPr="007703B0">
        <w:t>of</w:t>
      </w:r>
      <w:proofErr w:type="spellEnd"/>
      <w:r w:rsidRPr="007703B0">
        <w:t xml:space="preserve"> </w:t>
      </w:r>
      <w:proofErr w:type="spellStart"/>
      <w:r w:rsidRPr="007703B0">
        <w:t>noncytotoxic</w:t>
      </w:r>
      <w:proofErr w:type="spellEnd"/>
      <w:r w:rsidRPr="007703B0">
        <w:t xml:space="preserve"> </w:t>
      </w:r>
      <w:proofErr w:type="spellStart"/>
      <w:r w:rsidRPr="007703B0">
        <w:t>drugs</w:t>
      </w:r>
      <w:proofErr w:type="spellEnd"/>
      <w:r>
        <w:t>.</w:t>
      </w:r>
      <w:r w:rsidRPr="007703B0">
        <w:t xml:space="preserve"> Annals </w:t>
      </w:r>
      <w:proofErr w:type="spellStart"/>
      <w:r w:rsidRPr="007703B0">
        <w:t>of</w:t>
      </w:r>
      <w:proofErr w:type="spellEnd"/>
      <w:r w:rsidRPr="007703B0">
        <w:t xml:space="preserve"> </w:t>
      </w:r>
      <w:proofErr w:type="spellStart"/>
      <w:r w:rsidRPr="007703B0">
        <w:t>Pharmacotherapy</w:t>
      </w:r>
      <w:proofErr w:type="spellEnd"/>
      <w:r>
        <w:t>,</w:t>
      </w:r>
      <w:r w:rsidRPr="007703B0">
        <w:t xml:space="preserve"> 54</w:t>
      </w:r>
      <w:r>
        <w:t>(</w:t>
      </w:r>
      <w:r w:rsidRPr="007703B0">
        <w:t>8</w:t>
      </w:r>
      <w:r>
        <w:t>),</w:t>
      </w:r>
      <w:r w:rsidRPr="007703B0">
        <w:t xml:space="preserve"> </w:t>
      </w:r>
      <w:r>
        <w:t>ss.</w:t>
      </w:r>
      <w:r w:rsidRPr="007703B0">
        <w:t>804–814, Hämtad 2024-05-31</w:t>
      </w:r>
      <w:r>
        <w:t xml:space="preserve"> </w:t>
      </w:r>
      <w:hyperlink r:id="rId21" w:history="1">
        <w:r w:rsidR="00525CBB" w:rsidRPr="0086721A">
          <w:rPr>
            <w:rStyle w:val="Hyperlnk"/>
          </w:rPr>
          <w:t>https://doi.org/10.1177/1060028020903406</w:t>
        </w:r>
      </w:hyperlink>
    </w:p>
    <w:p w14:paraId="4C098028" w14:textId="77777777" w:rsidR="00525CBB" w:rsidRDefault="00525CBB">
      <w:pPr>
        <w:spacing w:after="0" w:line="240" w:lineRule="auto"/>
        <w:ind w:left="0" w:right="0"/>
      </w:pPr>
      <w:r>
        <w:br w:type="page"/>
      </w:r>
    </w:p>
    <w:p w14:paraId="652B224A" w14:textId="77777777" w:rsidR="00912327" w:rsidRDefault="00912327" w:rsidP="003C012A">
      <w:pPr>
        <w:pStyle w:val="Punktlistanumrerad"/>
        <w:sectPr w:rsidR="00912327" w:rsidSect="00B96AFF"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5665B612" w14:textId="77777777" w:rsidR="00AA3FB6" w:rsidRDefault="00037A80" w:rsidP="00AA3FB6">
      <w:pPr>
        <w:pStyle w:val="Rubrik2"/>
      </w:pPr>
      <w:bookmarkStart w:id="38" w:name="_Toc195529374"/>
      <w:bookmarkStart w:id="39" w:name="_Toc199321052"/>
      <w:bookmarkStart w:id="40" w:name="_Toc199321530"/>
      <w:r>
        <w:lastRenderedPageBreak/>
        <w:t>Bilaga 1, Beslutsstöd Venösa infarter för vuxna</w:t>
      </w:r>
      <w:bookmarkEnd w:id="38"/>
      <w:bookmarkEnd w:id="40"/>
    </w:p>
    <w:p w14:paraId="28785345" w14:textId="7A5628BC" w:rsidR="00037A80" w:rsidRDefault="00793E27" w:rsidP="00AA3FB6">
      <w:pPr>
        <w:pStyle w:val="Normalefterlista"/>
      </w:pPr>
      <w:r>
        <w:rPr>
          <w:noProof/>
        </w:rPr>
        <w:drawing>
          <wp:inline distT="0" distB="0" distL="0" distR="0" wp14:anchorId="5977B0C5" wp14:editId="58AB15EC">
            <wp:extent cx="6778625" cy="4794636"/>
            <wp:effectExtent l="0" t="0" r="3175" b="6350"/>
            <wp:docPr id="1235387244" name="Bildobjekt 1235387244" descr="En flödeskarta som visar hur beslutsstöd för venösa infarter för vuxna hanter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5387244" name="Bildobjekt 1235387244" descr="En flödeskarta som visar hur beslutsstöd för venösa infarter för vuxna hanteras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8016" cy="4822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9"/>
    </w:p>
    <w:p w14:paraId="4B3B1B90" w14:textId="77777777" w:rsidR="00F75F58" w:rsidRDefault="00073912" w:rsidP="00F75F58">
      <w:pPr>
        <w:spacing w:after="0" w:line="240" w:lineRule="auto"/>
        <w:ind w:left="0" w:right="0"/>
        <w:sectPr w:rsidR="00F75F58" w:rsidSect="000F736D">
          <w:pgSz w:w="16840" w:h="11900" w:orient="landscape"/>
          <w:pgMar w:top="992" w:right="1418" w:bottom="1979" w:left="1276" w:header="284" w:footer="737" w:gutter="0"/>
          <w:cols w:space="708"/>
          <w:noEndnote/>
          <w:docGrid w:linePitch="326"/>
        </w:sectPr>
      </w:pPr>
      <w:r>
        <w:br w:type="page"/>
      </w:r>
      <w:bookmarkStart w:id="41" w:name="_Toc195529375"/>
    </w:p>
    <w:p w14:paraId="1FF60FC1" w14:textId="1DF14043" w:rsidR="002D7B4C" w:rsidRPr="00E86AF1" w:rsidRDefault="002D7B4C" w:rsidP="00B767FC">
      <w:pPr>
        <w:pStyle w:val="Rubrik2"/>
      </w:pPr>
      <w:bookmarkStart w:id="42" w:name="_Toc199321053"/>
      <w:bookmarkStart w:id="43" w:name="_Toc199321531"/>
      <w:r w:rsidRPr="00E86AF1">
        <w:lastRenderedPageBreak/>
        <w:t>Bilaga 2, A-DIVA-skalan som fickkort</w:t>
      </w:r>
      <w:bookmarkEnd w:id="41"/>
      <w:bookmarkEnd w:id="42"/>
      <w:bookmarkEnd w:id="43"/>
    </w:p>
    <w:p w14:paraId="3DC730B6" w14:textId="77777777" w:rsidR="002D7B4C" w:rsidRDefault="002D7B4C" w:rsidP="00E86AF1">
      <w:r>
        <w:t xml:space="preserve">Fickkortet finns att beställa från kommunikationsenheten, SÄS via </w:t>
      </w:r>
      <w:hyperlink r:id="rId28">
        <w:r w:rsidRPr="47220E80">
          <w:rPr>
            <w:rStyle w:val="Hyperlnk"/>
          </w:rPr>
          <w:t xml:space="preserve">beställningsformulär på </w:t>
        </w:r>
        <w:proofErr w:type="spellStart"/>
        <w:r w:rsidRPr="47220E80">
          <w:rPr>
            <w:rStyle w:val="Hyperlnk"/>
          </w:rPr>
          <w:t>intranäet</w:t>
        </w:r>
        <w:proofErr w:type="spellEnd"/>
      </w:hyperlink>
      <w:r>
        <w:t xml:space="preserve">; ange beställningsnummer </w:t>
      </w:r>
      <w:proofErr w:type="spellStart"/>
      <w:r w:rsidRPr="47220E80">
        <w:rPr>
          <w:b/>
          <w:bCs/>
        </w:rPr>
        <w:t>Bl</w:t>
      </w:r>
      <w:proofErr w:type="spellEnd"/>
      <w:r w:rsidRPr="47220E80">
        <w:rPr>
          <w:b/>
          <w:bCs/>
        </w:rPr>
        <w:t xml:space="preserve"> 2614</w:t>
      </w:r>
      <w:r>
        <w:t>.</w:t>
      </w:r>
    </w:p>
    <w:tbl>
      <w:tblPr>
        <w:tblStyle w:val="Tabellrutnt"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1"/>
        <w:gridCol w:w="221"/>
        <w:gridCol w:w="4070"/>
      </w:tblGrid>
      <w:tr w:rsidR="00495287" w14:paraId="3C77937C" w14:textId="77777777" w:rsidTr="00D00CC9">
        <w:tc>
          <w:tcPr>
            <w:tcW w:w="2973" w:type="dxa"/>
          </w:tcPr>
          <w:p w14:paraId="0B7E4EF7" w14:textId="6117849E" w:rsidR="00495287" w:rsidRPr="00D00CC9" w:rsidRDefault="00495287" w:rsidP="00037A80">
            <w:pPr>
              <w:tabs>
                <w:tab w:val="left" w:pos="1766"/>
              </w:tabs>
              <w:ind w:left="0"/>
              <w:rPr>
                <w:b/>
                <w:bCs/>
              </w:rPr>
            </w:pPr>
            <w:r w:rsidRPr="00D00CC9">
              <w:rPr>
                <w:b/>
                <w:bCs/>
              </w:rPr>
              <w:t>Framsida</w:t>
            </w:r>
          </w:p>
        </w:tc>
        <w:tc>
          <w:tcPr>
            <w:tcW w:w="2973" w:type="dxa"/>
          </w:tcPr>
          <w:p w14:paraId="07A8086A" w14:textId="77777777" w:rsidR="00495287" w:rsidRPr="00D00CC9" w:rsidRDefault="00495287" w:rsidP="00037A80">
            <w:pPr>
              <w:tabs>
                <w:tab w:val="left" w:pos="1766"/>
              </w:tabs>
              <w:ind w:left="0"/>
              <w:rPr>
                <w:b/>
                <w:bCs/>
              </w:rPr>
            </w:pPr>
          </w:p>
        </w:tc>
        <w:tc>
          <w:tcPr>
            <w:tcW w:w="2973" w:type="dxa"/>
          </w:tcPr>
          <w:p w14:paraId="54578434" w14:textId="7C8B1EDF" w:rsidR="00495287" w:rsidRPr="00D00CC9" w:rsidRDefault="00495287" w:rsidP="00037A80">
            <w:pPr>
              <w:tabs>
                <w:tab w:val="left" w:pos="1766"/>
              </w:tabs>
              <w:ind w:left="0"/>
              <w:rPr>
                <w:b/>
                <w:bCs/>
              </w:rPr>
            </w:pPr>
            <w:r w:rsidRPr="00D00CC9">
              <w:rPr>
                <w:b/>
                <w:bCs/>
              </w:rPr>
              <w:t>Baksida</w:t>
            </w:r>
          </w:p>
        </w:tc>
      </w:tr>
      <w:tr w:rsidR="00495287" w14:paraId="49505889" w14:textId="77777777" w:rsidTr="00D00CC9">
        <w:tc>
          <w:tcPr>
            <w:tcW w:w="2973" w:type="dxa"/>
          </w:tcPr>
          <w:p w14:paraId="5261D8A8" w14:textId="69274F32" w:rsidR="00495287" w:rsidRDefault="0068351A" w:rsidP="00037A80">
            <w:pPr>
              <w:tabs>
                <w:tab w:val="left" w:pos="1766"/>
              </w:tabs>
              <w:ind w:left="0"/>
            </w:pPr>
            <w:r>
              <w:rPr>
                <w:noProof/>
              </w:rPr>
              <w:drawing>
                <wp:inline distT="0" distB="0" distL="0" distR="0" wp14:anchorId="24162647" wp14:editId="791F14BF">
                  <wp:extent cx="2188307" cy="3826928"/>
                  <wp:effectExtent l="0" t="0" r="3175" b="2540"/>
                  <wp:docPr id="656117288" name="Bildobjekt 1" descr="Bild på framsidan av fickkort av A-DIVA-skala.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6117288" name="Bildobjekt 1" descr="Bild på framsidan av fickkort av A-DIVA-skala. 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8307" cy="38269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73" w:type="dxa"/>
          </w:tcPr>
          <w:p w14:paraId="0EC1925B" w14:textId="77777777" w:rsidR="00495287" w:rsidRDefault="00495287" w:rsidP="00037A80">
            <w:pPr>
              <w:tabs>
                <w:tab w:val="left" w:pos="1766"/>
              </w:tabs>
              <w:ind w:left="0"/>
            </w:pPr>
          </w:p>
        </w:tc>
        <w:tc>
          <w:tcPr>
            <w:tcW w:w="2973" w:type="dxa"/>
          </w:tcPr>
          <w:p w14:paraId="3318610F" w14:textId="5FC9A250" w:rsidR="00495287" w:rsidRDefault="0068351A" w:rsidP="00037A80">
            <w:pPr>
              <w:tabs>
                <w:tab w:val="left" w:pos="1766"/>
              </w:tabs>
              <w:ind w:left="0"/>
            </w:pPr>
            <w:r>
              <w:rPr>
                <w:noProof/>
              </w:rPr>
              <w:drawing>
                <wp:inline distT="0" distB="0" distL="0" distR="0" wp14:anchorId="5564CCD9" wp14:editId="0AFF07D9">
                  <wp:extent cx="2100792" cy="3709263"/>
                  <wp:effectExtent l="57150" t="19050" r="33020" b="81915"/>
                  <wp:docPr id="820712720" name="Bildobjekt 1" descr="Bild av baksida av fickkort A-DIVA-skala.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712720" name="Bildobjekt 1" descr="Bild av baksida av fickkort A-DIVA-skala. "/>
                          <pic:cNvPicPr/>
                        </pic:nvPicPr>
                        <pic:blipFill>
                          <a:blip r:embed="rId3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0792" cy="3709263"/>
                          </a:xfrm>
                          <a:prstGeom prst="rect">
                            <a:avLst/>
                          </a:prstGeom>
                          <a:effectLst>
                            <a:outerShdw blurRad="50800" dist="38100" dir="5400000" algn="t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D692234" w14:textId="77777777" w:rsidR="00037A80" w:rsidRDefault="00037A80" w:rsidP="00D00CC9">
      <w:pPr>
        <w:tabs>
          <w:tab w:val="left" w:pos="1766"/>
        </w:tabs>
        <w:ind w:left="0"/>
      </w:pPr>
    </w:p>
    <w:sectPr w:rsidR="00037A80" w:rsidSect="00F75F58">
      <w:pgSz w:w="11900" w:h="16840"/>
      <w:pgMar w:top="1418" w:right="1979" w:bottom="1276" w:left="992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C6F8B" w14:textId="77777777" w:rsidR="00812B6C" w:rsidRDefault="00812B6C">
      <w:r>
        <w:separator/>
      </w:r>
    </w:p>
  </w:endnote>
  <w:endnote w:type="continuationSeparator" w:id="0">
    <w:p w14:paraId="225A98A4" w14:textId="77777777" w:rsidR="00812B6C" w:rsidRDefault="00812B6C">
      <w:r>
        <w:continuationSeparator/>
      </w:r>
    </w:p>
  </w:endnote>
  <w:endnote w:type="continuationNotice" w:id="1">
    <w:p w14:paraId="46CA27BC" w14:textId="77777777" w:rsidR="00812B6C" w:rsidRDefault="00812B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A168CD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053786436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D5C8EA" w14:textId="77777777" w:rsidR="00812B6C" w:rsidRDefault="00812B6C"/>
  </w:footnote>
  <w:footnote w:type="continuationSeparator" w:id="0">
    <w:p w14:paraId="347DFDEF" w14:textId="77777777" w:rsidR="00812B6C" w:rsidRDefault="00812B6C">
      <w:r>
        <w:continuationSeparator/>
      </w:r>
    </w:p>
  </w:footnote>
  <w:footnote w:type="continuationNotice" w:id="1">
    <w:p w14:paraId="32DBB165" w14:textId="77777777" w:rsidR="00812B6C" w:rsidRDefault="00812B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C06B4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EA4F47"/>
    <w:multiLevelType w:val="hybridMultilevel"/>
    <w:tmpl w:val="234EDAE4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CEB7E97"/>
    <w:multiLevelType w:val="hybridMultilevel"/>
    <w:tmpl w:val="66F2E4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39549F"/>
    <w:multiLevelType w:val="hybridMultilevel"/>
    <w:tmpl w:val="576C22A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20"/>
  </w:num>
  <w:num w:numId="20" w16cid:durableId="253518535">
    <w:abstractNumId w:val="18"/>
  </w:num>
  <w:num w:numId="21" w16cid:durableId="1359622432">
    <w:abstractNumId w:val="17"/>
  </w:num>
  <w:num w:numId="22" w16cid:durableId="498086565">
    <w:abstractNumId w:val="9"/>
  </w:num>
  <w:num w:numId="23" w16cid:durableId="119808463">
    <w:abstractNumId w:val="11"/>
  </w:num>
  <w:num w:numId="24" w16cid:durableId="1985088410">
    <w:abstractNumId w:val="11"/>
  </w:num>
  <w:num w:numId="25" w16cid:durableId="1603606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59FF"/>
    <w:rsid w:val="00030DDD"/>
    <w:rsid w:val="000313BB"/>
    <w:rsid w:val="00033ED5"/>
    <w:rsid w:val="0003492D"/>
    <w:rsid w:val="00037A80"/>
    <w:rsid w:val="00046135"/>
    <w:rsid w:val="00050500"/>
    <w:rsid w:val="0005691C"/>
    <w:rsid w:val="00056ECB"/>
    <w:rsid w:val="00056ED5"/>
    <w:rsid w:val="00061969"/>
    <w:rsid w:val="000655CC"/>
    <w:rsid w:val="000700AE"/>
    <w:rsid w:val="00073912"/>
    <w:rsid w:val="00084024"/>
    <w:rsid w:val="00084B3F"/>
    <w:rsid w:val="0009062C"/>
    <w:rsid w:val="00095368"/>
    <w:rsid w:val="000954C4"/>
    <w:rsid w:val="000A611A"/>
    <w:rsid w:val="000B12D9"/>
    <w:rsid w:val="000B320F"/>
    <w:rsid w:val="000B4536"/>
    <w:rsid w:val="000B7715"/>
    <w:rsid w:val="000D0CD2"/>
    <w:rsid w:val="000E463B"/>
    <w:rsid w:val="000E5A7E"/>
    <w:rsid w:val="000F1F82"/>
    <w:rsid w:val="000F43A3"/>
    <w:rsid w:val="000F736D"/>
    <w:rsid w:val="000F7681"/>
    <w:rsid w:val="00103031"/>
    <w:rsid w:val="001044FE"/>
    <w:rsid w:val="00104789"/>
    <w:rsid w:val="001108C0"/>
    <w:rsid w:val="00111CB2"/>
    <w:rsid w:val="001139D4"/>
    <w:rsid w:val="00127CD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D9A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2E7C"/>
    <w:rsid w:val="0020728D"/>
    <w:rsid w:val="00211487"/>
    <w:rsid w:val="00211D91"/>
    <w:rsid w:val="00217DEC"/>
    <w:rsid w:val="00235B57"/>
    <w:rsid w:val="002441B6"/>
    <w:rsid w:val="00250F24"/>
    <w:rsid w:val="002523C5"/>
    <w:rsid w:val="0025379D"/>
    <w:rsid w:val="0025380B"/>
    <w:rsid w:val="0025703A"/>
    <w:rsid w:val="00262F3D"/>
    <w:rsid w:val="00263281"/>
    <w:rsid w:val="00264E04"/>
    <w:rsid w:val="002651D6"/>
    <w:rsid w:val="0026551F"/>
    <w:rsid w:val="00270FA8"/>
    <w:rsid w:val="00280A85"/>
    <w:rsid w:val="00284119"/>
    <w:rsid w:val="00284235"/>
    <w:rsid w:val="002872FD"/>
    <w:rsid w:val="00290B5C"/>
    <w:rsid w:val="00294791"/>
    <w:rsid w:val="002A1C4F"/>
    <w:rsid w:val="002A4993"/>
    <w:rsid w:val="002A4D7C"/>
    <w:rsid w:val="002A7450"/>
    <w:rsid w:val="002B0B30"/>
    <w:rsid w:val="002B0C78"/>
    <w:rsid w:val="002C0C02"/>
    <w:rsid w:val="002C1277"/>
    <w:rsid w:val="002C5D6F"/>
    <w:rsid w:val="002C60AD"/>
    <w:rsid w:val="002D0E0E"/>
    <w:rsid w:val="002D6023"/>
    <w:rsid w:val="002D7B4C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D0C"/>
    <w:rsid w:val="00360E0D"/>
    <w:rsid w:val="0036357D"/>
    <w:rsid w:val="0036594C"/>
    <w:rsid w:val="00367D19"/>
    <w:rsid w:val="00371BED"/>
    <w:rsid w:val="00384019"/>
    <w:rsid w:val="003854F1"/>
    <w:rsid w:val="0039118E"/>
    <w:rsid w:val="00396A7B"/>
    <w:rsid w:val="00397F54"/>
    <w:rsid w:val="003A0D43"/>
    <w:rsid w:val="003B2A4B"/>
    <w:rsid w:val="003C012A"/>
    <w:rsid w:val="003C39AC"/>
    <w:rsid w:val="003C436C"/>
    <w:rsid w:val="003C7E65"/>
    <w:rsid w:val="003D099E"/>
    <w:rsid w:val="003D21A2"/>
    <w:rsid w:val="003D29D2"/>
    <w:rsid w:val="003D6DF1"/>
    <w:rsid w:val="003E0705"/>
    <w:rsid w:val="003E2FF7"/>
    <w:rsid w:val="003F1013"/>
    <w:rsid w:val="003F1ACF"/>
    <w:rsid w:val="003F6456"/>
    <w:rsid w:val="0040201D"/>
    <w:rsid w:val="004030D7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5287"/>
    <w:rsid w:val="004A355D"/>
    <w:rsid w:val="004A4970"/>
    <w:rsid w:val="004B2183"/>
    <w:rsid w:val="004B2A01"/>
    <w:rsid w:val="004C23DA"/>
    <w:rsid w:val="004C3536"/>
    <w:rsid w:val="004D7BA3"/>
    <w:rsid w:val="004F094D"/>
    <w:rsid w:val="004F4518"/>
    <w:rsid w:val="004F4C62"/>
    <w:rsid w:val="00501433"/>
    <w:rsid w:val="0050542A"/>
    <w:rsid w:val="00507E74"/>
    <w:rsid w:val="00511CC4"/>
    <w:rsid w:val="00525CBB"/>
    <w:rsid w:val="00531E60"/>
    <w:rsid w:val="00541D07"/>
    <w:rsid w:val="00544BAB"/>
    <w:rsid w:val="00545F31"/>
    <w:rsid w:val="00554748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30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C9"/>
    <w:rsid w:val="00627BEA"/>
    <w:rsid w:val="006319DB"/>
    <w:rsid w:val="00641393"/>
    <w:rsid w:val="0065595B"/>
    <w:rsid w:val="00656DCD"/>
    <w:rsid w:val="00660269"/>
    <w:rsid w:val="00665F89"/>
    <w:rsid w:val="00673C92"/>
    <w:rsid w:val="006753EC"/>
    <w:rsid w:val="0068351A"/>
    <w:rsid w:val="00685193"/>
    <w:rsid w:val="006A2789"/>
    <w:rsid w:val="006A4978"/>
    <w:rsid w:val="006A7261"/>
    <w:rsid w:val="006B0D29"/>
    <w:rsid w:val="006B1819"/>
    <w:rsid w:val="006C4E6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926"/>
    <w:rsid w:val="00771100"/>
    <w:rsid w:val="00774944"/>
    <w:rsid w:val="007759DD"/>
    <w:rsid w:val="0078609F"/>
    <w:rsid w:val="007917BA"/>
    <w:rsid w:val="00793E27"/>
    <w:rsid w:val="007A334E"/>
    <w:rsid w:val="007A5C6F"/>
    <w:rsid w:val="007B46B8"/>
    <w:rsid w:val="007D4241"/>
    <w:rsid w:val="007D4317"/>
    <w:rsid w:val="007D4EA3"/>
    <w:rsid w:val="007F1CFF"/>
    <w:rsid w:val="007F5DD5"/>
    <w:rsid w:val="00812B6C"/>
    <w:rsid w:val="00821A1B"/>
    <w:rsid w:val="008262E9"/>
    <w:rsid w:val="00827E69"/>
    <w:rsid w:val="00831C35"/>
    <w:rsid w:val="00832ED8"/>
    <w:rsid w:val="00835C4D"/>
    <w:rsid w:val="00842F8E"/>
    <w:rsid w:val="008434A0"/>
    <w:rsid w:val="00843F48"/>
    <w:rsid w:val="00850996"/>
    <w:rsid w:val="00851423"/>
    <w:rsid w:val="008569C6"/>
    <w:rsid w:val="00857848"/>
    <w:rsid w:val="008654B6"/>
    <w:rsid w:val="0087139C"/>
    <w:rsid w:val="00873419"/>
    <w:rsid w:val="00880E83"/>
    <w:rsid w:val="00890883"/>
    <w:rsid w:val="00892F28"/>
    <w:rsid w:val="008A0C5F"/>
    <w:rsid w:val="008A10A3"/>
    <w:rsid w:val="008A3DEA"/>
    <w:rsid w:val="008A4EB9"/>
    <w:rsid w:val="008A74C0"/>
    <w:rsid w:val="008B1694"/>
    <w:rsid w:val="008B7D44"/>
    <w:rsid w:val="008C309A"/>
    <w:rsid w:val="008C4B27"/>
    <w:rsid w:val="008C7F0C"/>
    <w:rsid w:val="008C7F2A"/>
    <w:rsid w:val="008D124E"/>
    <w:rsid w:val="008D12AD"/>
    <w:rsid w:val="008D3390"/>
    <w:rsid w:val="008D4B13"/>
    <w:rsid w:val="008E36F8"/>
    <w:rsid w:val="008E46B2"/>
    <w:rsid w:val="008E682C"/>
    <w:rsid w:val="008E75E3"/>
    <w:rsid w:val="008E78A1"/>
    <w:rsid w:val="008F589F"/>
    <w:rsid w:val="00906238"/>
    <w:rsid w:val="00907EF9"/>
    <w:rsid w:val="00911231"/>
    <w:rsid w:val="00912327"/>
    <w:rsid w:val="0091295C"/>
    <w:rsid w:val="00914D58"/>
    <w:rsid w:val="00916B7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0A38"/>
    <w:rsid w:val="009714F6"/>
    <w:rsid w:val="00971D93"/>
    <w:rsid w:val="009817E7"/>
    <w:rsid w:val="00981BF5"/>
    <w:rsid w:val="009A07DC"/>
    <w:rsid w:val="009A32ED"/>
    <w:rsid w:val="009B1F6B"/>
    <w:rsid w:val="009C0D12"/>
    <w:rsid w:val="009C192E"/>
    <w:rsid w:val="009C2E3E"/>
    <w:rsid w:val="009C6C0C"/>
    <w:rsid w:val="009D3CBE"/>
    <w:rsid w:val="009D6819"/>
    <w:rsid w:val="009D6D1C"/>
    <w:rsid w:val="009E0CF9"/>
    <w:rsid w:val="009E531B"/>
    <w:rsid w:val="009E6C56"/>
    <w:rsid w:val="009E7DCF"/>
    <w:rsid w:val="009F2EE8"/>
    <w:rsid w:val="009F4A56"/>
    <w:rsid w:val="009F4E65"/>
    <w:rsid w:val="00A006A5"/>
    <w:rsid w:val="00A051BC"/>
    <w:rsid w:val="00A05942"/>
    <w:rsid w:val="00A07BEC"/>
    <w:rsid w:val="00A168CD"/>
    <w:rsid w:val="00A264BE"/>
    <w:rsid w:val="00A272CA"/>
    <w:rsid w:val="00A33051"/>
    <w:rsid w:val="00A4024E"/>
    <w:rsid w:val="00A407AD"/>
    <w:rsid w:val="00A40923"/>
    <w:rsid w:val="00A40B24"/>
    <w:rsid w:val="00A41C05"/>
    <w:rsid w:val="00A42426"/>
    <w:rsid w:val="00A514B7"/>
    <w:rsid w:val="00A54A0B"/>
    <w:rsid w:val="00A55086"/>
    <w:rsid w:val="00A60D91"/>
    <w:rsid w:val="00A64E1A"/>
    <w:rsid w:val="00A65FD4"/>
    <w:rsid w:val="00A81198"/>
    <w:rsid w:val="00A81E48"/>
    <w:rsid w:val="00A82035"/>
    <w:rsid w:val="00A90D77"/>
    <w:rsid w:val="00A92E07"/>
    <w:rsid w:val="00AA0B3A"/>
    <w:rsid w:val="00AA0FA4"/>
    <w:rsid w:val="00AA3FB6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FC"/>
    <w:rsid w:val="00B77D88"/>
    <w:rsid w:val="00B77FAF"/>
    <w:rsid w:val="00B83715"/>
    <w:rsid w:val="00B83E00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14A2"/>
    <w:rsid w:val="00BC322E"/>
    <w:rsid w:val="00BC44CD"/>
    <w:rsid w:val="00BC48A6"/>
    <w:rsid w:val="00BC5EBE"/>
    <w:rsid w:val="00BC6590"/>
    <w:rsid w:val="00BD7703"/>
    <w:rsid w:val="00BE7978"/>
    <w:rsid w:val="00BF5DA2"/>
    <w:rsid w:val="00C01F0D"/>
    <w:rsid w:val="00C05DDE"/>
    <w:rsid w:val="00C07DDB"/>
    <w:rsid w:val="00C3594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4EE"/>
    <w:rsid w:val="00CE4B73"/>
    <w:rsid w:val="00CF70BB"/>
    <w:rsid w:val="00D00BD7"/>
    <w:rsid w:val="00D00CC9"/>
    <w:rsid w:val="00D03C46"/>
    <w:rsid w:val="00D074DB"/>
    <w:rsid w:val="00D11E8F"/>
    <w:rsid w:val="00D139CF"/>
    <w:rsid w:val="00D20779"/>
    <w:rsid w:val="00D37E7F"/>
    <w:rsid w:val="00D43782"/>
    <w:rsid w:val="00D47AD7"/>
    <w:rsid w:val="00D51529"/>
    <w:rsid w:val="00D62468"/>
    <w:rsid w:val="00D67C88"/>
    <w:rsid w:val="00D85218"/>
    <w:rsid w:val="00D915B1"/>
    <w:rsid w:val="00D93D3A"/>
    <w:rsid w:val="00DA299D"/>
    <w:rsid w:val="00DA65C4"/>
    <w:rsid w:val="00DB5E6B"/>
    <w:rsid w:val="00DD6F31"/>
    <w:rsid w:val="00DE4447"/>
    <w:rsid w:val="00DE5DA2"/>
    <w:rsid w:val="00DE63C6"/>
    <w:rsid w:val="00DF0033"/>
    <w:rsid w:val="00E026BF"/>
    <w:rsid w:val="00E07B1B"/>
    <w:rsid w:val="00E11853"/>
    <w:rsid w:val="00E204F0"/>
    <w:rsid w:val="00E411B6"/>
    <w:rsid w:val="00E5104E"/>
    <w:rsid w:val="00E52A86"/>
    <w:rsid w:val="00E54B47"/>
    <w:rsid w:val="00E553BF"/>
    <w:rsid w:val="00E55D93"/>
    <w:rsid w:val="00E61294"/>
    <w:rsid w:val="00E62A64"/>
    <w:rsid w:val="00E7237C"/>
    <w:rsid w:val="00E77C46"/>
    <w:rsid w:val="00E805E6"/>
    <w:rsid w:val="00E86AF1"/>
    <w:rsid w:val="00E86CE8"/>
    <w:rsid w:val="00E90E82"/>
    <w:rsid w:val="00E93E65"/>
    <w:rsid w:val="00EA00CB"/>
    <w:rsid w:val="00EA1BAA"/>
    <w:rsid w:val="00EA2FFE"/>
    <w:rsid w:val="00EA370E"/>
    <w:rsid w:val="00EA3FCD"/>
    <w:rsid w:val="00EA42A0"/>
    <w:rsid w:val="00EB6714"/>
    <w:rsid w:val="00EC0A68"/>
    <w:rsid w:val="00EC2B85"/>
    <w:rsid w:val="00EC3C32"/>
    <w:rsid w:val="00EC5006"/>
    <w:rsid w:val="00ED49C3"/>
    <w:rsid w:val="00ED6CE8"/>
    <w:rsid w:val="00ED7AA6"/>
    <w:rsid w:val="00EE2A56"/>
    <w:rsid w:val="00EE3818"/>
    <w:rsid w:val="00EF544D"/>
    <w:rsid w:val="00F1625F"/>
    <w:rsid w:val="00F22264"/>
    <w:rsid w:val="00F2564D"/>
    <w:rsid w:val="00F358F9"/>
    <w:rsid w:val="00F35B05"/>
    <w:rsid w:val="00F413D9"/>
    <w:rsid w:val="00F5135F"/>
    <w:rsid w:val="00F51F78"/>
    <w:rsid w:val="00F676AB"/>
    <w:rsid w:val="00F75F58"/>
    <w:rsid w:val="00F8431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Normalwebb">
    <w:name w:val="Normal (Web)"/>
    <w:basedOn w:val="Normal"/>
    <w:uiPriority w:val="99"/>
    <w:semiHidden/>
    <w:unhideWhenUsed/>
    <w:rsid w:val="008C309A"/>
    <w:rPr>
      <w:rFonts w:ascii="Times New Roman" w:hAnsi="Times New Roman"/>
    </w:rPr>
  </w:style>
  <w:style w:type="table" w:customStyle="1" w:styleId="Rutntstabell4dekorfrg11">
    <w:name w:val="Rutnätstabell 4 – dekorfärg 11"/>
    <w:basedOn w:val="Normaltabell"/>
    <w:next w:val="Rutntstabell4dekorfrg1"/>
    <w:uiPriority w:val="49"/>
    <w:rsid w:val="00BF5DA2"/>
    <w:rPr>
      <w:rFonts w:ascii="Calibri" w:eastAsia="Calibri" w:hAnsi="Calibr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customStyle="1" w:styleId="Tabelltext">
    <w:name w:val="Tabelltext"/>
    <w:qFormat/>
    <w:rsid w:val="00BF5DA2"/>
    <w:pPr>
      <w:spacing w:before="60" w:after="60" w:line="288" w:lineRule="auto"/>
    </w:pPr>
    <w:rPr>
      <w:rFonts w:ascii="Verdana" w:eastAsia="Calibri" w:hAnsi="Verdana"/>
      <w:bCs/>
      <w:kern w:val="2"/>
      <w:sz w:val="21"/>
      <w:szCs w:val="22"/>
      <w:lang w:eastAsia="en-US"/>
      <w14:ligatures w14:val="standardContextual"/>
    </w:rPr>
  </w:style>
  <w:style w:type="table" w:styleId="Rutntstabell4dekorfrg1">
    <w:name w:val="Grid Table 4 Accent 1"/>
    <w:basedOn w:val="Normaltabell"/>
    <w:uiPriority w:val="49"/>
    <w:rsid w:val="00BF5DA2"/>
    <w:tblPr>
      <w:tblStyleRowBandSize w:val="1"/>
      <w:tblStyleColBandSize w:val="1"/>
      <w:tblBorders>
        <w:top w:val="single" w:sz="4" w:space="0" w:color="28B2FF" w:themeColor="accent1" w:themeTint="99"/>
        <w:left w:val="single" w:sz="4" w:space="0" w:color="28B2FF" w:themeColor="accent1" w:themeTint="99"/>
        <w:bottom w:val="single" w:sz="4" w:space="0" w:color="28B2FF" w:themeColor="accent1" w:themeTint="99"/>
        <w:right w:val="single" w:sz="4" w:space="0" w:color="28B2FF" w:themeColor="accent1" w:themeTint="99"/>
        <w:insideH w:val="single" w:sz="4" w:space="0" w:color="28B2FF" w:themeColor="accent1" w:themeTint="99"/>
        <w:insideV w:val="single" w:sz="4" w:space="0" w:color="28B2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298" w:themeColor="accent1"/>
          <w:left w:val="single" w:sz="4" w:space="0" w:color="006298" w:themeColor="accent1"/>
          <w:bottom w:val="single" w:sz="4" w:space="0" w:color="006298" w:themeColor="accent1"/>
          <w:right w:val="single" w:sz="4" w:space="0" w:color="006298" w:themeColor="accent1"/>
          <w:insideH w:val="nil"/>
          <w:insideV w:val="nil"/>
        </w:tcBorders>
        <w:shd w:val="clear" w:color="auto" w:fill="006298" w:themeFill="accent1"/>
      </w:tcPr>
    </w:tblStylePr>
    <w:tblStylePr w:type="lastRow">
      <w:rPr>
        <w:b/>
        <w:bCs/>
      </w:rPr>
      <w:tblPr/>
      <w:tcPr>
        <w:tcBorders>
          <w:top w:val="double" w:sz="4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E5FF" w:themeFill="accent1" w:themeFillTint="33"/>
      </w:tcPr>
    </w:tblStylePr>
    <w:tblStylePr w:type="band1Horz">
      <w:tblPr/>
      <w:tcPr>
        <w:shd w:val="clear" w:color="auto" w:fill="B7E5FF" w:themeFill="accent1" w:themeFillTint="33"/>
      </w:tcPr>
    </w:tblStylePr>
  </w:style>
  <w:style w:type="table" w:customStyle="1" w:styleId="Rutntstabell4dekorfrg51">
    <w:name w:val="Rutnätstabell 4 – dekorfärg 51"/>
    <w:basedOn w:val="Normaltabell"/>
    <w:next w:val="Rutntstabell4dekorfrg5"/>
    <w:uiPriority w:val="49"/>
    <w:rsid w:val="00F1625F"/>
    <w:rPr>
      <w:rFonts w:ascii="Calibri" w:eastAsia="Calibri" w:hAnsi="Calibr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Rutntstabell4dekorfrg5">
    <w:name w:val="Grid Table 4 Accent 5"/>
    <w:basedOn w:val="Normaltabell"/>
    <w:uiPriority w:val="49"/>
    <w:rsid w:val="00F1625F"/>
    <w:tblPr>
      <w:tblStyleRowBandSize w:val="1"/>
      <w:tblStyleColBandSize w:val="1"/>
      <w:tblBorders>
        <w:top w:val="single" w:sz="4" w:space="0" w:color="DD6174" w:themeColor="accent5" w:themeTint="99"/>
        <w:left w:val="single" w:sz="4" w:space="0" w:color="DD6174" w:themeColor="accent5" w:themeTint="99"/>
        <w:bottom w:val="single" w:sz="4" w:space="0" w:color="DD6174" w:themeColor="accent5" w:themeTint="99"/>
        <w:right w:val="single" w:sz="4" w:space="0" w:color="DD6174" w:themeColor="accent5" w:themeTint="99"/>
        <w:insideH w:val="single" w:sz="4" w:space="0" w:color="DD6174" w:themeColor="accent5" w:themeTint="99"/>
        <w:insideV w:val="single" w:sz="4" w:space="0" w:color="DD6174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D2235" w:themeColor="accent5"/>
          <w:left w:val="single" w:sz="4" w:space="0" w:color="9D2235" w:themeColor="accent5"/>
          <w:bottom w:val="single" w:sz="4" w:space="0" w:color="9D2235" w:themeColor="accent5"/>
          <w:right w:val="single" w:sz="4" w:space="0" w:color="9D2235" w:themeColor="accent5"/>
          <w:insideH w:val="nil"/>
          <w:insideV w:val="nil"/>
        </w:tcBorders>
        <w:shd w:val="clear" w:color="auto" w:fill="9D2235" w:themeFill="accent5"/>
      </w:tcPr>
    </w:tblStylePr>
    <w:tblStylePr w:type="lastRow">
      <w:rPr>
        <w:b/>
        <w:bCs/>
      </w:rPr>
      <w:tblPr/>
      <w:tcPr>
        <w:tcBorders>
          <w:top w:val="double" w:sz="4" w:space="0" w:color="9D223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CAD0" w:themeFill="accent5" w:themeFillTint="33"/>
      </w:tcPr>
    </w:tblStylePr>
    <w:tblStylePr w:type="band1Horz">
      <w:tblPr/>
      <w:tcPr>
        <w:shd w:val="clear" w:color="auto" w:fill="F3CAD0" w:themeFill="accent5" w:themeFillTint="33"/>
      </w:tcPr>
    </w:tblStylePr>
  </w:style>
  <w:style w:type="table" w:customStyle="1" w:styleId="Rutntstabell4dekorfrg52">
    <w:name w:val="Rutnätstabell 4 – dekorfärg 52"/>
    <w:basedOn w:val="Normaltabell"/>
    <w:next w:val="Rutntstabell4dekorfrg5"/>
    <w:uiPriority w:val="49"/>
    <w:rsid w:val="00DD6F31"/>
    <w:rPr>
      <w:rFonts w:ascii="Calibri" w:eastAsia="Calibri" w:hAnsi="Calibr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paragraph" w:customStyle="1" w:styleId="Punktlistanumrerad">
    <w:name w:val="Punktlista numrerad"/>
    <w:qFormat/>
    <w:rsid w:val="003C012A"/>
    <w:pPr>
      <w:numPr>
        <w:numId w:val="25"/>
      </w:numPr>
      <w:tabs>
        <w:tab w:val="left" w:pos="1349"/>
      </w:tabs>
      <w:spacing w:after="120" w:line="288" w:lineRule="auto"/>
      <w:ind w:left="1349" w:right="868" w:hanging="357"/>
    </w:pPr>
    <w:rPr>
      <w:rFonts w:ascii="Georgia" w:hAnsi="Georgia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25C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58/surrogate/Remiss%20till%20VO%20anestesi%2c%20operation%20och%20intensivv%c3%a5rd%2c%20S%c3%84S%20.pdf" TargetMode="External" Id="rId13" /><Relationship Type="http://schemas.openxmlformats.org/officeDocument/2006/relationships/hyperlink" Target="https://insidan.vgregion.se/forvaltningar/sodra-alvsborgs-sjukhus/stod-och-tjanster/amnen-a-o/kommunikation/trycksaker/bestall-trycksaker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doi.org/10.1177/1060028020903406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78/surrogate/Stickhj%c3%a4lp%20-%20sv%c3%a5rstuckna%20patienter.pdf" TargetMode="External" Id="rId12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mellanarkiv-offentlig.vgregion.se/alfresco/s/archive/stream/public/v1/source/available/sofia/sas9642-738863596-158/surrogate/Remiss%20till%20VO%20anestesi%2c%20operation%20och%20intensivv%c3%a5rd%2c%20S%c3%84S%20.pdf" TargetMode="External" Id="rId16" /><Relationship Type="http://schemas.openxmlformats.org/officeDocument/2006/relationships/hyperlink" Target="http://www.vardhandboken.se/katetrar-sonder-och-dran" TargetMode="External" Id="rId20" /><Relationship Type="http://schemas.openxmlformats.org/officeDocument/2006/relationships/image" Target="media/image4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theme" Target="theme/theme1.xml" Id="rId32" /><Relationship Type="http://schemas.openxmlformats.org/officeDocument/2006/relationships/hyperlink" Target="https://mellanarkiv-offentlig.vgregion.se/alfresco/s/archive/stream/public/v1/source/available/sofia/sas9642-738863596-178/surrogate/Stickhj%c3%a4lp%20-%20sv%c3%a5rstuckna%20patienter.pdf" TargetMode="External" Id="rId15" /><Relationship Type="http://schemas.openxmlformats.org/officeDocument/2006/relationships/footer" Target="footer1.xml" Id="rId23" /><Relationship Type="http://schemas.openxmlformats.org/officeDocument/2006/relationships/hyperlink" Target="https://insidan.vgregion.se/forvaltningar/sodra-alvsborgs-sjukhus/stod-och-tjanster/amnen-a-o/kommunikation/trycksaker/bestall-trycksaker/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doi.org/10.3390/jcm8020144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504/surrogate/Central%20ven%c3%b6s%20infart%20(CVI)%20-%20inl%c3%a4ggning%20och%20sk%c3%b6tsel%20vid%20S%c3%84S.pdf" TargetMode="External" Id="rId14" /><Relationship Type="http://schemas.openxmlformats.org/officeDocument/2006/relationships/header" Target="header1.xml" Id="rId22" /><Relationship Type="http://schemas.openxmlformats.org/officeDocument/2006/relationships/image" Target="media/image3.png" Id="rId27" /><Relationship Type="http://schemas.openxmlformats.org/officeDocument/2006/relationships/image" Target="media/image5.png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1907</Words>
  <Characters>10109</Characters>
  <Application>Microsoft Office Word</Application>
  <DocSecurity>0</DocSecurity>
  <Lines>84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11993</CharactersWithSpaces>
  <SharedDoc>false</SharedDoc>
  <HyperlinkBase/>
  <HLinks>
    <vt:vector size="120" baseType="variant">
      <vt:variant>
        <vt:i4>1310811</vt:i4>
      </vt:variant>
      <vt:variant>
        <vt:i4>87</vt:i4>
      </vt:variant>
      <vt:variant>
        <vt:i4>0</vt:i4>
      </vt:variant>
      <vt:variant>
        <vt:i4>5</vt:i4>
      </vt:variant>
      <vt:variant>
        <vt:lpwstr>https://doi.org/10.1177/1060028020903406</vt:lpwstr>
      </vt:variant>
      <vt:variant>
        <vt:lpwstr/>
      </vt:variant>
      <vt:variant>
        <vt:i4>1114189</vt:i4>
      </vt:variant>
      <vt:variant>
        <vt:i4>84</vt:i4>
      </vt:variant>
      <vt:variant>
        <vt:i4>0</vt:i4>
      </vt:variant>
      <vt:variant>
        <vt:i4>5</vt:i4>
      </vt:variant>
      <vt:variant>
        <vt:lpwstr>http://www.vardhandboken.se/katetrar-sonder-och-dran</vt:lpwstr>
      </vt:variant>
      <vt:variant>
        <vt:lpwstr/>
      </vt:variant>
      <vt:variant>
        <vt:i4>7602282</vt:i4>
      </vt:variant>
      <vt:variant>
        <vt:i4>81</vt:i4>
      </vt:variant>
      <vt:variant>
        <vt:i4>0</vt:i4>
      </vt:variant>
      <vt:variant>
        <vt:i4>5</vt:i4>
      </vt:variant>
      <vt:variant>
        <vt:lpwstr>https://doi.org/10.3390/jcm8020144</vt:lpwstr>
      </vt:variant>
      <vt:variant>
        <vt:lpwstr/>
      </vt:variant>
      <vt:variant>
        <vt:i4>4194319</vt:i4>
      </vt:variant>
      <vt:variant>
        <vt:i4>78</vt:i4>
      </vt:variant>
      <vt:variant>
        <vt:i4>0</vt:i4>
      </vt:variant>
      <vt:variant>
        <vt:i4>5</vt:i4>
      </vt:variant>
      <vt:variant>
        <vt:lpwstr>https://insidan.vgregion.se/forvaltningar/sodra-alvsborgs-sjukhus/stod-och-tjanster/amnen-a-o/kommunikation/trycksaker/bestall-trycksaker</vt:lpwstr>
      </vt:variant>
      <vt:variant>
        <vt:lpwstr/>
      </vt:variant>
      <vt:variant>
        <vt:i4>6225950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https://mellanarkiv-offentlig.vgregion.se/alfresco/s/archive/stream/public/v1/source/available/sofia/sas9642-738863596-504/surrogate/Central ven%c3%b6s infart (CVI) - inl%c3%a4ggning och sk%c3%b6tsel vid S%c3%84S.pdf</vt:lpwstr>
      </vt:variant>
      <vt:variant>
        <vt:lpwstr/>
      </vt:variant>
      <vt:variant>
        <vt:i4>1835078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https://mellanarkiv-offentlig.vgregion.se/alfresco/s/archive/stream/public/v1/source/available/sofia/sas9642-738863596-158/surrogate/Remiss till VO anestesi%2c operation och intensivv%c3%a5rd%2c S%c3%84S .pdf</vt:lpwstr>
      </vt:variant>
      <vt:variant>
        <vt:lpwstr/>
      </vt:variant>
      <vt:variant>
        <vt:i4>5374022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https://mellanarkiv-offentlig.vgregion.se/alfresco/s/archive/stream/public/v1/source/available/sofia/sas9642-738863596-178/surrogate/Stickhj%c3%a4lp - sv%c3%a5rstuckna patienter.pdf</vt:lpwstr>
      </vt:variant>
      <vt:variant>
        <vt:lpwstr/>
      </vt:variant>
      <vt:variant>
        <vt:i4>6225950</vt:i4>
      </vt:variant>
      <vt:variant>
        <vt:i4>66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https://mellanarkiv-offentlig.vgregion.se/alfresco/s/archive/stream/public/v1/source/available/sofia/sas9642-738863596-504/surrogate/Central ven%c3%b6s infart (CVI) - inl%c3%a4ggning och sk%c3%b6tsel vid S%c3%84S.pdf</vt:lpwstr>
      </vt:variant>
      <vt:variant>
        <vt:lpwstr/>
      </vt:variant>
      <vt:variant>
        <vt:i4>1835078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https://mellanarkiv-offentlig.vgregion.se/alfresco/s/archive/stream/public/v1/source/available/sofia/sas9642-738863596-158/surrogate/Remiss till VO anestesi%2c operation och intensivv%c3%a5rd%2c S%c3%84S .pdf</vt:lpwstr>
      </vt:variant>
      <vt:variant>
        <vt:lpwstr/>
      </vt:variant>
      <vt:variant>
        <vt:i4>5374022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https://mellanarkiv-offentlig.vgregion.se/alfresco/s/archive/stream/public/v1/source/available/sofia/sas9642-738863596-178/surrogate/Stickhj%c3%a4lp - sv%c3%a5rstuckna patienter.pdf</vt:lpwstr>
      </vt:variant>
      <vt:variant>
        <vt:lpwstr/>
      </vt:variant>
      <vt:variant>
        <vt:i4>6881385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Bilaga2</vt:lpwstr>
      </vt:variant>
      <vt:variant>
        <vt:i4>1507377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_Toc181866764</vt:lpwstr>
      </vt:variant>
      <vt:variant>
        <vt:i4>1507377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_Toc181866763</vt:lpwstr>
      </vt:variant>
      <vt:variant>
        <vt:i4>1507377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_Toc181866762</vt:lpwstr>
      </vt:variant>
      <vt:variant>
        <vt:i4>1507377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_Toc181866761</vt:lpwstr>
      </vt:variant>
      <vt:variant>
        <vt:i4>1507377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_Toc181866760</vt:lpwstr>
      </vt:variant>
      <vt:variant>
        <vt:i4>1310769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_Toc181866759</vt:lpwstr>
      </vt:variant>
      <vt:variant>
        <vt:i4>1310769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_Toc181866758</vt:lpwstr>
      </vt:variant>
      <vt:variant>
        <vt:i4>1310769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_Toc181866757</vt:lpwstr>
      </vt:variant>
      <vt:variant>
        <vt:i4>1310769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_Toc181866756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Beslutsstöd för venösa infarter till vuxna, SÄS</dc:title>
  <dc:subject/>
  <dc:creator/>
  <keywords/>
  <lastModifiedBy/>
  <revision>1</revision>
  <dcterms:created xsi:type="dcterms:W3CDTF">2024-11-25T03:20:00.0000000Z</dcterms:created>
  <dcterms:modified xsi:type="dcterms:W3CDTF">2025-05-28T08:46:00.0000000Z</dcterms:modified>
</coreProperties>
</file>